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7.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E57CA1" w14:textId="2C4720E2" w:rsidR="00B34D0A" w:rsidRPr="00B717F0" w:rsidRDefault="00412F35" w:rsidP="00412F35">
      <w:pPr>
        <w:pStyle w:val="Caption"/>
        <w:rPr>
          <w:b w:val="0"/>
          <w:bCs w:val="0"/>
          <w:color w:val="FF0000"/>
        </w:rPr>
      </w:pPr>
      <w:r>
        <w:rPr>
          <w:noProof/>
          <w:lang w:eastAsia="en-GB"/>
        </w:rPr>
        <w:drawing>
          <wp:inline distT="0" distB="0" distL="0" distR="0" wp14:anchorId="433CC4B2" wp14:editId="0D52C406">
            <wp:extent cx="2099144" cy="803320"/>
            <wp:effectExtent l="0" t="0" r="0" b="0"/>
            <wp:docPr id="659152045" name="Picture 659152045" descr="Slough Boroug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lough Borough Council logo"/>
                    <pic:cNvPicPr/>
                  </pic:nvPicPr>
                  <pic:blipFill>
                    <a:blip r:embed="rId12">
                      <a:extLst>
                        <a:ext uri="{28A0092B-C50C-407E-A947-70E740481C1C}">
                          <a14:useLocalDpi xmlns:a14="http://schemas.microsoft.com/office/drawing/2010/main" val="0"/>
                        </a:ext>
                      </a:extLst>
                    </a:blip>
                    <a:stretch>
                      <a:fillRect/>
                    </a:stretch>
                  </pic:blipFill>
                  <pic:spPr>
                    <a:xfrm>
                      <a:off x="0" y="0"/>
                      <a:ext cx="2103975" cy="805169"/>
                    </a:xfrm>
                    <a:prstGeom prst="rect">
                      <a:avLst/>
                    </a:prstGeom>
                  </pic:spPr>
                </pic:pic>
              </a:graphicData>
            </a:graphic>
          </wp:inline>
        </w:drawing>
      </w:r>
      <w:r w:rsidR="00391D23">
        <w:rPr>
          <w:b w:val="0"/>
          <w:bCs w:val="0"/>
          <w:color w:val="FF0000"/>
        </w:rPr>
        <w:tab/>
      </w:r>
    </w:p>
    <w:p w14:paraId="41519C23" w14:textId="77777777" w:rsidR="00412F35" w:rsidRDefault="00412F35" w:rsidP="0046508E">
      <w:pPr>
        <w:pStyle w:val="Header"/>
        <w:tabs>
          <w:tab w:val="clear" w:pos="9072"/>
          <w:tab w:val="center" w:pos="4153"/>
          <w:tab w:val="right" w:pos="8306"/>
        </w:tabs>
        <w:rPr>
          <w:iCs/>
          <w:color w:val="FF0000"/>
          <w:kern w:val="72"/>
          <w:sz w:val="48"/>
          <w:szCs w:val="48"/>
        </w:rPr>
      </w:pPr>
    </w:p>
    <w:p w14:paraId="3171E863" w14:textId="77777777" w:rsidR="00412F35" w:rsidRDefault="00412F35" w:rsidP="0046508E">
      <w:pPr>
        <w:pStyle w:val="Header"/>
        <w:tabs>
          <w:tab w:val="clear" w:pos="9072"/>
          <w:tab w:val="center" w:pos="4153"/>
          <w:tab w:val="right" w:pos="8306"/>
        </w:tabs>
        <w:rPr>
          <w:iCs/>
          <w:color w:val="FF0000"/>
          <w:kern w:val="72"/>
          <w:sz w:val="48"/>
          <w:szCs w:val="48"/>
        </w:rPr>
      </w:pPr>
    </w:p>
    <w:p w14:paraId="78B9B65D" w14:textId="77777777" w:rsidR="00133B55" w:rsidRDefault="00133B55" w:rsidP="0046508E">
      <w:pPr>
        <w:pStyle w:val="Header"/>
        <w:tabs>
          <w:tab w:val="clear" w:pos="9072"/>
          <w:tab w:val="center" w:pos="4153"/>
          <w:tab w:val="right" w:pos="8306"/>
        </w:tabs>
        <w:rPr>
          <w:color w:val="008938"/>
          <w:kern w:val="72"/>
          <w:sz w:val="48"/>
          <w:szCs w:val="48"/>
        </w:rPr>
      </w:pPr>
      <w:r>
        <w:rPr>
          <w:color w:val="008938"/>
          <w:kern w:val="72"/>
          <w:sz w:val="48"/>
          <w:szCs w:val="48"/>
        </w:rPr>
        <w:t>DRAFT</w:t>
      </w:r>
    </w:p>
    <w:p w14:paraId="743A107D" w14:textId="730A99C3" w:rsidR="00092C52" w:rsidRPr="00412F35" w:rsidRDefault="00321D16" w:rsidP="0046508E">
      <w:pPr>
        <w:pStyle w:val="Header"/>
        <w:tabs>
          <w:tab w:val="clear" w:pos="9072"/>
          <w:tab w:val="center" w:pos="4153"/>
          <w:tab w:val="right" w:pos="8306"/>
        </w:tabs>
        <w:rPr>
          <w:color w:val="008938"/>
          <w:kern w:val="72"/>
          <w:sz w:val="48"/>
          <w:szCs w:val="48"/>
        </w:rPr>
      </w:pPr>
      <w:r w:rsidRPr="00412F35">
        <w:rPr>
          <w:color w:val="008938"/>
          <w:kern w:val="72"/>
          <w:sz w:val="48"/>
          <w:szCs w:val="48"/>
        </w:rPr>
        <w:t xml:space="preserve">Slough Borough Council </w:t>
      </w:r>
      <w:r w:rsidR="00B34D0A" w:rsidRPr="00412F35" w:rsidDel="00B34D0A">
        <w:rPr>
          <w:color w:val="008938"/>
          <w:kern w:val="72"/>
          <w:sz w:val="48"/>
          <w:szCs w:val="48"/>
        </w:rPr>
        <w:t xml:space="preserve"> </w:t>
      </w:r>
    </w:p>
    <w:p w14:paraId="3813978B" w14:textId="1C761DFC" w:rsidR="00A63313" w:rsidRPr="00C5316D" w:rsidRDefault="00092C52" w:rsidP="0046508E">
      <w:pPr>
        <w:pStyle w:val="Header"/>
        <w:tabs>
          <w:tab w:val="clear" w:pos="9072"/>
          <w:tab w:val="center" w:pos="4153"/>
          <w:tab w:val="right" w:pos="8306"/>
        </w:tabs>
        <w:rPr>
          <w:color w:val="008938"/>
          <w:kern w:val="72"/>
          <w:sz w:val="48"/>
          <w:szCs w:val="48"/>
        </w:rPr>
      </w:pPr>
      <w:r w:rsidRPr="00C5316D">
        <w:rPr>
          <w:color w:val="008938"/>
          <w:kern w:val="72"/>
          <w:sz w:val="48"/>
          <w:szCs w:val="48"/>
        </w:rPr>
        <w:t>Air Quality Action Plan</w:t>
      </w:r>
      <w:r w:rsidR="00412F35">
        <w:rPr>
          <w:color w:val="008938"/>
          <w:kern w:val="72"/>
          <w:sz w:val="48"/>
          <w:szCs w:val="48"/>
        </w:rPr>
        <w:t xml:space="preserve"> (2024 – 2028)</w:t>
      </w:r>
    </w:p>
    <w:p w14:paraId="6A9A41B7" w14:textId="77777777" w:rsidR="00412F35" w:rsidRDefault="00412F35" w:rsidP="0046508E">
      <w:pPr>
        <w:pStyle w:val="Header"/>
        <w:tabs>
          <w:tab w:val="clear" w:pos="9072"/>
          <w:tab w:val="center" w:pos="4153"/>
          <w:tab w:val="right" w:pos="8306"/>
        </w:tabs>
        <w:rPr>
          <w:color w:val="008938"/>
          <w:kern w:val="72"/>
          <w:sz w:val="36"/>
          <w:szCs w:val="72"/>
        </w:rPr>
      </w:pPr>
    </w:p>
    <w:p w14:paraId="0AEA47EB" w14:textId="77777777" w:rsidR="00412F35" w:rsidRDefault="00412F35" w:rsidP="0046508E">
      <w:pPr>
        <w:pStyle w:val="Header"/>
        <w:tabs>
          <w:tab w:val="clear" w:pos="9072"/>
          <w:tab w:val="center" w:pos="4153"/>
          <w:tab w:val="right" w:pos="8306"/>
        </w:tabs>
        <w:rPr>
          <w:color w:val="008938"/>
          <w:kern w:val="72"/>
          <w:sz w:val="36"/>
          <w:szCs w:val="72"/>
        </w:rPr>
      </w:pPr>
    </w:p>
    <w:p w14:paraId="40205DEA" w14:textId="77777777" w:rsidR="00412F35" w:rsidRDefault="00412F35" w:rsidP="0046508E">
      <w:pPr>
        <w:pStyle w:val="Header"/>
        <w:tabs>
          <w:tab w:val="clear" w:pos="9072"/>
          <w:tab w:val="center" w:pos="4153"/>
          <w:tab w:val="right" w:pos="8306"/>
        </w:tabs>
        <w:rPr>
          <w:color w:val="008938"/>
          <w:kern w:val="72"/>
          <w:sz w:val="36"/>
          <w:szCs w:val="72"/>
        </w:rPr>
      </w:pPr>
    </w:p>
    <w:p w14:paraId="387D67DA" w14:textId="77777777" w:rsidR="00412F35" w:rsidRDefault="00412F35" w:rsidP="0046508E">
      <w:pPr>
        <w:pStyle w:val="Header"/>
        <w:tabs>
          <w:tab w:val="clear" w:pos="9072"/>
          <w:tab w:val="center" w:pos="4153"/>
          <w:tab w:val="right" w:pos="8306"/>
        </w:tabs>
        <w:rPr>
          <w:color w:val="008938"/>
          <w:kern w:val="72"/>
          <w:sz w:val="36"/>
          <w:szCs w:val="72"/>
        </w:rPr>
      </w:pPr>
    </w:p>
    <w:p w14:paraId="026F369F" w14:textId="77777777" w:rsidR="00412F35" w:rsidRDefault="00412F35" w:rsidP="0046508E">
      <w:pPr>
        <w:pStyle w:val="Header"/>
        <w:tabs>
          <w:tab w:val="clear" w:pos="9072"/>
          <w:tab w:val="center" w:pos="4153"/>
          <w:tab w:val="right" w:pos="8306"/>
        </w:tabs>
        <w:rPr>
          <w:color w:val="008938"/>
          <w:kern w:val="72"/>
          <w:sz w:val="36"/>
          <w:szCs w:val="72"/>
        </w:rPr>
      </w:pPr>
    </w:p>
    <w:p w14:paraId="78CB69F3" w14:textId="3AD7FBF9" w:rsidR="00B717F0" w:rsidRPr="00C5316D" w:rsidRDefault="00A63313" w:rsidP="0046508E">
      <w:pPr>
        <w:pStyle w:val="Header"/>
        <w:tabs>
          <w:tab w:val="clear" w:pos="9072"/>
          <w:tab w:val="center" w:pos="4153"/>
          <w:tab w:val="right" w:pos="8306"/>
        </w:tabs>
        <w:rPr>
          <w:color w:val="008938"/>
          <w:kern w:val="72"/>
          <w:sz w:val="36"/>
          <w:szCs w:val="72"/>
        </w:rPr>
      </w:pPr>
      <w:r w:rsidRPr="00C5316D">
        <w:rPr>
          <w:color w:val="008938"/>
          <w:kern w:val="72"/>
          <w:sz w:val="36"/>
          <w:szCs w:val="72"/>
        </w:rPr>
        <w:t xml:space="preserve">In </w:t>
      </w:r>
      <w:r w:rsidR="001420D6" w:rsidRPr="00C5316D">
        <w:rPr>
          <w:color w:val="008938"/>
          <w:kern w:val="72"/>
          <w:sz w:val="36"/>
          <w:szCs w:val="72"/>
        </w:rPr>
        <w:t>fulfilment</w:t>
      </w:r>
      <w:r w:rsidRPr="00C5316D">
        <w:rPr>
          <w:color w:val="008938"/>
          <w:kern w:val="72"/>
          <w:sz w:val="36"/>
          <w:szCs w:val="72"/>
        </w:rPr>
        <w:t xml:space="preserve"> of Part IV of the</w:t>
      </w:r>
      <w:r w:rsidR="00B717F0" w:rsidRPr="00C5316D">
        <w:rPr>
          <w:color w:val="008938"/>
          <w:kern w:val="72"/>
          <w:sz w:val="36"/>
          <w:szCs w:val="72"/>
        </w:rPr>
        <w:t xml:space="preserve"> </w:t>
      </w:r>
      <w:r w:rsidRPr="00C5316D">
        <w:rPr>
          <w:color w:val="008938"/>
          <w:kern w:val="72"/>
          <w:sz w:val="36"/>
          <w:szCs w:val="72"/>
        </w:rPr>
        <w:t>Environment Act 1995</w:t>
      </w:r>
    </w:p>
    <w:p w14:paraId="46957837" w14:textId="2D1A72A8" w:rsidR="00A63313" w:rsidRPr="00C5316D" w:rsidRDefault="00A63313" w:rsidP="0046508E">
      <w:pPr>
        <w:pStyle w:val="Header"/>
        <w:tabs>
          <w:tab w:val="clear" w:pos="9072"/>
          <w:tab w:val="center" w:pos="4153"/>
          <w:tab w:val="right" w:pos="8306"/>
        </w:tabs>
        <w:rPr>
          <w:color w:val="008938"/>
          <w:kern w:val="72"/>
          <w:sz w:val="36"/>
          <w:szCs w:val="72"/>
        </w:rPr>
      </w:pPr>
      <w:r w:rsidRPr="00C5316D">
        <w:rPr>
          <w:color w:val="008938"/>
          <w:kern w:val="72"/>
          <w:sz w:val="36"/>
          <w:szCs w:val="72"/>
        </w:rPr>
        <w:t>Local Air Quality Management</w:t>
      </w:r>
    </w:p>
    <w:p w14:paraId="6177C157" w14:textId="48B9775D" w:rsidR="00B34D0A" w:rsidRPr="00412F35" w:rsidRDefault="00412F35" w:rsidP="00B34D0A">
      <w:pPr>
        <w:pStyle w:val="Header"/>
        <w:tabs>
          <w:tab w:val="clear" w:pos="9072"/>
          <w:tab w:val="center" w:pos="4153"/>
          <w:tab w:val="right" w:pos="8306"/>
        </w:tabs>
        <w:rPr>
          <w:color w:val="008938"/>
          <w:kern w:val="72"/>
          <w:sz w:val="36"/>
          <w:szCs w:val="72"/>
        </w:rPr>
      </w:pPr>
      <w:r w:rsidRPr="00412F35">
        <w:rPr>
          <w:color w:val="008938"/>
          <w:kern w:val="72"/>
          <w:sz w:val="36"/>
          <w:szCs w:val="72"/>
        </w:rPr>
        <w:t>February 2024</w:t>
      </w:r>
    </w:p>
    <w:p w14:paraId="142A5FE0" w14:textId="77777777" w:rsidR="00A556EF" w:rsidRDefault="00A63313" w:rsidP="0046508E">
      <w:r w:rsidRPr="00E3664B">
        <w:br w:type="page"/>
      </w:r>
    </w:p>
    <w:tbl>
      <w:tblPr>
        <w:tblStyle w:val="LAQMReporting"/>
        <w:tblW w:w="0" w:type="auto"/>
        <w:tblLook w:val="04A0" w:firstRow="1" w:lastRow="0" w:firstColumn="1" w:lastColumn="0" w:noHBand="0" w:noVBand="1"/>
      </w:tblPr>
      <w:tblGrid>
        <w:gridCol w:w="4541"/>
        <w:gridCol w:w="4519"/>
      </w:tblGrid>
      <w:tr w:rsidR="00B34D0A" w:rsidRPr="00116356" w14:paraId="6847B388" w14:textId="77777777" w:rsidTr="003577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41" w:type="dxa"/>
          </w:tcPr>
          <w:p w14:paraId="38ACC0A9" w14:textId="77777777" w:rsidR="00B34D0A" w:rsidRPr="00D877E3" w:rsidRDefault="00B34D0A" w:rsidP="00B34D0A">
            <w:pPr>
              <w:spacing w:line="240" w:lineRule="auto"/>
              <w:rPr>
                <w:bCs/>
                <w:sz w:val="28"/>
              </w:rPr>
            </w:pPr>
            <w:r w:rsidRPr="00D877E3">
              <w:rPr>
                <w:bCs/>
                <w:sz w:val="28"/>
              </w:rPr>
              <w:lastRenderedPageBreak/>
              <w:t>Information</w:t>
            </w:r>
          </w:p>
        </w:tc>
        <w:tc>
          <w:tcPr>
            <w:tcW w:w="4519" w:type="dxa"/>
            <w:vAlign w:val="top"/>
          </w:tcPr>
          <w:p w14:paraId="5667D448" w14:textId="4655D14F" w:rsidR="00B34D0A" w:rsidRPr="00D877E3" w:rsidRDefault="0007651D" w:rsidP="00B34D0A">
            <w:pPr>
              <w:spacing w:line="240" w:lineRule="auto"/>
              <w:cnfStyle w:val="100000000000" w:firstRow="1" w:lastRow="0" w:firstColumn="0" w:lastColumn="0" w:oddVBand="0" w:evenVBand="0" w:oddHBand="0" w:evenHBand="0" w:firstRowFirstColumn="0" w:firstRowLastColumn="0" w:lastRowFirstColumn="0" w:lastRowLastColumn="0"/>
              <w:rPr>
                <w:rFonts w:cs="Arial"/>
                <w:bCs/>
                <w:sz w:val="28"/>
              </w:rPr>
            </w:pPr>
            <w:r w:rsidRPr="0007651D">
              <w:rPr>
                <w:color w:val="FFFFFF" w:themeColor="background1"/>
              </w:rPr>
              <w:t>Slough Borough Council</w:t>
            </w:r>
            <w:r w:rsidR="00B34D0A" w:rsidRPr="0007651D">
              <w:rPr>
                <w:color w:val="FFFFFF" w:themeColor="background1"/>
              </w:rPr>
              <w:t xml:space="preserve"> </w:t>
            </w:r>
            <w:r w:rsidR="00B34D0A" w:rsidRPr="0063005C">
              <w:t>Details</w:t>
            </w:r>
          </w:p>
        </w:tc>
      </w:tr>
      <w:tr w:rsidR="00B34D0A" w:rsidRPr="00116356" w14:paraId="41E7FACF"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21BF5F65" w14:textId="77777777" w:rsidR="00B34D0A" w:rsidRPr="00CE2D05" w:rsidRDefault="00B34D0A" w:rsidP="00B34D0A">
            <w:pPr>
              <w:spacing w:line="240" w:lineRule="auto"/>
              <w:rPr>
                <w:b/>
                <w:bCs/>
                <w:u w:color="FFFFFF"/>
              </w:rPr>
            </w:pPr>
            <w:r w:rsidRPr="00CE2D05">
              <w:rPr>
                <w:b/>
                <w:bCs/>
              </w:rPr>
              <w:t>Local Authority Officer</w:t>
            </w:r>
          </w:p>
        </w:tc>
        <w:tc>
          <w:tcPr>
            <w:tcW w:w="4519" w:type="dxa"/>
            <w:vAlign w:val="top"/>
          </w:tcPr>
          <w:p w14:paraId="45BB6A40" w14:textId="680AE323" w:rsidR="00B34D0A" w:rsidRPr="00B258FA" w:rsidRDefault="0007651D"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258FA">
              <w:t>Sophia Norfolk</w:t>
            </w:r>
          </w:p>
        </w:tc>
      </w:tr>
      <w:tr w:rsidR="00B34D0A" w:rsidRPr="00116356" w14:paraId="194837F0"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7B8D9DB4" w14:textId="77777777" w:rsidR="00B34D0A" w:rsidRPr="00CE2D05" w:rsidRDefault="00B34D0A" w:rsidP="00B34D0A">
            <w:pPr>
              <w:spacing w:line="240" w:lineRule="auto"/>
              <w:rPr>
                <w:b/>
                <w:u w:color="FFFFFF"/>
              </w:rPr>
            </w:pPr>
            <w:r w:rsidRPr="00CE2D05">
              <w:rPr>
                <w:b/>
                <w:u w:color="FFFFFF"/>
              </w:rPr>
              <w:t>Department</w:t>
            </w:r>
          </w:p>
        </w:tc>
        <w:tc>
          <w:tcPr>
            <w:tcW w:w="4519" w:type="dxa"/>
            <w:vAlign w:val="top"/>
          </w:tcPr>
          <w:p w14:paraId="02E7FFAD" w14:textId="44304948" w:rsidR="00B34D0A" w:rsidRPr="00B258FA" w:rsidRDefault="0007651D"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258FA">
              <w:t xml:space="preserve">Carbon and Sustainability </w:t>
            </w:r>
          </w:p>
        </w:tc>
      </w:tr>
      <w:tr w:rsidR="00B34D0A" w:rsidRPr="00116356" w14:paraId="38BB3DB3"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0296AC7D" w14:textId="77777777" w:rsidR="00B34D0A" w:rsidRPr="00CE2D05" w:rsidRDefault="00B34D0A" w:rsidP="00B34D0A">
            <w:pPr>
              <w:spacing w:line="240" w:lineRule="auto"/>
              <w:rPr>
                <w:b/>
                <w:u w:color="FFFFFF"/>
              </w:rPr>
            </w:pPr>
            <w:r w:rsidRPr="00CE2D05">
              <w:rPr>
                <w:b/>
                <w:u w:color="FFFFFF"/>
              </w:rPr>
              <w:t>Address</w:t>
            </w:r>
          </w:p>
        </w:tc>
        <w:tc>
          <w:tcPr>
            <w:tcW w:w="4519" w:type="dxa"/>
            <w:vAlign w:val="top"/>
          </w:tcPr>
          <w:p w14:paraId="6963E7A9" w14:textId="466AA2CE" w:rsidR="00B34D0A" w:rsidRPr="00B258FA" w:rsidRDefault="0007651D"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258FA">
              <w:t xml:space="preserve">Observatory House, 25 Windsor Road, Slough, SL1 2EL </w:t>
            </w:r>
          </w:p>
        </w:tc>
      </w:tr>
      <w:tr w:rsidR="00B34D0A" w:rsidRPr="00116356" w14:paraId="15B53698"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023ADDD0" w14:textId="77777777" w:rsidR="00B34D0A" w:rsidRPr="00CE2D05" w:rsidRDefault="00B34D0A" w:rsidP="00B34D0A">
            <w:pPr>
              <w:spacing w:line="240" w:lineRule="auto"/>
              <w:rPr>
                <w:b/>
                <w:u w:color="FFFFFF"/>
              </w:rPr>
            </w:pPr>
            <w:r w:rsidRPr="00CE2D05">
              <w:rPr>
                <w:b/>
                <w:u w:color="FFFFFF"/>
              </w:rPr>
              <w:t>Telephone</w:t>
            </w:r>
          </w:p>
        </w:tc>
        <w:tc>
          <w:tcPr>
            <w:tcW w:w="4519" w:type="dxa"/>
            <w:vAlign w:val="top"/>
          </w:tcPr>
          <w:p w14:paraId="275C299D" w14:textId="044D23E0" w:rsidR="00B34D0A" w:rsidRPr="00B258FA" w:rsidRDefault="00AC7A3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AC7A3A">
              <w:t>01753 475111</w:t>
            </w:r>
          </w:p>
        </w:tc>
      </w:tr>
      <w:tr w:rsidR="00B34D0A" w:rsidRPr="00116356" w14:paraId="168FAC0C"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63FC256E" w14:textId="77777777" w:rsidR="00B34D0A" w:rsidRPr="00CE2D05" w:rsidRDefault="00B34D0A" w:rsidP="00B34D0A">
            <w:pPr>
              <w:spacing w:line="240" w:lineRule="auto"/>
              <w:rPr>
                <w:b/>
                <w:u w:color="FFFFFF"/>
              </w:rPr>
            </w:pPr>
            <w:r w:rsidRPr="00CE2D05">
              <w:rPr>
                <w:b/>
                <w:u w:color="FFFFFF"/>
              </w:rPr>
              <w:t>E-mail</w:t>
            </w:r>
          </w:p>
        </w:tc>
        <w:tc>
          <w:tcPr>
            <w:tcW w:w="4519" w:type="dxa"/>
            <w:vAlign w:val="top"/>
          </w:tcPr>
          <w:p w14:paraId="5B34E059" w14:textId="001C5448" w:rsidR="00B34D0A" w:rsidRPr="00B258FA" w:rsidRDefault="000F4CA1"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hyperlink r:id="rId13" w:history="1">
              <w:r w:rsidR="0007651D" w:rsidRPr="00B258FA">
                <w:rPr>
                  <w:rStyle w:val="Hyperlink"/>
                  <w:color w:val="auto"/>
                </w:rPr>
                <w:t>environmentalquality@slough.gov.uk</w:t>
              </w:r>
            </w:hyperlink>
          </w:p>
        </w:tc>
      </w:tr>
      <w:tr w:rsidR="00B34D0A" w:rsidRPr="00116356" w14:paraId="1EC5F7E4"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20C8098D" w14:textId="77777777" w:rsidR="00B34D0A" w:rsidRPr="00CE2D05" w:rsidRDefault="00B34D0A" w:rsidP="00B34D0A">
            <w:pPr>
              <w:spacing w:line="240" w:lineRule="auto"/>
              <w:rPr>
                <w:b/>
                <w:u w:color="FFFFFF"/>
              </w:rPr>
            </w:pPr>
            <w:r w:rsidRPr="00CE2D05">
              <w:rPr>
                <w:b/>
                <w:u w:color="FFFFFF"/>
              </w:rPr>
              <w:t>Report Reference Number</w:t>
            </w:r>
          </w:p>
        </w:tc>
        <w:tc>
          <w:tcPr>
            <w:tcW w:w="4519" w:type="dxa"/>
            <w:vAlign w:val="top"/>
          </w:tcPr>
          <w:p w14:paraId="35231AC0" w14:textId="42FF7A37" w:rsidR="00B34D0A" w:rsidRPr="00B258FA" w:rsidRDefault="0007651D"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258FA">
              <w:t>AQAP 2024-2028</w:t>
            </w:r>
          </w:p>
        </w:tc>
      </w:tr>
      <w:tr w:rsidR="00B34D0A" w:rsidRPr="00116356" w14:paraId="55FF1600" w14:textId="77777777" w:rsidTr="003577E7">
        <w:tc>
          <w:tcPr>
            <w:cnfStyle w:val="001000000000" w:firstRow="0" w:lastRow="0" w:firstColumn="1" w:lastColumn="0" w:oddVBand="0" w:evenVBand="0" w:oddHBand="0" w:evenHBand="0" w:firstRowFirstColumn="0" w:firstRowLastColumn="0" w:lastRowFirstColumn="0" w:lastRowLastColumn="0"/>
            <w:tcW w:w="4541" w:type="dxa"/>
          </w:tcPr>
          <w:p w14:paraId="2BC3ABE3" w14:textId="77777777" w:rsidR="00B34D0A" w:rsidRPr="00CE2D05" w:rsidRDefault="00B34D0A" w:rsidP="00B34D0A">
            <w:pPr>
              <w:spacing w:line="240" w:lineRule="auto"/>
              <w:rPr>
                <w:b/>
                <w:u w:color="FFFFFF"/>
              </w:rPr>
            </w:pPr>
            <w:r w:rsidRPr="00CE2D05">
              <w:rPr>
                <w:b/>
                <w:u w:color="FFFFFF"/>
              </w:rPr>
              <w:t>Date</w:t>
            </w:r>
          </w:p>
        </w:tc>
        <w:tc>
          <w:tcPr>
            <w:tcW w:w="4519" w:type="dxa"/>
            <w:vAlign w:val="top"/>
          </w:tcPr>
          <w:p w14:paraId="0CA5F6F0" w14:textId="221AF098" w:rsidR="00B34D0A" w:rsidRPr="00B258FA" w:rsidRDefault="0007651D"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258FA">
              <w:t xml:space="preserve">February 2024 </w:t>
            </w:r>
          </w:p>
        </w:tc>
      </w:tr>
    </w:tbl>
    <w:p w14:paraId="098958D5" w14:textId="77777777" w:rsidR="00A556EF" w:rsidRPr="00E3664B" w:rsidRDefault="00A556EF" w:rsidP="0046508E"/>
    <w:p w14:paraId="63E8E799" w14:textId="77777777" w:rsidR="00E84A0D" w:rsidRDefault="00E84A0D" w:rsidP="0046508E">
      <w:pPr>
        <w:pStyle w:val="HeadingPage"/>
        <w:spacing w:line="360" w:lineRule="auto"/>
        <w:sectPr w:rsidR="00E84A0D" w:rsidSect="00272BE7">
          <w:headerReference w:type="default" r:id="rId14"/>
          <w:footerReference w:type="default" r:id="rId15"/>
          <w:pgSz w:w="11906" w:h="16838" w:code="9"/>
          <w:pgMar w:top="1474" w:right="1418" w:bottom="1134" w:left="1418" w:header="964" w:footer="454" w:gutter="0"/>
          <w:pgNumType w:fmt="lowerRoman" w:start="1"/>
          <w:cols w:space="708"/>
          <w:docGrid w:linePitch="360"/>
        </w:sectPr>
      </w:pPr>
    </w:p>
    <w:p w14:paraId="0A31EF87" w14:textId="77777777" w:rsidR="001B1A56" w:rsidRPr="002B4B5B" w:rsidRDefault="001B1A56" w:rsidP="00F77171">
      <w:pPr>
        <w:pStyle w:val="Heading1"/>
      </w:pPr>
      <w:bookmarkStart w:id="0" w:name="_Toc160129538"/>
      <w:bookmarkStart w:id="1" w:name="_Hlk159874937"/>
      <w:r w:rsidRPr="002B4B5B">
        <w:lastRenderedPageBreak/>
        <w:t>Executive Summary</w:t>
      </w:r>
      <w:bookmarkEnd w:id="0"/>
    </w:p>
    <w:p w14:paraId="38BEB395" w14:textId="3A0A1F78" w:rsidR="001B1A56" w:rsidRPr="00E3664B" w:rsidRDefault="001B1A56" w:rsidP="001B1A56">
      <w:r w:rsidRPr="00E3664B">
        <w:t xml:space="preserve">This Air Quality Action Plan (AQAP) has been produced as part of our </w:t>
      </w:r>
      <w:r>
        <w:t>statutory duties required by the</w:t>
      </w:r>
      <w:r w:rsidRPr="00E3664B">
        <w:t xml:space="preserve"> Local Air Quality </w:t>
      </w:r>
      <w:r w:rsidRPr="00E6534F">
        <w:t>Management framework. It outlines the action</w:t>
      </w:r>
      <w:r w:rsidR="00B258FA">
        <w:t>s</w:t>
      </w:r>
      <w:r w:rsidRPr="00E6534F">
        <w:t xml:space="preserve"> we will take to improve air quality in Slough between 2024 and 2028.</w:t>
      </w:r>
    </w:p>
    <w:p w14:paraId="06FC350C" w14:textId="77777777" w:rsidR="001B1A56" w:rsidRPr="00357052" w:rsidRDefault="001B1A56" w:rsidP="001B1A56">
      <w:r w:rsidRPr="00E3664B">
        <w:t>This action plan replaces the previous action plan</w:t>
      </w:r>
      <w:r>
        <w:t xml:space="preserve">s </w:t>
      </w:r>
      <w:r w:rsidRPr="00E3664B">
        <w:t xml:space="preserve">which </w:t>
      </w:r>
      <w:r>
        <w:t>were produced in 2005 and 2012, and supports Slough Borough Council’s Low Emission Strategy (2018-2025)</w:t>
      </w:r>
      <w:r w:rsidRPr="00E3664B">
        <w:t xml:space="preserve">. </w:t>
      </w:r>
      <w:r>
        <w:t>Key projects</w:t>
      </w:r>
      <w:r w:rsidRPr="00E3664B">
        <w:t xml:space="preserve"> delivered through the past action plan</w:t>
      </w:r>
      <w:r>
        <w:t>s</w:t>
      </w:r>
      <w:r w:rsidRPr="00E3664B">
        <w:t xml:space="preserve"> include: </w:t>
      </w:r>
      <w:r w:rsidRPr="00357052">
        <w:t xml:space="preserve"> </w:t>
      </w:r>
    </w:p>
    <w:p w14:paraId="148BBFA4" w14:textId="56A1A4D8" w:rsidR="001B1A56" w:rsidRDefault="001B1A56" w:rsidP="0025036F">
      <w:pPr>
        <w:pStyle w:val="ListParagraph"/>
        <w:numPr>
          <w:ilvl w:val="0"/>
          <w:numId w:val="66"/>
        </w:numPr>
        <w:contextualSpacing/>
      </w:pPr>
      <w:r>
        <w:t xml:space="preserve">Development of the Slough Electric Vehicle Charging Infrastructure Strategy in preparation of a boroughwide rollout </w:t>
      </w:r>
      <w:r w:rsidR="00B258FA">
        <w:t xml:space="preserve">of </w:t>
      </w:r>
      <w:r>
        <w:t>electric vehicle charging facilities</w:t>
      </w:r>
      <w:r w:rsidR="00B258FA">
        <w:t>.</w:t>
      </w:r>
      <w:r>
        <w:t xml:space="preserve"> </w:t>
      </w:r>
    </w:p>
    <w:p w14:paraId="5043A57C" w14:textId="33574949" w:rsidR="001B1A56" w:rsidRDefault="001B1A56" w:rsidP="0025036F">
      <w:pPr>
        <w:pStyle w:val="ListParagraph"/>
        <w:numPr>
          <w:ilvl w:val="0"/>
          <w:numId w:val="66"/>
        </w:numPr>
        <w:contextualSpacing/>
      </w:pPr>
      <w:r>
        <w:t xml:space="preserve">Securing mitigation and S106 contributions via the Low Emission Strategy to reduce emissions from new developments and building funding towards the  </w:t>
      </w:r>
      <w:r w:rsidR="00B258FA">
        <w:t xml:space="preserve">Low Emission Strategy Programme. </w:t>
      </w:r>
    </w:p>
    <w:p w14:paraId="4E3054A5" w14:textId="36A3568D" w:rsidR="001B1A56" w:rsidRDefault="001B1A56" w:rsidP="0025036F">
      <w:pPr>
        <w:pStyle w:val="ListParagraph"/>
        <w:numPr>
          <w:ilvl w:val="0"/>
          <w:numId w:val="66"/>
        </w:numPr>
        <w:contextualSpacing/>
      </w:pPr>
      <w:r>
        <w:t>Securing funding from Defra and the Office for Zero Emission Vehicles (OZEV) to support the taxi trade to transition to electric vehicles</w:t>
      </w:r>
      <w:r w:rsidR="00B258FA">
        <w:t>.</w:t>
      </w:r>
      <w:r>
        <w:t xml:space="preserve"> </w:t>
      </w:r>
    </w:p>
    <w:p w14:paraId="2F2C2C89" w14:textId="53B51445" w:rsidR="001B1A56" w:rsidRDefault="001B1A56" w:rsidP="0025036F">
      <w:pPr>
        <w:pStyle w:val="ListParagraph"/>
        <w:numPr>
          <w:ilvl w:val="0"/>
          <w:numId w:val="66"/>
        </w:numPr>
        <w:contextualSpacing/>
      </w:pPr>
      <w:r>
        <w:t>Implementation of the A4 bus lane scheme and secur</w:t>
      </w:r>
      <w:r w:rsidR="00B258FA">
        <w:t>ing</w:t>
      </w:r>
      <w:r>
        <w:t xml:space="preserve"> funding for expanding the scheme to incorporate segregated cycle lanes and address safety issues on the A4.</w:t>
      </w:r>
    </w:p>
    <w:p w14:paraId="4CB56181" w14:textId="743C35A5" w:rsidR="001B1A56" w:rsidRDefault="001B1A56" w:rsidP="0025036F">
      <w:pPr>
        <w:pStyle w:val="ListParagraph"/>
        <w:numPr>
          <w:ilvl w:val="0"/>
          <w:numId w:val="66"/>
        </w:numPr>
        <w:contextualSpacing/>
      </w:pPr>
      <w:r>
        <w:t>Successful trial of e-scooters and Cabinet approval to re</w:t>
      </w:r>
      <w:r w:rsidR="008B43FE">
        <w:t>start</w:t>
      </w:r>
      <w:r>
        <w:t xml:space="preserve"> the scheme for a further four years, extended to include e-bikes.</w:t>
      </w:r>
    </w:p>
    <w:p w14:paraId="656A749E" w14:textId="64D776ED" w:rsidR="001B1A56" w:rsidRPr="003F7866" w:rsidRDefault="001B1A56" w:rsidP="0025036F">
      <w:pPr>
        <w:pStyle w:val="ListParagraph"/>
        <w:numPr>
          <w:ilvl w:val="0"/>
          <w:numId w:val="66"/>
        </w:numPr>
        <w:contextualSpacing/>
      </w:pPr>
      <w:r>
        <w:t xml:space="preserve">Road widening schemes to improve traffic flows, including </w:t>
      </w:r>
      <w:r w:rsidRPr="003F7866">
        <w:t>Langley High Street widening from Langley College to Elmhurst Road</w:t>
      </w:r>
      <w:r>
        <w:t xml:space="preserve"> and </w:t>
      </w:r>
      <w:r w:rsidRPr="003F7866">
        <w:t xml:space="preserve">Brands Hill widening and junction upgrade / redesign </w:t>
      </w:r>
      <w:r>
        <w:t>from the</w:t>
      </w:r>
      <w:r w:rsidRPr="003F7866">
        <w:t xml:space="preserve"> A4 to </w:t>
      </w:r>
      <w:r>
        <w:t xml:space="preserve">Colnbrook </w:t>
      </w:r>
      <w:r w:rsidRPr="003F7866">
        <w:t>By-pass</w:t>
      </w:r>
      <w:r w:rsidR="00B258FA">
        <w:t>.</w:t>
      </w:r>
    </w:p>
    <w:p w14:paraId="4008BAAC" w14:textId="38FA5676" w:rsidR="001B1A56" w:rsidRPr="003F7866" w:rsidRDefault="001B1A56" w:rsidP="0025036F">
      <w:pPr>
        <w:pStyle w:val="ListParagraph"/>
        <w:numPr>
          <w:ilvl w:val="0"/>
          <w:numId w:val="66"/>
        </w:numPr>
        <w:contextualSpacing/>
      </w:pPr>
      <w:r>
        <w:t xml:space="preserve">Improving the public realm at train stations, including the Slough </w:t>
      </w:r>
      <w:r w:rsidRPr="003F7866">
        <w:t>Station Forecourt (north side)</w:t>
      </w:r>
      <w:r>
        <w:t xml:space="preserve">, including the provision of </w:t>
      </w:r>
      <w:r w:rsidRPr="003F7866">
        <w:t>new access arrangements</w:t>
      </w:r>
      <w:r w:rsidR="00B258FA">
        <w:t>.</w:t>
      </w:r>
    </w:p>
    <w:p w14:paraId="29EE3A31" w14:textId="7C424555" w:rsidR="001B1A56" w:rsidRPr="003F7866" w:rsidRDefault="001B1A56" w:rsidP="0025036F">
      <w:pPr>
        <w:pStyle w:val="ListParagraph"/>
        <w:numPr>
          <w:ilvl w:val="0"/>
          <w:numId w:val="66"/>
        </w:numPr>
        <w:contextualSpacing/>
      </w:pPr>
      <w:r>
        <w:t xml:space="preserve">Junction upgrades to ease congestion, including </w:t>
      </w:r>
      <w:r w:rsidRPr="003F7866">
        <w:t>William St</w:t>
      </w:r>
      <w:r w:rsidR="00902898">
        <w:t xml:space="preserve">reet </w:t>
      </w:r>
      <w:r w:rsidRPr="003F7866">
        <w:t>North junction upgrade</w:t>
      </w:r>
      <w:r>
        <w:t xml:space="preserve"> and the </w:t>
      </w:r>
      <w:r w:rsidRPr="003F7866">
        <w:t>A4/Wellington St</w:t>
      </w:r>
      <w:r w:rsidR="00902898">
        <w:t xml:space="preserve">reet </w:t>
      </w:r>
      <w:r w:rsidRPr="003F7866">
        <w:t>junction upgrade for right turning vehicles</w:t>
      </w:r>
      <w:r>
        <w:t xml:space="preserve">, in conjunction with </w:t>
      </w:r>
      <w:r w:rsidRPr="003F7866">
        <w:t>traffic signal junction improvements across the borough</w:t>
      </w:r>
      <w:r w:rsidR="00B258FA">
        <w:t>.</w:t>
      </w:r>
    </w:p>
    <w:p w14:paraId="333B3E3F" w14:textId="483A16CA" w:rsidR="001B1A56" w:rsidRDefault="001B1A56" w:rsidP="00B258FA">
      <w:pPr>
        <w:pStyle w:val="Heading2"/>
        <w:numPr>
          <w:ilvl w:val="0"/>
          <w:numId w:val="0"/>
        </w:numPr>
        <w:ind w:left="570" w:hanging="567"/>
      </w:pPr>
      <w:bookmarkStart w:id="2" w:name="_Toc160129539"/>
      <w:r>
        <w:lastRenderedPageBreak/>
        <w:t xml:space="preserve">Current </w:t>
      </w:r>
      <w:r w:rsidR="00A1555E">
        <w:t>A</w:t>
      </w:r>
      <w:r>
        <w:t xml:space="preserve">ir </w:t>
      </w:r>
      <w:r w:rsidR="00A1555E">
        <w:t>Q</w:t>
      </w:r>
      <w:r>
        <w:t>uality in Slough</w:t>
      </w:r>
      <w:bookmarkEnd w:id="2"/>
    </w:p>
    <w:p w14:paraId="551790C8" w14:textId="653A9219" w:rsidR="0014058A" w:rsidRDefault="0014058A" w:rsidP="001B1A56">
      <w:pPr>
        <w:spacing w:before="0"/>
      </w:pPr>
      <w:r>
        <w:t>Slough Borough Council monitor air quality to assess compliance against the following air quality objectives</w:t>
      </w:r>
      <w:r w:rsidR="00902898">
        <w:t xml:space="preserve"> shown in Table A below:</w:t>
      </w:r>
    </w:p>
    <w:tbl>
      <w:tblPr>
        <w:tblStyle w:val="TableStyle4"/>
        <w:tblpPr w:leftFromText="180" w:rightFromText="180" w:vertAnchor="page" w:horzAnchor="margin" w:tblpY="3917"/>
        <w:tblW w:w="9085" w:type="dxa"/>
        <w:tblLook w:val="04A0" w:firstRow="1" w:lastRow="0" w:firstColumn="1" w:lastColumn="0" w:noHBand="0" w:noVBand="1"/>
      </w:tblPr>
      <w:tblGrid>
        <w:gridCol w:w="2286"/>
        <w:gridCol w:w="5080"/>
        <w:gridCol w:w="1719"/>
      </w:tblGrid>
      <w:tr w:rsidR="00902898" w:rsidRPr="00130A54" w14:paraId="20934BF6" w14:textId="77777777" w:rsidTr="00902898">
        <w:trPr>
          <w:cnfStyle w:val="100000000000" w:firstRow="1" w:lastRow="0" w:firstColumn="0" w:lastColumn="0" w:oddVBand="0" w:evenVBand="0" w:oddHBand="0" w:evenHBand="0" w:firstRowFirstColumn="0" w:firstRowLastColumn="0" w:lastRowFirstColumn="0" w:lastRowLastColumn="0"/>
          <w:trHeight w:val="788"/>
          <w:tblHeader/>
        </w:trPr>
        <w:tc>
          <w:tcPr>
            <w:cnfStyle w:val="001000000000" w:firstRow="0" w:lastRow="0" w:firstColumn="1" w:lastColumn="0" w:oddVBand="0" w:evenVBand="0" w:oddHBand="0" w:evenHBand="0" w:firstRowFirstColumn="0" w:firstRowLastColumn="0" w:lastRowFirstColumn="0" w:lastRowLastColumn="0"/>
            <w:tcW w:w="2286" w:type="dxa"/>
          </w:tcPr>
          <w:p w14:paraId="374D5047" w14:textId="77777777" w:rsidR="00902898" w:rsidRPr="00130A54" w:rsidRDefault="00902898" w:rsidP="00902898">
            <w:pPr>
              <w:spacing w:line="240" w:lineRule="auto"/>
              <w:jc w:val="left"/>
              <w:rPr>
                <w:rFonts w:cs="Arial"/>
                <w:sz w:val="20"/>
              </w:rPr>
            </w:pPr>
            <w:r w:rsidRPr="00130A54">
              <w:rPr>
                <w:rFonts w:cs="Arial"/>
                <w:sz w:val="20"/>
              </w:rPr>
              <w:t>Pollutant</w:t>
            </w:r>
          </w:p>
        </w:tc>
        <w:tc>
          <w:tcPr>
            <w:tcW w:w="5080" w:type="dxa"/>
          </w:tcPr>
          <w:p w14:paraId="2C0D88EA" w14:textId="77777777" w:rsidR="00902898" w:rsidRPr="00130A54" w:rsidRDefault="00902898" w:rsidP="00902898">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w:t>
            </w:r>
          </w:p>
        </w:tc>
        <w:tc>
          <w:tcPr>
            <w:tcW w:w="1719" w:type="dxa"/>
          </w:tcPr>
          <w:p w14:paraId="1E4A39AC" w14:textId="77777777" w:rsidR="00902898" w:rsidRPr="00130A54" w:rsidRDefault="00902898" w:rsidP="00902898">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rPr>
            </w:pPr>
            <w:r>
              <w:rPr>
                <w:rFonts w:cs="Arial"/>
                <w:sz w:val="20"/>
              </w:rPr>
              <w:t>Averaging Period</w:t>
            </w:r>
          </w:p>
        </w:tc>
      </w:tr>
      <w:tr w:rsidR="00902898" w:rsidRPr="00130A54" w14:paraId="5F483355" w14:textId="77777777" w:rsidTr="00902898">
        <w:trPr>
          <w:cnfStyle w:val="100000000000" w:firstRow="1" w:lastRow="0" w:firstColumn="0" w:lastColumn="0" w:oddVBand="0" w:evenVBand="0" w:oddHBand="0" w:evenHBand="0" w:firstRowFirstColumn="0" w:firstRowLastColumn="0" w:lastRowFirstColumn="0" w:lastRowLastColumn="0"/>
          <w:trHeight w:val="788"/>
          <w:tblHeader/>
        </w:trPr>
        <w:tc>
          <w:tcPr>
            <w:cnfStyle w:val="001000000000" w:firstRow="0" w:lastRow="0" w:firstColumn="1" w:lastColumn="0" w:oddVBand="0" w:evenVBand="0" w:oddHBand="0" w:evenHBand="0" w:firstRowFirstColumn="0" w:firstRowLastColumn="0" w:lastRowFirstColumn="0" w:lastRowLastColumn="0"/>
            <w:tcW w:w="2286" w:type="dxa"/>
            <w:shd w:val="clear" w:color="auto" w:fill="FFFFFF" w:themeFill="background1"/>
          </w:tcPr>
          <w:p w14:paraId="4DD5D2FD" w14:textId="77777777" w:rsidR="00902898" w:rsidRPr="00964221" w:rsidRDefault="00902898" w:rsidP="00902898">
            <w:pPr>
              <w:spacing w:before="0" w:after="0" w:line="240" w:lineRule="auto"/>
              <w:rPr>
                <w:rFonts w:cs="Arial"/>
                <w:b w:val="0"/>
                <w:color w:val="0B0C0C"/>
              </w:rPr>
            </w:pPr>
            <w:r>
              <w:rPr>
                <w:rFonts w:cs="Arial"/>
                <w:b w:val="0"/>
                <w:color w:val="0B0C0C"/>
              </w:rPr>
              <w:t>Nitrogen Dioxide (NO</w:t>
            </w:r>
            <w:r>
              <w:rPr>
                <w:rFonts w:cs="Arial"/>
                <w:b w:val="0"/>
                <w:color w:val="0B0C0C"/>
                <w:vertAlign w:val="subscript"/>
              </w:rPr>
              <w:t>2</w:t>
            </w:r>
            <w:r>
              <w:rPr>
                <w:rFonts w:cs="Arial"/>
                <w:b w:val="0"/>
                <w:color w:val="0B0C0C"/>
              </w:rPr>
              <w:t>)</w:t>
            </w:r>
          </w:p>
        </w:tc>
        <w:tc>
          <w:tcPr>
            <w:tcW w:w="5080" w:type="dxa"/>
            <w:shd w:val="clear" w:color="auto" w:fill="FFFFFF" w:themeFill="background1"/>
            <w:vAlign w:val="top"/>
          </w:tcPr>
          <w:p w14:paraId="1F0C1DB6" w14:textId="77777777" w:rsidR="00902898" w:rsidRPr="00964221" w:rsidRDefault="00902898" w:rsidP="00902898">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bCs/>
                <w:color w:val="0B0C0C"/>
              </w:rPr>
            </w:pPr>
            <w:r w:rsidRPr="00964221">
              <w:rPr>
                <w:rFonts w:cs="Arial"/>
                <w:b w:val="0"/>
                <w:bCs/>
                <w:color w:val="0B0C0C"/>
              </w:rPr>
              <w:t>200 µg/m</w:t>
            </w:r>
            <w:r w:rsidRPr="00964221">
              <w:rPr>
                <w:rFonts w:cs="Arial"/>
                <w:b w:val="0"/>
                <w:bCs/>
                <w:color w:val="0B0C0C"/>
                <w:sz w:val="19"/>
                <w:szCs w:val="19"/>
                <w:vertAlign w:val="superscript"/>
              </w:rPr>
              <w:t>3</w:t>
            </w:r>
            <w:r w:rsidRPr="00964221">
              <w:rPr>
                <w:rFonts w:cs="Arial"/>
                <w:b w:val="0"/>
                <w:bCs/>
                <w:color w:val="0B0C0C"/>
              </w:rPr>
              <w:t> not to be exceeded more than 18 times a year</w:t>
            </w:r>
          </w:p>
        </w:tc>
        <w:tc>
          <w:tcPr>
            <w:tcW w:w="1719" w:type="dxa"/>
            <w:shd w:val="clear" w:color="auto" w:fill="FFFFFF" w:themeFill="background1"/>
            <w:vAlign w:val="top"/>
          </w:tcPr>
          <w:p w14:paraId="2EDC94E0" w14:textId="77777777" w:rsidR="00902898" w:rsidRPr="00964221" w:rsidRDefault="00902898" w:rsidP="00902898">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bCs/>
                <w:color w:val="0B0C0C"/>
              </w:rPr>
            </w:pPr>
            <w:r w:rsidRPr="00964221">
              <w:rPr>
                <w:rFonts w:cs="Arial"/>
                <w:b w:val="0"/>
                <w:bCs/>
                <w:color w:val="0B0C0C"/>
              </w:rPr>
              <w:t>hourly mean </w:t>
            </w:r>
          </w:p>
        </w:tc>
      </w:tr>
      <w:tr w:rsidR="00902898" w:rsidRPr="00130A54" w14:paraId="32394EA6" w14:textId="77777777" w:rsidTr="00902898">
        <w:trPr>
          <w:cnfStyle w:val="100000000000" w:firstRow="1" w:lastRow="0" w:firstColumn="0" w:lastColumn="0" w:oddVBand="0" w:evenVBand="0" w:oddHBand="0" w:evenHBand="0" w:firstRowFirstColumn="0" w:firstRowLastColumn="0" w:lastRowFirstColumn="0" w:lastRowLastColumn="0"/>
          <w:trHeight w:val="788"/>
          <w:tblHeader/>
        </w:trPr>
        <w:tc>
          <w:tcPr>
            <w:cnfStyle w:val="001000000000" w:firstRow="0" w:lastRow="0" w:firstColumn="1" w:lastColumn="0" w:oddVBand="0" w:evenVBand="0" w:oddHBand="0" w:evenHBand="0" w:firstRowFirstColumn="0" w:firstRowLastColumn="0" w:lastRowFirstColumn="0" w:lastRowLastColumn="0"/>
            <w:tcW w:w="2286" w:type="dxa"/>
            <w:shd w:val="clear" w:color="auto" w:fill="FFFFFF" w:themeFill="background1"/>
          </w:tcPr>
          <w:p w14:paraId="6FE63B89" w14:textId="77777777" w:rsidR="00902898" w:rsidRDefault="00902898" w:rsidP="00902898">
            <w:pPr>
              <w:spacing w:before="0" w:after="0" w:line="240" w:lineRule="auto"/>
              <w:rPr>
                <w:rFonts w:cs="Arial"/>
                <w:b w:val="0"/>
                <w:color w:val="0B0C0C"/>
              </w:rPr>
            </w:pPr>
            <w:r>
              <w:rPr>
                <w:rFonts w:cs="Arial"/>
                <w:b w:val="0"/>
                <w:color w:val="0B0C0C"/>
              </w:rPr>
              <w:t>Nitrogen Dioxide (NO</w:t>
            </w:r>
            <w:r>
              <w:rPr>
                <w:rFonts w:cs="Arial"/>
                <w:b w:val="0"/>
                <w:color w:val="0B0C0C"/>
                <w:vertAlign w:val="subscript"/>
              </w:rPr>
              <w:t>2</w:t>
            </w:r>
            <w:r>
              <w:rPr>
                <w:rFonts w:cs="Arial"/>
                <w:b w:val="0"/>
                <w:color w:val="0B0C0C"/>
              </w:rPr>
              <w:t>)</w:t>
            </w:r>
          </w:p>
        </w:tc>
        <w:tc>
          <w:tcPr>
            <w:tcW w:w="5080" w:type="dxa"/>
            <w:shd w:val="clear" w:color="auto" w:fill="FFFFFF" w:themeFill="background1"/>
            <w:vAlign w:val="top"/>
          </w:tcPr>
          <w:p w14:paraId="6E86FA0B" w14:textId="77777777" w:rsidR="00902898" w:rsidRDefault="00902898" w:rsidP="00902898">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color w:val="0B0C0C"/>
              </w:rPr>
            </w:pPr>
          </w:p>
          <w:p w14:paraId="4B335AD3" w14:textId="77777777" w:rsidR="00902898" w:rsidRPr="00964221" w:rsidRDefault="00902898" w:rsidP="00902898">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bCs/>
                <w:color w:val="0B0C0C"/>
              </w:rPr>
            </w:pPr>
            <w:r w:rsidRPr="00964221">
              <w:rPr>
                <w:rFonts w:cs="Arial"/>
                <w:b w:val="0"/>
                <w:bCs/>
                <w:color w:val="0B0C0C"/>
              </w:rPr>
              <w:t>40 µg/m</w:t>
            </w:r>
            <w:r w:rsidRPr="00964221">
              <w:rPr>
                <w:rFonts w:cs="Arial"/>
                <w:b w:val="0"/>
                <w:bCs/>
                <w:color w:val="0B0C0C"/>
                <w:sz w:val="19"/>
                <w:szCs w:val="19"/>
                <w:vertAlign w:val="superscript"/>
              </w:rPr>
              <w:t>3</w:t>
            </w:r>
          </w:p>
        </w:tc>
        <w:tc>
          <w:tcPr>
            <w:tcW w:w="1719" w:type="dxa"/>
            <w:shd w:val="clear" w:color="auto" w:fill="FFFFFF" w:themeFill="background1"/>
            <w:vAlign w:val="top"/>
          </w:tcPr>
          <w:p w14:paraId="0C3040F9" w14:textId="77777777" w:rsidR="00902898" w:rsidRPr="00964221" w:rsidRDefault="00902898" w:rsidP="00902898">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bCs/>
                <w:color w:val="0B0C0C"/>
              </w:rPr>
            </w:pPr>
            <w:r w:rsidRPr="00964221">
              <w:rPr>
                <w:rFonts w:cs="Arial"/>
                <w:b w:val="0"/>
                <w:bCs/>
                <w:color w:val="0B0C0C"/>
              </w:rPr>
              <w:t> annual mean</w:t>
            </w:r>
          </w:p>
        </w:tc>
      </w:tr>
      <w:tr w:rsidR="00902898" w14:paraId="3CA23BA9" w14:textId="77777777" w:rsidTr="00902898">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5B8B0700" w14:textId="77777777" w:rsidR="00902898" w:rsidRDefault="00902898" w:rsidP="00902898">
            <w:pPr>
              <w:spacing w:before="0" w:after="0" w:line="240" w:lineRule="auto"/>
              <w:rPr>
                <w:rFonts w:cs="Arial"/>
                <w:sz w:val="20"/>
              </w:rPr>
            </w:pPr>
            <w:r>
              <w:rPr>
                <w:rFonts w:cs="Arial"/>
                <w:color w:val="0B0C0C"/>
              </w:rPr>
              <w:t>Particulate matter (</w:t>
            </w:r>
            <w:r w:rsidRPr="005E68AF">
              <w:rPr>
                <w:rFonts w:cs="Arial"/>
                <w:color w:val="0B0C0C"/>
              </w:rPr>
              <w:t>PM</w:t>
            </w:r>
            <w:r w:rsidRPr="005E68AF">
              <w:rPr>
                <w:rFonts w:cs="Arial"/>
                <w:color w:val="0B0C0C"/>
                <w:vertAlign w:val="subscript"/>
              </w:rPr>
              <w:t>10</w:t>
            </w:r>
            <w:r>
              <w:rPr>
                <w:rFonts w:cs="Arial"/>
                <w:color w:val="0B0C0C"/>
              </w:rPr>
              <w:t>)</w:t>
            </w:r>
          </w:p>
        </w:tc>
        <w:tc>
          <w:tcPr>
            <w:tcW w:w="5080" w:type="dxa"/>
            <w:vAlign w:val="top"/>
          </w:tcPr>
          <w:p w14:paraId="7F987CE3" w14:textId="77777777" w:rsidR="00902898" w:rsidRPr="0013236F"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50 µg/m</w:t>
            </w:r>
            <w:r>
              <w:rPr>
                <w:rFonts w:cs="Arial"/>
                <w:color w:val="0B0C0C"/>
                <w:sz w:val="19"/>
                <w:szCs w:val="19"/>
                <w:vertAlign w:val="superscript"/>
              </w:rPr>
              <w:t>3</w:t>
            </w:r>
            <w:r>
              <w:rPr>
                <w:rFonts w:cs="Arial"/>
                <w:color w:val="0B0C0C"/>
              </w:rPr>
              <w:t> not to be exceeded more than 35 times a year</w:t>
            </w:r>
          </w:p>
        </w:tc>
        <w:tc>
          <w:tcPr>
            <w:tcW w:w="1719" w:type="dxa"/>
            <w:vAlign w:val="top"/>
          </w:tcPr>
          <w:p w14:paraId="17FC1444"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24 hour mean</w:t>
            </w:r>
          </w:p>
        </w:tc>
      </w:tr>
      <w:tr w:rsidR="00902898" w14:paraId="06FC5A32" w14:textId="77777777" w:rsidTr="00902898">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36D79CC2" w14:textId="77777777" w:rsidR="00902898" w:rsidRDefault="00902898" w:rsidP="00902898">
            <w:pPr>
              <w:spacing w:before="0" w:after="0" w:line="240" w:lineRule="auto"/>
              <w:rPr>
                <w:rFonts w:cs="Arial"/>
                <w:b/>
                <w:bCs/>
                <w:color w:val="0B0C0C"/>
              </w:rPr>
            </w:pPr>
            <w:r>
              <w:rPr>
                <w:rFonts w:cs="Arial"/>
                <w:color w:val="0B0C0C"/>
              </w:rPr>
              <w:t>Particulate matter (</w:t>
            </w:r>
            <w:r w:rsidRPr="005E68AF">
              <w:rPr>
                <w:rFonts w:cs="Arial"/>
                <w:color w:val="0B0C0C"/>
              </w:rPr>
              <w:t>PM</w:t>
            </w:r>
            <w:r w:rsidRPr="005E68AF">
              <w:rPr>
                <w:rFonts w:cs="Arial"/>
                <w:color w:val="0B0C0C"/>
                <w:vertAlign w:val="subscript"/>
              </w:rPr>
              <w:t>10</w:t>
            </w:r>
            <w:r>
              <w:rPr>
                <w:rFonts w:cs="Arial"/>
                <w:color w:val="0B0C0C"/>
              </w:rPr>
              <w:t>)</w:t>
            </w:r>
          </w:p>
        </w:tc>
        <w:tc>
          <w:tcPr>
            <w:tcW w:w="5080" w:type="dxa"/>
            <w:vAlign w:val="top"/>
          </w:tcPr>
          <w:p w14:paraId="08A59A91"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40 µg/m</w:t>
            </w:r>
            <w:r>
              <w:rPr>
                <w:rFonts w:cs="Arial"/>
                <w:color w:val="0B0C0C"/>
                <w:sz w:val="19"/>
                <w:szCs w:val="19"/>
                <w:vertAlign w:val="superscript"/>
              </w:rPr>
              <w:t>3</w:t>
            </w:r>
          </w:p>
        </w:tc>
        <w:tc>
          <w:tcPr>
            <w:tcW w:w="1719" w:type="dxa"/>
            <w:vAlign w:val="top"/>
          </w:tcPr>
          <w:p w14:paraId="54276938" w14:textId="77777777" w:rsidR="00902898" w:rsidRDefault="00902898" w:rsidP="00902898">
            <w:pPr>
              <w:spacing w:before="0" w:after="0" w:line="240" w:lineRule="auto"/>
              <w:ind w:firstLine="36"/>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r w:rsidR="00902898" w14:paraId="2A443CCB" w14:textId="77777777" w:rsidTr="00902898">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1A1CE345" w14:textId="77777777" w:rsidR="00902898" w:rsidRPr="005E68AF" w:rsidRDefault="00902898" w:rsidP="00902898">
            <w:pPr>
              <w:spacing w:before="0" w:after="0" w:line="240" w:lineRule="auto"/>
              <w:rPr>
                <w:rFonts w:cs="Arial"/>
                <w:color w:val="0B0C0C"/>
              </w:rPr>
            </w:pPr>
            <w:r w:rsidRPr="005E68AF">
              <w:rPr>
                <w:rFonts w:cs="Arial"/>
                <w:color w:val="0B0C0C"/>
              </w:rPr>
              <w:t>Particulate matter (PM</w:t>
            </w:r>
            <w:r w:rsidRPr="005E68AF">
              <w:rPr>
                <w:rFonts w:cs="Arial"/>
                <w:color w:val="0B0C0C"/>
                <w:vertAlign w:val="subscript"/>
              </w:rPr>
              <w:t>2.5</w:t>
            </w:r>
            <w:r w:rsidRPr="005E68AF">
              <w:rPr>
                <w:rFonts w:cs="Arial"/>
                <w:color w:val="0B0C0C"/>
              </w:rPr>
              <w:t>)</w:t>
            </w:r>
          </w:p>
        </w:tc>
        <w:tc>
          <w:tcPr>
            <w:tcW w:w="5080" w:type="dxa"/>
            <w:vAlign w:val="top"/>
          </w:tcPr>
          <w:p w14:paraId="61477CE5"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20 µg/m</w:t>
            </w:r>
            <w:r>
              <w:rPr>
                <w:rFonts w:cs="Arial"/>
                <w:color w:val="0B0C0C"/>
                <w:sz w:val="19"/>
                <w:szCs w:val="19"/>
                <w:vertAlign w:val="superscript"/>
              </w:rPr>
              <w:t>3</w:t>
            </w:r>
          </w:p>
        </w:tc>
        <w:tc>
          <w:tcPr>
            <w:tcW w:w="1719" w:type="dxa"/>
            <w:vAlign w:val="top"/>
          </w:tcPr>
          <w:p w14:paraId="0E8F4B31"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r w:rsidR="00902898" w14:paraId="0740153F" w14:textId="77777777" w:rsidTr="00902898">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16DCEEBF" w14:textId="77777777" w:rsidR="00902898" w:rsidRDefault="00902898" w:rsidP="00902898">
            <w:pPr>
              <w:spacing w:before="0" w:after="0" w:line="240" w:lineRule="auto"/>
              <w:rPr>
                <w:rFonts w:cs="Arial"/>
                <w:b/>
                <w:bCs/>
                <w:color w:val="0B0C0C"/>
              </w:rPr>
            </w:pPr>
            <w:r w:rsidRPr="005E68AF">
              <w:rPr>
                <w:rFonts w:cs="Arial"/>
                <w:color w:val="0B0C0C"/>
              </w:rPr>
              <w:t>Particulate matter (PM</w:t>
            </w:r>
            <w:r w:rsidRPr="005E68AF">
              <w:rPr>
                <w:rFonts w:cs="Arial"/>
                <w:color w:val="0B0C0C"/>
                <w:vertAlign w:val="subscript"/>
              </w:rPr>
              <w:t>2.5</w:t>
            </w:r>
            <w:r w:rsidRPr="005E68AF">
              <w:rPr>
                <w:rFonts w:cs="Arial"/>
                <w:color w:val="0B0C0C"/>
              </w:rPr>
              <w:t>)</w:t>
            </w:r>
          </w:p>
        </w:tc>
        <w:tc>
          <w:tcPr>
            <w:tcW w:w="5080" w:type="dxa"/>
            <w:vAlign w:val="top"/>
          </w:tcPr>
          <w:p w14:paraId="34BFD54D"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Target of 20% reduction in concentrations at urban background</w:t>
            </w:r>
          </w:p>
        </w:tc>
        <w:tc>
          <w:tcPr>
            <w:tcW w:w="1719" w:type="dxa"/>
            <w:vAlign w:val="top"/>
          </w:tcPr>
          <w:p w14:paraId="3E66C27D" w14:textId="77777777" w:rsidR="00902898" w:rsidRDefault="00902898" w:rsidP="0090289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bl>
    <w:p w14:paraId="1A7F9212" w14:textId="4BF65B00" w:rsidR="0014058A" w:rsidRDefault="00902898" w:rsidP="006132B8">
      <w:pPr>
        <w:pStyle w:val="Tables"/>
      </w:pPr>
      <w:bookmarkStart w:id="3" w:name="_Toc160128549"/>
      <w:r>
        <w:t>Table A: Air Quality Objectives for Pollutants in Slough</w:t>
      </w:r>
      <w:bookmarkEnd w:id="3"/>
    </w:p>
    <w:p w14:paraId="4185F7F2" w14:textId="77777777" w:rsidR="0014058A" w:rsidRDefault="0014058A" w:rsidP="001B1A56">
      <w:pPr>
        <w:spacing w:before="0"/>
      </w:pPr>
    </w:p>
    <w:p w14:paraId="6D7984A1" w14:textId="1BC1BE2A" w:rsidR="00B258FA" w:rsidRDefault="00B258FA" w:rsidP="001B1A56">
      <w:pPr>
        <w:spacing w:before="0"/>
      </w:pPr>
      <w:r>
        <w:t xml:space="preserve">Slough Borough Council operate </w:t>
      </w:r>
      <w:r w:rsidR="00964221">
        <w:t xml:space="preserve">both </w:t>
      </w:r>
      <w:r>
        <w:t xml:space="preserve">a network of continuous (automatic) and passive (non-automatic) monitors. </w:t>
      </w:r>
    </w:p>
    <w:p w14:paraId="3FF990C6" w14:textId="4D74E401" w:rsidR="00FD11DA" w:rsidRDefault="00B258FA" w:rsidP="00B258FA">
      <w:r>
        <w:t xml:space="preserve">During 2022, the Council continuously monitored air quality at six locations. </w:t>
      </w:r>
      <w:r w:rsidRPr="00D21E0F">
        <w:t>Six monitoring stations monitor NO</w:t>
      </w:r>
      <w:r w:rsidRPr="00D21E0F">
        <w:rPr>
          <w:vertAlign w:val="subscript"/>
        </w:rPr>
        <w:t>2</w:t>
      </w:r>
      <w:r w:rsidRPr="00D21E0F">
        <w:t xml:space="preserve"> concentrations, and four monitoring stations monitor particulate (PM</w:t>
      </w:r>
      <w:r w:rsidRPr="00D21E0F">
        <w:rPr>
          <w:vertAlign w:val="subscript"/>
        </w:rPr>
        <w:t>10</w:t>
      </w:r>
      <w:r w:rsidRPr="00D21E0F">
        <w:t xml:space="preserve">) concentrations using established reference methods. </w:t>
      </w:r>
      <w:r w:rsidR="00FD11DA">
        <w:t xml:space="preserve">The Council also undertook passive monitoring using diffusion tubes at 72 sites (102 diffusion tubes in total) during 2022. </w:t>
      </w:r>
    </w:p>
    <w:p w14:paraId="02CFC591" w14:textId="6447D573" w:rsidR="001B1A56" w:rsidRDefault="00FD11DA" w:rsidP="00FD11DA">
      <w:r>
        <w:t xml:space="preserve">This data has been used to assess how air quality has changed over the last five years. </w:t>
      </w:r>
      <w:r w:rsidR="001B1A56">
        <w:t>Overall, both NO</w:t>
      </w:r>
      <w:r w:rsidR="001B1A56">
        <w:rPr>
          <w:vertAlign w:val="subscript"/>
        </w:rPr>
        <w:t>2</w:t>
      </w:r>
      <w:r w:rsidR="001B1A56">
        <w:t xml:space="preserve"> and PM have improved over </w:t>
      </w:r>
      <w:r>
        <w:t>this time period</w:t>
      </w:r>
      <w:r w:rsidR="001B1A56">
        <w:t xml:space="preserve">. The pandemic accelerated this improvement, which has been sustained across a number of monitoring sites. </w:t>
      </w:r>
      <w:r w:rsidR="00FD084B">
        <w:t>A summary by AQMA is provided below</w:t>
      </w:r>
      <w:r w:rsidR="00964221">
        <w:t xml:space="preserve"> (please refer to the AQMA map provided in Appendix </w:t>
      </w:r>
      <w:r w:rsidR="00EB4D2B">
        <w:t>F</w:t>
      </w:r>
      <w:r w:rsidR="00964221">
        <w:t>)</w:t>
      </w:r>
      <w:r w:rsidR="00FD084B">
        <w:t xml:space="preserve">. Reductions and increases in pollutant concentrations are denoted with ‘-‘ and ‘+’, respectively. </w:t>
      </w:r>
    </w:p>
    <w:p w14:paraId="1D8D3D2A" w14:textId="77777777" w:rsidR="00902898" w:rsidRDefault="00902898" w:rsidP="00FD11DA"/>
    <w:p w14:paraId="40E1DB43" w14:textId="77777777" w:rsidR="00902898" w:rsidRDefault="00902898" w:rsidP="00FD11DA"/>
    <w:p w14:paraId="77DAF482" w14:textId="77777777" w:rsidR="001B1A56" w:rsidRPr="00E10A45" w:rsidRDefault="001B1A56" w:rsidP="00E10A45">
      <w:pPr>
        <w:pStyle w:val="AQAPText"/>
        <w:rPr>
          <w:b/>
          <w:bCs/>
          <w:color w:val="008938"/>
        </w:rPr>
      </w:pPr>
      <w:r w:rsidRPr="00E10A45">
        <w:rPr>
          <w:b/>
          <w:bCs/>
          <w:color w:val="008938"/>
        </w:rPr>
        <w:lastRenderedPageBreak/>
        <w:t xml:space="preserve">AQMA 1: </w:t>
      </w:r>
    </w:p>
    <w:p w14:paraId="25E31F35" w14:textId="0EC7281C" w:rsidR="001B1A56" w:rsidRDefault="001B1A56" w:rsidP="001B1A56">
      <w:pPr>
        <w:spacing w:before="0" w:after="0"/>
        <w:contextualSpacing/>
        <w:rPr>
          <w:rFonts w:cs="Arial"/>
          <w:color w:val="000000"/>
          <w:lang w:eastAsia="en-GB"/>
        </w:rPr>
      </w:pPr>
      <w:r>
        <w:t>Over the last five years, average NO</w:t>
      </w:r>
      <w:r w:rsidRPr="00E65E08">
        <w:rPr>
          <w:vertAlign w:val="subscript"/>
        </w:rPr>
        <w:t>2</w:t>
      </w:r>
      <w:r>
        <w:t xml:space="preserve"> concentrations within AQMA 1 have dropped by -10.2</w:t>
      </w:r>
      <w:r w:rsidRPr="00E65E08">
        <w:rPr>
          <w:rFonts w:cs="Arial"/>
          <w:color w:val="000000"/>
          <w:lang w:eastAsia="en-GB"/>
        </w:rPr>
        <w:t>µg/m</w:t>
      </w:r>
      <w:r w:rsidRPr="00E65E08">
        <w:rPr>
          <w:rFonts w:cs="Arial"/>
          <w:color w:val="000000"/>
          <w:vertAlign w:val="superscript"/>
          <w:lang w:eastAsia="en-GB"/>
        </w:rPr>
        <w:t>3</w:t>
      </w:r>
      <w:r w:rsidRPr="00E65E08">
        <w:rPr>
          <w:rFonts w:cs="Arial"/>
          <w:color w:val="000000"/>
          <w:vertAlign w:val="subscript"/>
          <w:lang w:eastAsia="en-GB"/>
        </w:rPr>
        <w:t xml:space="preserve"> </w:t>
      </w:r>
      <w:r w:rsidRPr="00E65E08">
        <w:rPr>
          <w:rFonts w:cs="Arial"/>
          <w:color w:val="000000"/>
          <w:lang w:eastAsia="en-GB"/>
        </w:rPr>
        <w:t>(31%). The biggest improvement is observed at Paxton Avenue (SLO 25) which has reduced by -13.6µg/m</w:t>
      </w:r>
      <w:r w:rsidRPr="00E65E08">
        <w:rPr>
          <w:rFonts w:cs="Arial"/>
          <w:color w:val="000000"/>
          <w:vertAlign w:val="superscript"/>
          <w:lang w:eastAsia="en-GB"/>
        </w:rPr>
        <w:t>3</w:t>
      </w:r>
      <w:r w:rsidRPr="00E65E08">
        <w:rPr>
          <w:rFonts w:cs="Arial"/>
          <w:color w:val="000000"/>
          <w:lang w:eastAsia="en-GB"/>
        </w:rPr>
        <w:t xml:space="preserve"> (41%) to 19.6</w:t>
      </w:r>
      <w:r w:rsidRPr="00D70E31">
        <w:t>µg/m</w:t>
      </w:r>
      <w:r w:rsidRPr="00E65E08">
        <w:rPr>
          <w:vertAlign w:val="superscript"/>
        </w:rPr>
        <w:t>3</w:t>
      </w:r>
      <w:r>
        <w:t xml:space="preserve"> </w:t>
      </w:r>
      <w:r w:rsidRPr="00E65E08">
        <w:rPr>
          <w:rFonts w:cs="Arial"/>
          <w:color w:val="000000"/>
          <w:lang w:eastAsia="en-GB"/>
        </w:rPr>
        <w:t>since 2018, whereas the site with the smallest improvement is Grampian Way (SLO 8) by -7.0µg/m</w:t>
      </w:r>
      <w:r w:rsidRPr="00E65E08">
        <w:rPr>
          <w:rFonts w:cs="Arial"/>
          <w:color w:val="000000"/>
          <w:vertAlign w:val="superscript"/>
          <w:lang w:eastAsia="en-GB"/>
        </w:rPr>
        <w:t>3</w:t>
      </w:r>
      <w:r w:rsidRPr="00E65E08">
        <w:rPr>
          <w:rFonts w:cs="Arial"/>
          <w:color w:val="000000"/>
          <w:lang w:eastAsia="en-GB"/>
        </w:rPr>
        <w:t xml:space="preserve"> (20%), measuring 27.8</w:t>
      </w:r>
      <w:r w:rsidRPr="00D70E31">
        <w:t>µg/m</w:t>
      </w:r>
      <w:r w:rsidRPr="00E65E08">
        <w:rPr>
          <w:vertAlign w:val="superscript"/>
        </w:rPr>
        <w:t>3</w:t>
      </w:r>
      <w:r w:rsidRPr="00E65E08">
        <w:rPr>
          <w:rFonts w:cs="Arial"/>
          <w:color w:val="000000"/>
          <w:lang w:eastAsia="en-GB"/>
        </w:rPr>
        <w:t xml:space="preserve"> in 2022. As expected, the year on year trend shows a large drop in 2020 as a result of the pandemic, with a slight recovery of NO</w:t>
      </w:r>
      <w:r w:rsidRPr="00E65E08">
        <w:rPr>
          <w:rFonts w:cs="Arial"/>
          <w:color w:val="000000"/>
          <w:vertAlign w:val="subscript"/>
          <w:lang w:eastAsia="en-GB"/>
        </w:rPr>
        <w:t>2</w:t>
      </w:r>
      <w:r w:rsidRPr="00E65E08">
        <w:rPr>
          <w:rFonts w:cs="Arial"/>
          <w:color w:val="000000"/>
          <w:lang w:eastAsia="en-GB"/>
        </w:rPr>
        <w:t xml:space="preserve"> concentrations by 2022, most apparent at Grampian Way which increased from 23.0</w:t>
      </w:r>
      <w:r w:rsidRPr="00D70E31">
        <w:t>µg/m</w:t>
      </w:r>
      <w:r w:rsidRPr="00E65E08">
        <w:rPr>
          <w:vertAlign w:val="superscript"/>
        </w:rPr>
        <w:t>3</w:t>
      </w:r>
      <w:r w:rsidRPr="000C7F5F">
        <w:t xml:space="preserve"> </w:t>
      </w:r>
      <w:r>
        <w:t xml:space="preserve">in 2021 </w:t>
      </w:r>
      <w:r w:rsidRPr="000C7F5F">
        <w:softHyphen/>
        <w:t>to</w:t>
      </w:r>
      <w:r>
        <w:t xml:space="preserve"> 27.8</w:t>
      </w:r>
      <w:r w:rsidRPr="00D70E31">
        <w:t>µg/m</w:t>
      </w:r>
      <w:r w:rsidRPr="00E65E08">
        <w:rPr>
          <w:vertAlign w:val="superscript"/>
        </w:rPr>
        <w:t>3</w:t>
      </w:r>
      <w:r>
        <w:t xml:space="preserve"> in 2022</w:t>
      </w:r>
      <w:r w:rsidRPr="00E65E08">
        <w:rPr>
          <w:rFonts w:cs="Arial"/>
          <w:color w:val="000000"/>
          <w:lang w:eastAsia="en-GB"/>
        </w:rPr>
        <w:t>.</w:t>
      </w:r>
      <w:r>
        <w:rPr>
          <w:rFonts w:cs="Arial"/>
          <w:color w:val="000000"/>
          <w:lang w:eastAsia="en-GB"/>
        </w:rPr>
        <w:t xml:space="preserve"> </w:t>
      </w:r>
    </w:p>
    <w:p w14:paraId="1531081A" w14:textId="77777777" w:rsidR="001B1A56" w:rsidRDefault="001B1A56" w:rsidP="00B258FA">
      <w:pPr>
        <w:spacing w:before="0" w:after="0"/>
      </w:pPr>
    </w:p>
    <w:p w14:paraId="15108ABD" w14:textId="77777777" w:rsidR="001B1A56" w:rsidRPr="00E10A45" w:rsidRDefault="001B1A56" w:rsidP="00E10A45">
      <w:pPr>
        <w:pStyle w:val="AQAPText"/>
        <w:rPr>
          <w:b/>
          <w:bCs/>
          <w:color w:val="008938"/>
        </w:rPr>
      </w:pPr>
      <w:r w:rsidRPr="00E10A45">
        <w:rPr>
          <w:b/>
          <w:bCs/>
          <w:color w:val="008938"/>
        </w:rPr>
        <w:t xml:space="preserve">AQMA 2: </w:t>
      </w:r>
    </w:p>
    <w:p w14:paraId="36A73E77" w14:textId="67201242" w:rsidR="001B1A56" w:rsidRDefault="001B1A56" w:rsidP="001B1A56">
      <w:pPr>
        <w:spacing w:before="0" w:after="0"/>
        <w:contextualSpacing/>
        <w:rPr>
          <w:rFonts w:cs="Arial"/>
          <w:color w:val="000000"/>
          <w:lang w:eastAsia="en-GB"/>
        </w:rPr>
      </w:pPr>
      <w:r w:rsidRPr="00F07BDE">
        <w:rPr>
          <w:rFonts w:cs="Arial"/>
          <w:color w:val="000000"/>
          <w:lang w:eastAsia="en-GB"/>
        </w:rPr>
        <w:t>AQMA 2 has experienced the greatest drop in average NO</w:t>
      </w:r>
      <w:r w:rsidRPr="00F07BDE">
        <w:rPr>
          <w:rFonts w:cs="Arial"/>
          <w:color w:val="000000"/>
          <w:vertAlign w:val="subscript"/>
          <w:lang w:eastAsia="en-GB"/>
        </w:rPr>
        <w:t>2</w:t>
      </w:r>
      <w:r w:rsidRPr="00F07BDE">
        <w:rPr>
          <w:rFonts w:cs="Arial"/>
          <w:color w:val="000000"/>
          <w:lang w:eastAsia="en-GB"/>
        </w:rPr>
        <w:t xml:space="preserve"> concentrations since 2018 out of all the AQMAs, at -13.0µg/m</w:t>
      </w:r>
      <w:r w:rsidRPr="00F07BDE">
        <w:rPr>
          <w:rFonts w:cs="Arial"/>
          <w:color w:val="000000"/>
          <w:vertAlign w:val="superscript"/>
          <w:lang w:eastAsia="en-GB"/>
        </w:rPr>
        <w:t xml:space="preserve">3 </w:t>
      </w:r>
      <w:r w:rsidRPr="00F07BDE">
        <w:rPr>
          <w:rFonts w:cs="Arial"/>
          <w:color w:val="000000"/>
          <w:lang w:eastAsia="en-GB"/>
        </w:rPr>
        <w:t>(31%). The biggest improvement is seen at Brands Hill (A) (SLO 18) by -21.6µg/m</w:t>
      </w:r>
      <w:r w:rsidRPr="00F07BDE">
        <w:rPr>
          <w:rFonts w:cs="Arial"/>
          <w:color w:val="000000"/>
          <w:vertAlign w:val="superscript"/>
          <w:lang w:eastAsia="en-GB"/>
        </w:rPr>
        <w:t>3</w:t>
      </w:r>
      <w:r w:rsidRPr="00F07BDE">
        <w:rPr>
          <w:rFonts w:cs="Arial"/>
          <w:color w:val="000000"/>
          <w:lang w:eastAsia="en-GB"/>
        </w:rPr>
        <w:t xml:space="preserve"> (41%), measuring 31.6</w:t>
      </w:r>
      <w:r w:rsidRPr="00F07BDE">
        <w:t>µg/m</w:t>
      </w:r>
      <w:r w:rsidRPr="00F07BDE">
        <w:rPr>
          <w:vertAlign w:val="superscript"/>
        </w:rPr>
        <w:t xml:space="preserve">3 </w:t>
      </w:r>
      <w:r w:rsidRPr="00F07BDE">
        <w:rPr>
          <w:rFonts w:cs="Arial"/>
          <w:color w:val="000000"/>
          <w:lang w:eastAsia="en-GB"/>
        </w:rPr>
        <w:t>in 2022, whereas the smallest improvement is seen at Brands Hill triplicate site (SLO 63, SLO 64 and SLO 65) at -6.5µg/m</w:t>
      </w:r>
      <w:r w:rsidRPr="00F07BDE">
        <w:rPr>
          <w:rFonts w:cs="Arial"/>
          <w:color w:val="000000"/>
          <w:vertAlign w:val="superscript"/>
          <w:lang w:eastAsia="en-GB"/>
        </w:rPr>
        <w:t>3</w:t>
      </w:r>
      <w:r w:rsidRPr="00F07BDE">
        <w:rPr>
          <w:rFonts w:cs="Arial"/>
          <w:color w:val="000000"/>
          <w:lang w:eastAsia="en-GB"/>
        </w:rPr>
        <w:t xml:space="preserve"> (15%) and falls within 10% of the AQO at 36.8µg/m</w:t>
      </w:r>
      <w:r w:rsidRPr="00F07BDE">
        <w:rPr>
          <w:rFonts w:cs="Arial"/>
          <w:color w:val="000000"/>
          <w:vertAlign w:val="superscript"/>
          <w:lang w:eastAsia="en-GB"/>
        </w:rPr>
        <w:t xml:space="preserve">3 </w:t>
      </w:r>
      <w:r w:rsidRPr="00F07BDE">
        <w:rPr>
          <w:rFonts w:cs="Arial"/>
          <w:color w:val="000000"/>
          <w:lang w:eastAsia="en-GB"/>
        </w:rPr>
        <w:t xml:space="preserve">in 2022. SLO 18 also sees the highest year on year rate of improvement at 12% on average. </w:t>
      </w:r>
      <w:r>
        <w:rPr>
          <w:rFonts w:cs="Arial"/>
          <w:color w:val="000000"/>
          <w:lang w:eastAsia="en-GB"/>
        </w:rPr>
        <w:t xml:space="preserve">Continuous monitoring data (SLH 11) reflects this trend, with concentrations dropping by </w:t>
      </w:r>
      <w:r w:rsidR="00FD11DA">
        <w:rPr>
          <w:rFonts w:cs="Arial"/>
          <w:color w:val="000000"/>
          <w:lang w:eastAsia="en-GB"/>
        </w:rPr>
        <w:t>-</w:t>
      </w:r>
      <w:r>
        <w:rPr>
          <w:rFonts w:cs="Arial"/>
          <w:color w:val="000000"/>
          <w:lang w:eastAsia="en-GB"/>
        </w:rPr>
        <w:t>2.4</w:t>
      </w:r>
      <w:r w:rsidR="00D705F2">
        <w:rPr>
          <w:rFonts w:cs="Arial"/>
          <w:color w:val="0B0C0C"/>
        </w:rPr>
        <w:t>µ</w:t>
      </w:r>
      <w:r>
        <w:rPr>
          <w:rFonts w:cs="Arial"/>
          <w:color w:val="000000"/>
          <w:lang w:eastAsia="en-GB"/>
        </w:rPr>
        <w:t>g/m</w:t>
      </w:r>
      <w:r w:rsidRPr="00FD11DA">
        <w:rPr>
          <w:rFonts w:cs="Arial"/>
          <w:color w:val="000000"/>
          <w:vertAlign w:val="superscript"/>
          <w:lang w:eastAsia="en-GB"/>
        </w:rPr>
        <w:t>3</w:t>
      </w:r>
      <w:r>
        <w:rPr>
          <w:rFonts w:cs="Arial"/>
          <w:color w:val="000000"/>
          <w:lang w:eastAsia="en-GB"/>
        </w:rPr>
        <w:t xml:space="preserve"> on average year on year. </w:t>
      </w:r>
    </w:p>
    <w:p w14:paraId="491431D9" w14:textId="77777777" w:rsidR="001B1A56" w:rsidRPr="003B34F3" w:rsidRDefault="001B1A56" w:rsidP="001B1A56">
      <w:pPr>
        <w:spacing w:before="0" w:after="0"/>
        <w:contextualSpacing/>
        <w:rPr>
          <w:rFonts w:cs="Arial"/>
          <w:color w:val="000000"/>
          <w:lang w:eastAsia="en-GB"/>
        </w:rPr>
      </w:pPr>
    </w:p>
    <w:p w14:paraId="26C92AC6" w14:textId="77777777" w:rsidR="001B1A56" w:rsidRPr="00E10A45" w:rsidRDefault="001B1A56" w:rsidP="00E10A45">
      <w:pPr>
        <w:pStyle w:val="AQAPText"/>
        <w:rPr>
          <w:b/>
          <w:bCs/>
          <w:color w:val="008938"/>
        </w:rPr>
      </w:pPr>
      <w:r w:rsidRPr="00E10A45">
        <w:rPr>
          <w:b/>
          <w:bCs/>
          <w:color w:val="008938"/>
        </w:rPr>
        <w:t>AQMA 3 + Extension:</w:t>
      </w:r>
    </w:p>
    <w:p w14:paraId="0E7AB8B6" w14:textId="77777777" w:rsidR="001B1A56" w:rsidRPr="00F07BDE" w:rsidRDefault="001B1A56" w:rsidP="00B258FA">
      <w:pPr>
        <w:spacing w:before="0" w:after="0"/>
        <w:contextualSpacing/>
        <w:rPr>
          <w:rFonts w:cs="Arial"/>
          <w:color w:val="000000"/>
          <w:lang w:eastAsia="en-GB"/>
        </w:rPr>
      </w:pPr>
      <w:r w:rsidRPr="00F07BDE">
        <w:rPr>
          <w:rFonts w:cs="Arial"/>
          <w:color w:val="000000"/>
          <w:lang w:eastAsia="en-GB"/>
        </w:rPr>
        <w:t>A smaller reduction in average NO</w:t>
      </w:r>
      <w:r w:rsidRPr="00F07BDE">
        <w:rPr>
          <w:rFonts w:cs="Arial"/>
          <w:color w:val="000000"/>
          <w:vertAlign w:val="subscript"/>
          <w:lang w:eastAsia="en-GB"/>
        </w:rPr>
        <w:t>2</w:t>
      </w:r>
      <w:r w:rsidRPr="00F07BDE">
        <w:rPr>
          <w:rFonts w:cs="Arial"/>
          <w:color w:val="000000"/>
          <w:lang w:eastAsia="en-GB"/>
        </w:rPr>
        <w:t xml:space="preserve"> is observed at AQMA 3 (-8.6µg/m</w:t>
      </w:r>
      <w:r w:rsidRPr="00F07BDE">
        <w:rPr>
          <w:rFonts w:cs="Arial"/>
          <w:color w:val="000000"/>
          <w:vertAlign w:val="superscript"/>
          <w:lang w:eastAsia="en-GB"/>
        </w:rPr>
        <w:t>3</w:t>
      </w:r>
      <w:r w:rsidRPr="00F07BDE">
        <w:rPr>
          <w:rFonts w:cs="Arial"/>
          <w:color w:val="000000"/>
          <w:lang w:eastAsia="en-GB"/>
        </w:rPr>
        <w:t>) relative to 2018 concentrations, with Tuns Lane (B) (SLO 50) showing the greatest improvement in concentrations at -12.9µg/m</w:t>
      </w:r>
      <w:r w:rsidRPr="00F07BDE">
        <w:rPr>
          <w:rFonts w:cs="Arial"/>
          <w:color w:val="000000"/>
          <w:vertAlign w:val="superscript"/>
          <w:lang w:eastAsia="en-GB"/>
        </w:rPr>
        <w:t>3</w:t>
      </w:r>
      <w:r w:rsidRPr="00F07BDE">
        <w:rPr>
          <w:rFonts w:cs="Arial"/>
          <w:color w:val="000000"/>
          <w:lang w:eastAsia="en-GB"/>
        </w:rPr>
        <w:t xml:space="preserve"> (28%), representing the third year of falling below 10% of the AQO at 32.9</w:t>
      </w:r>
      <w:r w:rsidRPr="00F07BDE">
        <w:t>µg/m</w:t>
      </w:r>
      <w:r w:rsidRPr="00F07BDE">
        <w:rPr>
          <w:vertAlign w:val="superscript"/>
        </w:rPr>
        <w:t>3</w:t>
      </w:r>
      <w:r w:rsidRPr="00F07BDE">
        <w:t xml:space="preserve"> in 2022, </w:t>
      </w:r>
      <w:r w:rsidRPr="00F07BDE">
        <w:rPr>
          <w:rFonts w:cs="Arial"/>
          <w:color w:val="000000"/>
          <w:lang w:eastAsia="en-GB"/>
        </w:rPr>
        <w:t>and the highest average year on year improvement at 7%. The smallest improvement is observed at Farnham Road (SLO 30) by -5.6µg/m</w:t>
      </w:r>
      <w:r w:rsidRPr="00F07BDE">
        <w:rPr>
          <w:rFonts w:cs="Arial"/>
          <w:color w:val="000000"/>
          <w:vertAlign w:val="superscript"/>
          <w:lang w:eastAsia="en-GB"/>
        </w:rPr>
        <w:t>3</w:t>
      </w:r>
      <w:r w:rsidRPr="00F07BDE">
        <w:rPr>
          <w:rFonts w:cs="Arial"/>
          <w:color w:val="000000"/>
          <w:lang w:eastAsia="en-GB"/>
        </w:rPr>
        <w:t>, however this site is far below the AQO in 2022 at 23.4</w:t>
      </w:r>
      <w:r w:rsidRPr="00F07BDE">
        <w:t>µg/m</w:t>
      </w:r>
      <w:r w:rsidRPr="00F07BDE">
        <w:rPr>
          <w:vertAlign w:val="superscript"/>
        </w:rPr>
        <w:t>3</w:t>
      </w:r>
      <w:r w:rsidRPr="00F07BDE">
        <w:rPr>
          <w:rFonts w:cs="Arial"/>
          <w:color w:val="000000"/>
          <w:lang w:eastAsia="en-GB"/>
        </w:rPr>
        <w:t>.</w:t>
      </w:r>
    </w:p>
    <w:p w14:paraId="43D95C5E" w14:textId="04B9521A" w:rsidR="00B258FA" w:rsidRDefault="001B1A56" w:rsidP="00B258FA">
      <w:pPr>
        <w:spacing w:before="0" w:after="0"/>
        <w:contextualSpacing/>
        <w:rPr>
          <w:rFonts w:cs="Arial"/>
          <w:color w:val="000000"/>
          <w:lang w:eastAsia="en-GB"/>
        </w:rPr>
      </w:pPr>
      <w:r w:rsidRPr="00F07BDE">
        <w:rPr>
          <w:rFonts w:cs="Arial"/>
          <w:color w:val="000000"/>
          <w:lang w:eastAsia="en-GB"/>
        </w:rPr>
        <w:t>The AQMA 3 Extension shows a similar improvement in NO</w:t>
      </w:r>
      <w:r w:rsidRPr="00F07BDE">
        <w:rPr>
          <w:rFonts w:cs="Arial"/>
          <w:color w:val="000000"/>
          <w:vertAlign w:val="subscript"/>
          <w:lang w:eastAsia="en-GB"/>
        </w:rPr>
        <w:t>2</w:t>
      </w:r>
      <w:r w:rsidRPr="00F07BDE">
        <w:rPr>
          <w:rFonts w:cs="Arial"/>
          <w:color w:val="000000"/>
          <w:lang w:eastAsia="en-GB"/>
        </w:rPr>
        <w:t xml:space="preserve"> concentrations since 2018, with the greatest reduction observed at the Windmill triplicate (SLO 57, SLO 58 and SLO 59) by -12.8µg/m</w:t>
      </w:r>
      <w:r w:rsidRPr="00F07BDE">
        <w:rPr>
          <w:rFonts w:cs="Arial"/>
          <w:color w:val="000000"/>
          <w:vertAlign w:val="superscript"/>
          <w:lang w:eastAsia="en-GB"/>
        </w:rPr>
        <w:t>3</w:t>
      </w:r>
      <w:r w:rsidRPr="00F07BDE">
        <w:rPr>
          <w:rFonts w:cs="Arial"/>
          <w:color w:val="000000"/>
          <w:lang w:eastAsia="en-GB"/>
        </w:rPr>
        <w:t>, measuring at 28.8</w:t>
      </w:r>
      <w:r w:rsidRPr="00F07BDE">
        <w:t>µg/m</w:t>
      </w:r>
      <w:r w:rsidRPr="00F07BDE">
        <w:rPr>
          <w:vertAlign w:val="superscript"/>
        </w:rPr>
        <w:t xml:space="preserve">3 </w:t>
      </w:r>
      <w:r w:rsidRPr="00F07BDE">
        <w:t>in 2022</w:t>
      </w:r>
      <w:r w:rsidRPr="00F07BDE">
        <w:rPr>
          <w:rFonts w:cs="Arial"/>
          <w:color w:val="000000"/>
          <w:lang w:eastAsia="en-GB"/>
        </w:rPr>
        <w:t>. Although NO</w:t>
      </w:r>
      <w:r w:rsidRPr="00F07BDE">
        <w:rPr>
          <w:rFonts w:cs="Arial"/>
          <w:color w:val="000000"/>
          <w:vertAlign w:val="subscript"/>
          <w:lang w:eastAsia="en-GB"/>
        </w:rPr>
        <w:t>2</w:t>
      </w:r>
      <w:r w:rsidRPr="00F07BDE">
        <w:rPr>
          <w:rFonts w:cs="Arial"/>
          <w:color w:val="000000"/>
          <w:lang w:eastAsia="en-GB"/>
        </w:rPr>
        <w:t xml:space="preserve"> concentrations have increased since 2020, the rate has been slow (average 2%).</w:t>
      </w:r>
    </w:p>
    <w:p w14:paraId="1ABBF5F4" w14:textId="77777777" w:rsidR="00B258FA" w:rsidRPr="00B258FA" w:rsidRDefault="00B258FA" w:rsidP="00B258FA">
      <w:pPr>
        <w:spacing w:before="0" w:after="0"/>
        <w:contextualSpacing/>
        <w:rPr>
          <w:rFonts w:cs="Arial"/>
          <w:color w:val="000000"/>
          <w:lang w:eastAsia="en-GB"/>
        </w:rPr>
      </w:pPr>
    </w:p>
    <w:p w14:paraId="77C8905C" w14:textId="6D49D0BA" w:rsidR="001B1A56" w:rsidRPr="00E10A45" w:rsidRDefault="001B1A56" w:rsidP="00E10A45">
      <w:pPr>
        <w:pStyle w:val="AQAPText"/>
        <w:rPr>
          <w:b/>
          <w:bCs/>
          <w:color w:val="008938"/>
        </w:rPr>
      </w:pPr>
      <w:r w:rsidRPr="00E10A45">
        <w:rPr>
          <w:b/>
          <w:bCs/>
          <w:color w:val="008938"/>
        </w:rPr>
        <w:t>AQMA 4:</w:t>
      </w:r>
    </w:p>
    <w:p w14:paraId="64570A30" w14:textId="77777777" w:rsidR="001B1A56" w:rsidRDefault="001B1A56" w:rsidP="001B1A56">
      <w:pPr>
        <w:spacing w:before="0" w:after="0"/>
        <w:contextualSpacing/>
        <w:rPr>
          <w:rFonts w:cs="Arial"/>
          <w:color w:val="000000"/>
          <w:lang w:eastAsia="en-GB"/>
        </w:rPr>
      </w:pPr>
      <w:r w:rsidRPr="006F35A2">
        <w:rPr>
          <w:rFonts w:cs="Arial"/>
          <w:color w:val="000000"/>
          <w:lang w:eastAsia="en-GB"/>
        </w:rPr>
        <w:t xml:space="preserve">Since 2018, concentrations have improved across all sites within AQMA 4 (average </w:t>
      </w:r>
    </w:p>
    <w:p w14:paraId="7A2EBB82" w14:textId="26E5409F" w:rsidR="001B1A56" w:rsidRDefault="001B1A56" w:rsidP="001B1A56">
      <w:pPr>
        <w:spacing w:before="0" w:after="0"/>
        <w:contextualSpacing/>
        <w:rPr>
          <w:rFonts w:cs="Arial"/>
          <w:color w:val="000000"/>
          <w:lang w:eastAsia="en-GB"/>
        </w:rPr>
      </w:pPr>
      <w:r w:rsidRPr="006F35A2">
        <w:rPr>
          <w:rFonts w:cs="Arial"/>
          <w:color w:val="000000"/>
          <w:lang w:eastAsia="en-GB"/>
        </w:rPr>
        <w:lastRenderedPageBreak/>
        <w:t>-8.1</w:t>
      </w:r>
      <w:r w:rsidRPr="00D70E31">
        <w:t>µg/m</w:t>
      </w:r>
      <w:r w:rsidRPr="006F35A2">
        <w:rPr>
          <w:vertAlign w:val="superscript"/>
        </w:rPr>
        <w:t>3</w:t>
      </w:r>
      <w:r>
        <w:t>, 22%</w:t>
      </w:r>
      <w:r w:rsidRPr="006F35A2">
        <w:rPr>
          <w:rFonts w:cs="Arial"/>
          <w:color w:val="000000"/>
          <w:lang w:eastAsia="en-GB"/>
        </w:rPr>
        <w:t>), the greatest being at Blair Road (SLO 37) with a -12.8µg/m</w:t>
      </w:r>
      <w:r w:rsidRPr="006F35A2">
        <w:rPr>
          <w:rFonts w:cs="Arial"/>
          <w:color w:val="000000"/>
          <w:vertAlign w:val="superscript"/>
          <w:lang w:eastAsia="en-GB"/>
        </w:rPr>
        <w:t xml:space="preserve">3 </w:t>
      </w:r>
      <w:r w:rsidRPr="006F35A2">
        <w:rPr>
          <w:rFonts w:cs="Arial"/>
          <w:color w:val="000000"/>
          <w:lang w:eastAsia="en-GB"/>
        </w:rPr>
        <w:t>decrease in NO</w:t>
      </w:r>
      <w:r w:rsidRPr="006F35A2">
        <w:rPr>
          <w:rFonts w:cs="Arial"/>
          <w:color w:val="000000"/>
          <w:vertAlign w:val="subscript"/>
          <w:lang w:eastAsia="en-GB"/>
        </w:rPr>
        <w:t xml:space="preserve">2 </w:t>
      </w:r>
      <w:r>
        <w:t>(32%). The Wellington Street triplicate (SLO 60, SLO 61 and SLO 62) has improved the least by -4.4</w:t>
      </w:r>
      <w:r w:rsidRPr="006F35A2">
        <w:rPr>
          <w:rFonts w:cs="Arial"/>
          <w:color w:val="000000"/>
          <w:lang w:eastAsia="en-GB"/>
        </w:rPr>
        <w:t>µg/m</w:t>
      </w:r>
      <w:r w:rsidRPr="006F35A2">
        <w:rPr>
          <w:rFonts w:cs="Arial"/>
          <w:color w:val="000000"/>
          <w:vertAlign w:val="superscript"/>
          <w:lang w:eastAsia="en-GB"/>
        </w:rPr>
        <w:t>3</w:t>
      </w:r>
      <w:r w:rsidRPr="006F35A2">
        <w:rPr>
          <w:rFonts w:cs="Arial"/>
          <w:color w:val="000000"/>
          <w:lang w:eastAsia="en-GB"/>
        </w:rPr>
        <w:t xml:space="preserve"> (12.8%), however NO</w:t>
      </w:r>
      <w:r w:rsidRPr="006F35A2">
        <w:rPr>
          <w:rFonts w:cs="Arial"/>
          <w:color w:val="000000"/>
          <w:vertAlign w:val="subscript"/>
          <w:lang w:eastAsia="en-GB"/>
        </w:rPr>
        <w:t>2</w:t>
      </w:r>
      <w:r w:rsidRPr="006F35A2">
        <w:rPr>
          <w:rFonts w:cs="Arial"/>
          <w:color w:val="000000"/>
          <w:lang w:eastAsia="en-GB"/>
        </w:rPr>
        <w:t xml:space="preserve"> concentrations measured over the last five years have remained below 10% of the AQO. This site has also seen the slowest year on year rate of improvement by -1.1µg/m</w:t>
      </w:r>
      <w:r w:rsidRPr="006F35A2">
        <w:rPr>
          <w:rFonts w:cs="Arial"/>
          <w:color w:val="000000"/>
          <w:vertAlign w:val="superscript"/>
          <w:lang w:eastAsia="en-GB"/>
        </w:rPr>
        <w:t>3</w:t>
      </w:r>
      <w:r w:rsidRPr="006F35A2">
        <w:rPr>
          <w:rFonts w:cs="Arial"/>
          <w:color w:val="000000"/>
          <w:lang w:eastAsia="en-GB"/>
        </w:rPr>
        <w:t xml:space="preserve"> </w:t>
      </w:r>
      <w:r>
        <w:rPr>
          <w:rFonts w:cs="Arial"/>
          <w:color w:val="000000"/>
          <w:lang w:eastAsia="en-GB"/>
        </w:rPr>
        <w:t xml:space="preserve">(2%) </w:t>
      </w:r>
      <w:r w:rsidRPr="006F35A2">
        <w:rPr>
          <w:rFonts w:cs="Arial"/>
          <w:color w:val="000000"/>
          <w:lang w:eastAsia="en-GB"/>
        </w:rPr>
        <w:t>on average, alongside Wellington Street Stratfield (SLO 33).</w:t>
      </w:r>
      <w:r>
        <w:rPr>
          <w:rFonts w:cs="Arial"/>
          <w:color w:val="000000"/>
          <w:lang w:eastAsia="en-GB"/>
        </w:rPr>
        <w:t xml:space="preserve"> Continuous monitoring data (SLH 10) shows a 7.7</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reduction in NO</w:t>
      </w:r>
      <w:r>
        <w:rPr>
          <w:rFonts w:cs="Arial"/>
          <w:color w:val="000000"/>
          <w:vertAlign w:val="subscript"/>
          <w:lang w:eastAsia="en-GB"/>
        </w:rPr>
        <w:t>2</w:t>
      </w:r>
      <w:r>
        <w:rPr>
          <w:rFonts w:cs="Arial"/>
          <w:color w:val="000000"/>
          <w:lang w:eastAsia="en-GB"/>
        </w:rPr>
        <w:t xml:space="preserve"> since 2018, with concentrations at 28.3</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in 2022. </w:t>
      </w:r>
    </w:p>
    <w:p w14:paraId="6DDC75E4" w14:textId="7ED186B8" w:rsidR="001B1A56" w:rsidRDefault="001B1A56" w:rsidP="001B1A56">
      <w:pPr>
        <w:spacing w:before="0" w:after="0"/>
        <w:contextualSpacing/>
        <w:rPr>
          <w:rFonts w:cs="Arial"/>
          <w:color w:val="000000"/>
          <w:lang w:eastAsia="en-GB"/>
        </w:rPr>
      </w:pPr>
      <w:r>
        <w:rPr>
          <w:rFonts w:cs="Arial"/>
          <w:color w:val="000000"/>
          <w:lang w:eastAsia="en-GB"/>
        </w:rPr>
        <w:t>The pandemic brought widespread compliance with the AQO within AQMA 4, with Yew Tree Road (SLO 29) dropping by 14.7</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from 2019 to 2020, resulting in all sites falling below 10% of the AQO. Compliance was sustained for the majority of sites into 2021, however Yew Tree Road increased by 5.1</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(15%) to just under the AQO at 39</w:t>
      </w:r>
      <w:r w:rsidR="00D705F2">
        <w:rPr>
          <w:rFonts w:cs="Arial"/>
          <w:color w:val="000000"/>
          <w:lang w:eastAsia="en-GB"/>
        </w:rPr>
        <w:t>.0</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w:t>
      </w:r>
      <w:r w:rsidR="004B64B2">
        <w:rPr>
          <w:rFonts w:cs="Arial"/>
          <w:color w:val="000000"/>
          <w:lang w:eastAsia="en-GB"/>
        </w:rPr>
        <w:t xml:space="preserve">A further increase </w:t>
      </w:r>
      <w:r>
        <w:rPr>
          <w:rFonts w:cs="Arial"/>
          <w:color w:val="000000"/>
          <w:lang w:eastAsia="en-GB"/>
        </w:rPr>
        <w:t>to 44.2</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sidR="004B64B2">
        <w:rPr>
          <w:rFonts w:cs="Arial"/>
          <w:color w:val="000000"/>
          <w:lang w:eastAsia="en-GB"/>
        </w:rPr>
        <w:t xml:space="preserve"> occurred in 2022,</w:t>
      </w:r>
      <w:r>
        <w:rPr>
          <w:rFonts w:cs="Arial"/>
          <w:color w:val="000000"/>
          <w:lang w:eastAsia="en-GB"/>
        </w:rPr>
        <w:t xml:space="preserve"> however once distance corrected</w:t>
      </w:r>
      <w:r w:rsidR="004B64B2">
        <w:rPr>
          <w:rFonts w:cs="Arial"/>
          <w:color w:val="000000"/>
          <w:lang w:eastAsia="en-GB"/>
        </w:rPr>
        <w:t xml:space="preserve"> from the roadside to the residential façade,</w:t>
      </w:r>
      <w:r>
        <w:rPr>
          <w:rFonts w:cs="Arial"/>
          <w:color w:val="000000"/>
          <w:lang w:eastAsia="en-GB"/>
        </w:rPr>
        <w:t xml:space="preserve"> this falls to 36.6</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w:t>
      </w:r>
    </w:p>
    <w:p w14:paraId="3DA39BD9" w14:textId="77777777" w:rsidR="001B1A56" w:rsidRDefault="001B1A56" w:rsidP="00FD11DA">
      <w:pPr>
        <w:spacing w:before="0" w:after="0"/>
      </w:pPr>
    </w:p>
    <w:p w14:paraId="5ADC268A" w14:textId="77F83967" w:rsidR="00B258FA" w:rsidRPr="00E10A45" w:rsidRDefault="00B258FA" w:rsidP="00E10A45">
      <w:pPr>
        <w:pStyle w:val="AQAPText"/>
        <w:rPr>
          <w:b/>
          <w:bCs/>
          <w:color w:val="008938"/>
        </w:rPr>
      </w:pPr>
      <w:r w:rsidRPr="00E10A45">
        <w:rPr>
          <w:b/>
          <w:bCs/>
          <w:color w:val="008938"/>
        </w:rPr>
        <w:t>PM</w:t>
      </w:r>
      <w:r w:rsidRPr="00A1555E">
        <w:rPr>
          <w:b/>
          <w:bCs/>
          <w:color w:val="008938"/>
          <w:vertAlign w:val="subscript"/>
        </w:rPr>
        <w:t>10</w:t>
      </w:r>
      <w:r w:rsidRPr="00E10A45">
        <w:rPr>
          <w:b/>
          <w:bCs/>
          <w:color w:val="008938"/>
        </w:rPr>
        <w:t xml:space="preserve"> &amp; PM</w:t>
      </w:r>
      <w:r w:rsidRPr="00A1555E">
        <w:rPr>
          <w:b/>
          <w:bCs/>
          <w:color w:val="008938"/>
          <w:vertAlign w:val="subscript"/>
        </w:rPr>
        <w:t>2.5</w:t>
      </w:r>
    </w:p>
    <w:p w14:paraId="67F7B44E" w14:textId="183DADBC" w:rsidR="00FD11DA" w:rsidRDefault="001B1A56" w:rsidP="00FD11DA">
      <w:pPr>
        <w:spacing w:before="0"/>
      </w:pPr>
      <w:r>
        <w:rPr>
          <w:noProof/>
        </w:rPr>
        <w:t xml:space="preserve">In regards to PM monitoring, in 2022 </w:t>
      </w:r>
      <w:r w:rsidRPr="001A4894">
        <w:rPr>
          <w:noProof/>
        </w:rPr>
        <w:t>Slough monitor</w:t>
      </w:r>
      <w:r>
        <w:rPr>
          <w:noProof/>
        </w:rPr>
        <w:t>ed</w:t>
      </w:r>
      <w:r w:rsidRPr="001A4894">
        <w:rPr>
          <w:noProof/>
        </w:rPr>
        <w:t xml:space="preserve"> PM</w:t>
      </w:r>
      <w:r w:rsidRPr="00D46642">
        <w:rPr>
          <w:noProof/>
          <w:vertAlign w:val="subscript"/>
        </w:rPr>
        <w:t>10</w:t>
      </w:r>
      <w:r w:rsidRPr="001A4894">
        <w:rPr>
          <w:noProof/>
        </w:rPr>
        <w:t xml:space="preserve"> within AQMA 1 (Spackmans Way</w:t>
      </w:r>
      <w:r>
        <w:rPr>
          <w:noProof/>
        </w:rPr>
        <w:t xml:space="preserve"> SLH 13</w:t>
      </w:r>
      <w:r w:rsidRPr="001A4894">
        <w:rPr>
          <w:noProof/>
        </w:rPr>
        <w:t>), AQMA 2 (Brands Hill</w:t>
      </w:r>
      <w:r>
        <w:rPr>
          <w:noProof/>
        </w:rPr>
        <w:t xml:space="preserve"> SLH 11</w:t>
      </w:r>
      <w:r w:rsidRPr="001A4894">
        <w:rPr>
          <w:noProof/>
        </w:rPr>
        <w:t>), AQMA 3 Extension (Windmill</w:t>
      </w:r>
      <w:r>
        <w:rPr>
          <w:noProof/>
        </w:rPr>
        <w:t xml:space="preserve"> SLH 12</w:t>
      </w:r>
      <w:r w:rsidRPr="001A4894">
        <w:rPr>
          <w:noProof/>
        </w:rPr>
        <w:t>)</w:t>
      </w:r>
      <w:r>
        <w:rPr>
          <w:noProof/>
        </w:rPr>
        <w:t>,</w:t>
      </w:r>
      <w:r w:rsidRPr="001A4894">
        <w:rPr>
          <w:noProof/>
        </w:rPr>
        <w:t xml:space="preserve"> and outside of the AQMAs </w:t>
      </w:r>
      <w:r>
        <w:rPr>
          <w:noProof/>
        </w:rPr>
        <w:t>at Pippins Colnbrook SLH 3 (only until March 2022)</w:t>
      </w:r>
      <w:r w:rsidR="00FD084B">
        <w:rPr>
          <w:noProof/>
        </w:rPr>
        <w:t xml:space="preserve"> and obtained data from </w:t>
      </w:r>
      <w:r w:rsidR="00FD084B" w:rsidRPr="001A4894">
        <w:rPr>
          <w:noProof/>
        </w:rPr>
        <w:t xml:space="preserve">the </w:t>
      </w:r>
      <w:r w:rsidR="00964221">
        <w:rPr>
          <w:noProof/>
        </w:rPr>
        <w:t>Grundons</w:t>
      </w:r>
      <w:r w:rsidR="004B64B2">
        <w:rPr>
          <w:noProof/>
        </w:rPr>
        <w:t xml:space="preserve"> Energy from waste (</w:t>
      </w:r>
      <w:r w:rsidR="00FD084B" w:rsidRPr="001A4894">
        <w:rPr>
          <w:noProof/>
        </w:rPr>
        <w:t>EfW</w:t>
      </w:r>
      <w:r w:rsidR="004B64B2">
        <w:rPr>
          <w:noProof/>
        </w:rPr>
        <w:t>)</w:t>
      </w:r>
      <w:r w:rsidR="00FD084B" w:rsidRPr="001A4894">
        <w:rPr>
          <w:noProof/>
        </w:rPr>
        <w:t xml:space="preserve"> site</w:t>
      </w:r>
      <w:r w:rsidR="00FD084B">
        <w:rPr>
          <w:noProof/>
        </w:rPr>
        <w:t xml:space="preserve"> </w:t>
      </w:r>
      <w:r w:rsidR="00964221">
        <w:rPr>
          <w:noProof/>
        </w:rPr>
        <w:t xml:space="preserve">in Colnbrook </w:t>
      </w:r>
      <w:r w:rsidR="00FD084B">
        <w:rPr>
          <w:noProof/>
        </w:rPr>
        <w:t>(SLH 8</w:t>
      </w:r>
      <w:r w:rsidR="00964221">
        <w:rPr>
          <w:noProof/>
        </w:rPr>
        <w:t xml:space="preserve"> and SLH 9</w:t>
      </w:r>
      <w:r w:rsidR="00FD084B">
        <w:rPr>
          <w:noProof/>
        </w:rPr>
        <w:t>)</w:t>
      </w:r>
      <w:r>
        <w:rPr>
          <w:noProof/>
        </w:rPr>
        <w:t>.</w:t>
      </w:r>
      <w:r w:rsidRPr="001A4894">
        <w:rPr>
          <w:noProof/>
        </w:rPr>
        <w:t xml:space="preserve"> Due to the health effects associated with particulate matter, Slough Borough Council strive</w:t>
      </w:r>
      <w:r>
        <w:rPr>
          <w:noProof/>
        </w:rPr>
        <w:t>s</w:t>
      </w:r>
      <w:r w:rsidRPr="001A4894">
        <w:rPr>
          <w:noProof/>
        </w:rPr>
        <w:t xml:space="preserve"> to reduce concentrations as </w:t>
      </w:r>
      <w:r w:rsidR="00964221">
        <w:rPr>
          <w:noProof/>
        </w:rPr>
        <w:t>far</w:t>
      </w:r>
      <w:r w:rsidRPr="001A4894">
        <w:rPr>
          <w:noProof/>
        </w:rPr>
        <w:t xml:space="preserve"> as possible, however in some locations, progress is slow</w:t>
      </w:r>
      <w:r>
        <w:rPr>
          <w:noProof/>
        </w:rPr>
        <w:t>. The greatest year on year improvement from 2018 to 2022 on average is -1.4</w:t>
      </w:r>
      <w:r w:rsidRPr="00E33DDC">
        <w:t>µg/m</w:t>
      </w:r>
      <w:r w:rsidRPr="00E33DDC">
        <w:rPr>
          <w:vertAlign w:val="superscript"/>
        </w:rPr>
        <w:t>3</w:t>
      </w:r>
      <w:r>
        <w:rPr>
          <w:noProof/>
        </w:rPr>
        <w:t xml:space="preserve"> (5%) observed at Brands Hill (SLH 11) whilst Lakeside 2 (SLH 9) has seen a greater fluctation with an overall worsening of PM</w:t>
      </w:r>
      <w:r>
        <w:rPr>
          <w:noProof/>
          <w:vertAlign w:val="subscript"/>
        </w:rPr>
        <w:t>10</w:t>
      </w:r>
      <w:r>
        <w:rPr>
          <w:noProof/>
        </w:rPr>
        <w:t xml:space="preserve"> by +0.9</w:t>
      </w:r>
      <w:r w:rsidRPr="00E33DDC">
        <w:t>µg/m</w:t>
      </w:r>
      <w:r w:rsidRPr="00E33DDC">
        <w:rPr>
          <w:vertAlign w:val="superscript"/>
        </w:rPr>
        <w:t>3</w:t>
      </w:r>
      <w:r>
        <w:t xml:space="preserve"> (9%) on average across the time series</w:t>
      </w:r>
      <w:r w:rsidR="00FD11DA">
        <w:t>.</w:t>
      </w:r>
    </w:p>
    <w:p w14:paraId="394095DA" w14:textId="6A4F072A" w:rsidR="001B1A56" w:rsidRDefault="001B1A56" w:rsidP="00FD11DA">
      <w:pPr>
        <w:spacing w:before="0"/>
        <w:rPr>
          <w:noProof/>
        </w:rPr>
      </w:pPr>
      <w:r>
        <w:rPr>
          <w:noProof/>
        </w:rPr>
        <w:t>Prior to 2022, the</w:t>
      </w:r>
      <w:r w:rsidRPr="001A4894">
        <w:rPr>
          <w:noProof/>
        </w:rPr>
        <w:t xml:space="preserve"> </w:t>
      </w:r>
      <w:r>
        <w:rPr>
          <w:noProof/>
        </w:rPr>
        <w:t>five</w:t>
      </w:r>
      <w:r w:rsidRPr="001A4894">
        <w:rPr>
          <w:noProof/>
        </w:rPr>
        <w:t xml:space="preserve"> year trend </w:t>
      </w:r>
      <w:r>
        <w:rPr>
          <w:noProof/>
        </w:rPr>
        <w:t>had</w:t>
      </w:r>
      <w:r w:rsidRPr="001A4894">
        <w:rPr>
          <w:noProof/>
        </w:rPr>
        <w:t xml:space="preserve"> shown </w:t>
      </w:r>
      <w:r>
        <w:rPr>
          <w:noProof/>
        </w:rPr>
        <w:t>a gradual decline o</w:t>
      </w:r>
      <w:r w:rsidRPr="001A4894">
        <w:rPr>
          <w:noProof/>
        </w:rPr>
        <w:t xml:space="preserve">ver the monitoring period, </w:t>
      </w:r>
      <w:r>
        <w:rPr>
          <w:noProof/>
        </w:rPr>
        <w:t>however 2022 saw an increase in PM</w:t>
      </w:r>
      <w:r>
        <w:rPr>
          <w:noProof/>
          <w:vertAlign w:val="subscript"/>
        </w:rPr>
        <w:t>10</w:t>
      </w:r>
      <w:r>
        <w:rPr>
          <w:noProof/>
        </w:rPr>
        <w:t xml:space="preserve"> at five of the six monitoring sites by +1.9</w:t>
      </w:r>
      <w:r w:rsidRPr="00E33DDC">
        <w:t>µg/m</w:t>
      </w:r>
      <w:r w:rsidRPr="00E33DDC">
        <w:rPr>
          <w:vertAlign w:val="superscript"/>
        </w:rPr>
        <w:t>3</w:t>
      </w:r>
      <w:r>
        <w:rPr>
          <w:vertAlign w:val="subscript"/>
        </w:rPr>
        <w:t xml:space="preserve"> </w:t>
      </w:r>
      <w:r>
        <w:t>on average, the greatest being an increase of +5.7</w:t>
      </w:r>
      <w:r w:rsidRPr="00E33DDC">
        <w:t>µg/m</w:t>
      </w:r>
      <w:r w:rsidRPr="00E33DDC">
        <w:rPr>
          <w:vertAlign w:val="superscript"/>
        </w:rPr>
        <w:t>3</w:t>
      </w:r>
      <w:r>
        <w:t xml:space="preserve"> observed at Lakeside 2 (SLH 9). This site however is monitored using an Osiris which is indicative only, therefore this data may be more unreliable relative to MCERTS accredited monitors. Comparing to the co-located BAM (SLH 8), the data shows an increase but at a lower value of +2.1</w:t>
      </w:r>
      <w:r w:rsidRPr="00E33DDC">
        <w:t>µg/</w:t>
      </w:r>
      <w:r w:rsidRPr="00D840B8">
        <w:t>m</w:t>
      </w:r>
      <w:r w:rsidRPr="00D840B8">
        <w:rPr>
          <w:vertAlign w:val="superscript"/>
        </w:rPr>
        <w:t>3</w:t>
      </w:r>
      <w:r>
        <w:t>.</w:t>
      </w:r>
    </w:p>
    <w:p w14:paraId="7DC191BA" w14:textId="77777777" w:rsidR="001B1A56" w:rsidRDefault="001B1A56" w:rsidP="00FD11DA">
      <w:pPr>
        <w:pStyle w:val="Heading2"/>
        <w:numPr>
          <w:ilvl w:val="0"/>
          <w:numId w:val="0"/>
        </w:numPr>
        <w:ind w:left="570" w:hanging="567"/>
      </w:pPr>
      <w:bookmarkStart w:id="4" w:name="_Toc160129540"/>
      <w:r>
        <w:lastRenderedPageBreak/>
        <w:t>AQMA Status</w:t>
      </w:r>
      <w:bookmarkEnd w:id="4"/>
      <w:r>
        <w:t xml:space="preserve"> </w:t>
      </w:r>
    </w:p>
    <w:p w14:paraId="06007BFE" w14:textId="77777777" w:rsidR="001B1A56" w:rsidRDefault="001B1A56" w:rsidP="001B1A56">
      <w:pPr>
        <w:spacing w:before="0"/>
        <w:rPr>
          <w:rFonts w:cs="Arial"/>
          <w:color w:val="000000"/>
          <w:lang w:eastAsia="en-GB"/>
        </w:rPr>
      </w:pPr>
      <w:r>
        <w:t xml:space="preserve">A review of AQMA status has been completed as part of the action plan. </w:t>
      </w:r>
      <w:r w:rsidRPr="00F07BDE">
        <w:rPr>
          <w:rFonts w:cs="Arial"/>
          <w:color w:val="000000"/>
          <w:lang w:eastAsia="en-GB"/>
        </w:rPr>
        <w:t>Defra have clarified that due to the effects of COVID-19 on traffic levels and therefore local pollutant concentrations, monitoring data from 2020 and 2021 should be excluded when a local authority is considering compliant years for AQMA</w:t>
      </w:r>
      <w:r>
        <w:rPr>
          <w:rFonts w:cs="Arial"/>
          <w:color w:val="000000"/>
          <w:lang w:eastAsia="en-GB"/>
        </w:rPr>
        <w:t xml:space="preserve"> revocation. However, it is advised</w:t>
      </w:r>
      <w:r w:rsidRPr="00F07BDE">
        <w:rPr>
          <w:rFonts w:cs="Arial"/>
          <w:color w:val="000000"/>
          <w:lang w:eastAsia="en-GB"/>
        </w:rPr>
        <w:t xml:space="preserve"> that 2020 and 2021 datasets can be considered as compliant years with respect to AQMA revocation if compliance was achieved in 2019 or earlier.</w:t>
      </w:r>
      <w:r>
        <w:rPr>
          <w:rFonts w:cs="Arial"/>
          <w:color w:val="000000"/>
          <w:lang w:eastAsia="en-GB"/>
        </w:rPr>
        <w:t xml:space="preserve"> Each AQMA and the collected data has been reviewed in light of this. In summary: </w:t>
      </w:r>
    </w:p>
    <w:p w14:paraId="55E54136" w14:textId="77777777" w:rsidR="00902898" w:rsidRDefault="00902898" w:rsidP="00902898">
      <w:pPr>
        <w:spacing w:before="0" w:after="0" w:line="240" w:lineRule="auto"/>
        <w:rPr>
          <w:rFonts w:cs="Arial"/>
          <w:color w:val="000000"/>
          <w:lang w:eastAsia="en-GB"/>
        </w:rPr>
      </w:pPr>
    </w:p>
    <w:p w14:paraId="5BA176A5" w14:textId="77777777" w:rsidR="001B1A56" w:rsidRPr="00A1555E" w:rsidRDefault="001B1A56" w:rsidP="00A1555E">
      <w:pPr>
        <w:pStyle w:val="AQAPText"/>
        <w:rPr>
          <w:b/>
          <w:bCs/>
          <w:color w:val="008938"/>
        </w:rPr>
      </w:pPr>
      <w:r w:rsidRPr="00A1555E">
        <w:rPr>
          <w:b/>
          <w:bCs/>
          <w:color w:val="008938"/>
        </w:rPr>
        <w:t>AQMA1: LONG TERM COMPLIANCE - REVOKE</w:t>
      </w:r>
    </w:p>
    <w:p w14:paraId="6AF617C3" w14:textId="7DFA904B" w:rsidR="00902898" w:rsidRDefault="001B1A56" w:rsidP="00902898">
      <w:pPr>
        <w:spacing w:before="0"/>
        <w:rPr>
          <w:rFonts w:cs="Arial"/>
          <w:color w:val="000000"/>
          <w:lang w:eastAsia="en-GB"/>
        </w:rPr>
      </w:pPr>
      <w:r>
        <w:rPr>
          <w:rFonts w:cs="Arial"/>
          <w:color w:val="000000"/>
          <w:lang w:eastAsia="en-GB"/>
        </w:rPr>
        <w:t>No diffusion tube sites have shown an exceedance of 40</w:t>
      </w:r>
      <w:r w:rsidR="00D705F2">
        <w:rPr>
          <w:rFonts w:cs="Arial"/>
          <w:color w:val="0B0C0C"/>
        </w:rPr>
        <w:t>µ</w:t>
      </w:r>
      <w:r>
        <w:rPr>
          <w:rFonts w:cs="Arial"/>
          <w:color w:val="000000"/>
          <w:lang w:eastAsia="en-GB"/>
        </w:rPr>
        <w:t>g/m</w:t>
      </w:r>
      <w:r w:rsidRPr="00660011">
        <w:rPr>
          <w:rFonts w:cs="Arial"/>
          <w:color w:val="000000"/>
          <w:vertAlign w:val="superscript"/>
          <w:lang w:eastAsia="en-GB"/>
        </w:rPr>
        <w:t>3</w:t>
      </w:r>
      <w:r>
        <w:rPr>
          <w:rFonts w:cs="Arial"/>
          <w:color w:val="000000"/>
          <w:lang w:eastAsia="en-GB"/>
        </w:rPr>
        <w:t xml:space="preserve"> since 2017 and concentrations have been below 36</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from 2018 onwards. Continuous monitoring data from sites in Chalvey (originally located within the waste depot and now based on Spackmans Way) last showed exceedance of the AQO in 2016. </w:t>
      </w:r>
      <w:r w:rsidRPr="00F07BDE">
        <w:rPr>
          <w:rFonts w:cs="Arial"/>
          <w:color w:val="000000"/>
          <w:lang w:eastAsia="en-GB"/>
        </w:rPr>
        <w:t xml:space="preserve">As there have been no exceedances of the AQO within AQMA 1 since 2017, the Council will </w:t>
      </w:r>
      <w:r>
        <w:rPr>
          <w:rFonts w:cs="Arial"/>
          <w:color w:val="000000"/>
          <w:lang w:eastAsia="en-GB"/>
        </w:rPr>
        <w:t>prepare</w:t>
      </w:r>
      <w:r w:rsidRPr="00F07BDE">
        <w:rPr>
          <w:rFonts w:cs="Arial"/>
          <w:color w:val="000000"/>
          <w:lang w:eastAsia="en-GB"/>
        </w:rPr>
        <w:t xml:space="preserve"> to revoke this AQMA in 2024.</w:t>
      </w:r>
    </w:p>
    <w:p w14:paraId="3FD5E0A8" w14:textId="77777777" w:rsidR="00902898" w:rsidRDefault="00902898" w:rsidP="00902898">
      <w:pPr>
        <w:spacing w:before="0" w:after="0" w:line="240" w:lineRule="auto"/>
        <w:rPr>
          <w:rFonts w:cs="Arial"/>
          <w:color w:val="000000"/>
          <w:lang w:eastAsia="en-GB"/>
        </w:rPr>
      </w:pPr>
    </w:p>
    <w:p w14:paraId="01BAC3E6" w14:textId="77777777" w:rsidR="001B1A56" w:rsidRPr="00A1555E" w:rsidRDefault="001B1A56" w:rsidP="00A1555E">
      <w:pPr>
        <w:pStyle w:val="AQAPText"/>
        <w:rPr>
          <w:b/>
          <w:bCs/>
          <w:color w:val="008938"/>
        </w:rPr>
      </w:pPr>
      <w:r w:rsidRPr="00A1555E">
        <w:rPr>
          <w:b/>
          <w:bCs/>
          <w:color w:val="008938"/>
        </w:rPr>
        <w:t>AQMA 2: APPROACHING COMPLIANCE - RETAIN.</w:t>
      </w:r>
    </w:p>
    <w:p w14:paraId="74F9FCA2" w14:textId="2C0ABF1E" w:rsidR="001B1A56" w:rsidRDefault="004B64B2" w:rsidP="001B1A56">
      <w:pPr>
        <w:spacing w:before="0" w:after="0"/>
      </w:pPr>
      <w:r>
        <w:t xml:space="preserve">The first year that </w:t>
      </w:r>
      <w:r w:rsidR="001B1A56" w:rsidRPr="00F07BDE">
        <w:t>all sites in AQMA 2 complied with the AQO for NO</w:t>
      </w:r>
      <w:r w:rsidR="001B1A56" w:rsidRPr="00F07BDE">
        <w:rPr>
          <w:vertAlign w:val="subscript"/>
        </w:rPr>
        <w:t>2</w:t>
      </w:r>
      <w:r>
        <w:t xml:space="preserve"> was 2020</w:t>
      </w:r>
      <w:r w:rsidR="001B1A56" w:rsidRPr="00F07BDE">
        <w:t>. Prior to this, concentrations were high, particularly on London Road (</w:t>
      </w:r>
      <w:r w:rsidR="001B1A56" w:rsidRPr="00F07BDE">
        <w:rPr>
          <w:rFonts w:cs="Arial"/>
          <w:color w:val="000000"/>
          <w:lang w:eastAsia="en-GB"/>
        </w:rPr>
        <w:t>49.4</w:t>
      </w:r>
      <w:r w:rsidR="00D705F2">
        <w:rPr>
          <w:rFonts w:cs="Arial"/>
          <w:color w:val="0B0C0C"/>
        </w:rPr>
        <w:t>µ</w:t>
      </w:r>
      <w:r w:rsidR="001B1A56" w:rsidRPr="00F07BDE">
        <w:rPr>
          <w:rFonts w:cs="Arial"/>
          <w:color w:val="000000"/>
          <w:lang w:eastAsia="en-GB"/>
        </w:rPr>
        <w:t>g/m</w:t>
      </w:r>
      <w:r w:rsidR="001B1A56" w:rsidRPr="007B7676">
        <w:rPr>
          <w:rFonts w:cs="Arial"/>
          <w:color w:val="000000"/>
          <w:vertAlign w:val="superscript"/>
          <w:lang w:eastAsia="en-GB"/>
        </w:rPr>
        <w:t>3</w:t>
      </w:r>
      <w:r w:rsidR="001B1A56" w:rsidRPr="00F07BDE">
        <w:t xml:space="preserve"> at SLO 18) in 2019.</w:t>
      </w:r>
      <w:r w:rsidR="001B1A56">
        <w:t xml:space="preserve"> </w:t>
      </w:r>
      <w:r w:rsidR="001B1A56" w:rsidRPr="00F07BDE">
        <w:t>Excluding COVID-19 years of 2020 and 2021, the first year of compliance was therefore 2022. As such, revocation of AQMA 2 can only be considered in 2025, if the three following years of data show concentrations below 36</w:t>
      </w:r>
      <w:r w:rsidR="00D705F2">
        <w:rPr>
          <w:rFonts w:cs="Arial"/>
          <w:color w:val="0B0C0C"/>
        </w:rPr>
        <w:t>µ</w:t>
      </w:r>
      <w:r w:rsidR="001B1A56" w:rsidRPr="00F07BDE">
        <w:t>g/m</w:t>
      </w:r>
      <w:r w:rsidR="001B1A56" w:rsidRPr="007B7676">
        <w:rPr>
          <w:vertAlign w:val="superscript"/>
        </w:rPr>
        <w:t>3</w:t>
      </w:r>
      <w:r w:rsidR="001B1A56" w:rsidRPr="00F07BDE">
        <w:t>.</w:t>
      </w:r>
    </w:p>
    <w:p w14:paraId="42BF0438" w14:textId="77777777" w:rsidR="00902898" w:rsidRDefault="00902898" w:rsidP="001B1A56">
      <w:pPr>
        <w:spacing w:before="0" w:after="0"/>
      </w:pPr>
    </w:p>
    <w:p w14:paraId="355DC7E5" w14:textId="77777777" w:rsidR="001B1A56" w:rsidRPr="00A1555E" w:rsidRDefault="001B1A56" w:rsidP="00A1555E">
      <w:pPr>
        <w:pStyle w:val="AQAPText"/>
        <w:rPr>
          <w:b/>
          <w:bCs/>
          <w:color w:val="008938"/>
        </w:rPr>
      </w:pPr>
      <w:r w:rsidRPr="00A1555E">
        <w:rPr>
          <w:b/>
          <w:bCs/>
          <w:color w:val="008938"/>
        </w:rPr>
        <w:t>AQMA 3 + Extension: APPROACHING COMPLIANCE - RETAIN.</w:t>
      </w:r>
    </w:p>
    <w:p w14:paraId="69CA5C1A" w14:textId="202B2205" w:rsidR="001B1A56" w:rsidRDefault="001B1A56" w:rsidP="001B1A56">
      <w:pPr>
        <w:contextualSpacing/>
        <w:rPr>
          <w:rFonts w:cs="Arial"/>
          <w:color w:val="000000"/>
          <w:lang w:eastAsia="en-GB"/>
        </w:rPr>
      </w:pPr>
      <w:r w:rsidRPr="00F07BDE">
        <w:rPr>
          <w:rFonts w:cs="Arial"/>
          <w:color w:val="000000"/>
          <w:lang w:eastAsia="en-GB"/>
        </w:rPr>
        <w:t xml:space="preserve">Some monitoring sites, such as </w:t>
      </w:r>
      <w:r>
        <w:rPr>
          <w:rFonts w:cs="Arial"/>
          <w:color w:val="000000"/>
          <w:lang w:eastAsia="en-GB"/>
        </w:rPr>
        <w:t>Tuns Lane (</w:t>
      </w:r>
      <w:r w:rsidRPr="00F07BDE">
        <w:rPr>
          <w:rFonts w:cs="Arial"/>
          <w:color w:val="000000"/>
          <w:lang w:eastAsia="en-GB"/>
        </w:rPr>
        <w:t>SLO 23</w:t>
      </w:r>
      <w:r>
        <w:rPr>
          <w:rFonts w:cs="Arial"/>
          <w:color w:val="000000"/>
          <w:lang w:eastAsia="en-GB"/>
        </w:rPr>
        <w:t>),</w:t>
      </w:r>
      <w:r w:rsidRPr="00F07BDE">
        <w:rPr>
          <w:rFonts w:cs="Arial"/>
          <w:color w:val="000000"/>
          <w:lang w:eastAsia="en-GB"/>
        </w:rPr>
        <w:t xml:space="preserve"> have fallen below 10% of the AQO for over 5 years, whereas others such as </w:t>
      </w:r>
      <w:r>
        <w:rPr>
          <w:rFonts w:cs="Arial"/>
          <w:color w:val="000000"/>
          <w:lang w:eastAsia="en-GB"/>
        </w:rPr>
        <w:t>Tuns Lane (B) (</w:t>
      </w:r>
      <w:r w:rsidRPr="00F07BDE">
        <w:rPr>
          <w:rFonts w:cs="Arial"/>
          <w:color w:val="000000"/>
          <w:lang w:eastAsia="en-GB"/>
        </w:rPr>
        <w:t>SLO 50</w:t>
      </w:r>
      <w:r>
        <w:rPr>
          <w:rFonts w:cs="Arial"/>
          <w:color w:val="000000"/>
          <w:lang w:eastAsia="en-GB"/>
        </w:rPr>
        <w:t>)</w:t>
      </w:r>
      <w:r w:rsidRPr="00F07BDE">
        <w:rPr>
          <w:rFonts w:cs="Arial"/>
          <w:color w:val="000000"/>
          <w:lang w:eastAsia="en-GB"/>
        </w:rPr>
        <w:t xml:space="preserve"> have only reached compliance as a result of the pandemic. The first year of compliance is therefore 2022, with the highest concentration </w:t>
      </w:r>
      <w:r>
        <w:rPr>
          <w:rFonts w:cs="Arial"/>
          <w:color w:val="000000"/>
          <w:lang w:eastAsia="en-GB"/>
        </w:rPr>
        <w:t>within AQMA 3 being Tuns Lane (</w:t>
      </w:r>
      <w:r w:rsidRPr="00F07BDE">
        <w:rPr>
          <w:rFonts w:cs="Arial"/>
          <w:color w:val="000000"/>
          <w:lang w:eastAsia="en-GB"/>
        </w:rPr>
        <w:t>SLO 50</w:t>
      </w:r>
      <w:r>
        <w:rPr>
          <w:rFonts w:cs="Arial"/>
          <w:color w:val="000000"/>
          <w:lang w:eastAsia="en-GB"/>
        </w:rPr>
        <w:t>)</w:t>
      </w:r>
      <w:r w:rsidRPr="00F07BDE">
        <w:rPr>
          <w:rFonts w:cs="Arial"/>
          <w:color w:val="000000"/>
          <w:lang w:eastAsia="en-GB"/>
        </w:rPr>
        <w:t xml:space="preserve"> at 32.9</w:t>
      </w:r>
      <w:r w:rsidR="00D705F2">
        <w:rPr>
          <w:rFonts w:cs="Arial"/>
          <w:color w:val="0B0C0C"/>
        </w:rPr>
        <w:t>µ</w:t>
      </w:r>
      <w:r w:rsidRPr="00F07BDE">
        <w:rPr>
          <w:rFonts w:cs="Arial"/>
          <w:color w:val="000000"/>
          <w:lang w:eastAsia="en-GB"/>
        </w:rPr>
        <w:t>g/m</w:t>
      </w:r>
      <w:r w:rsidRPr="007B7676">
        <w:rPr>
          <w:rFonts w:cs="Arial"/>
          <w:color w:val="000000"/>
          <w:vertAlign w:val="superscript"/>
          <w:lang w:eastAsia="en-GB"/>
        </w:rPr>
        <w:t>3</w:t>
      </w:r>
      <w:r>
        <w:rPr>
          <w:rFonts w:cs="Arial"/>
          <w:color w:val="000000"/>
          <w:lang w:eastAsia="en-GB"/>
        </w:rPr>
        <w:t>, and the highest concentration within the AQMA 3 Extension being the Windmill triplicate (SLO 57, SLO 58 and SLO 59) at 28.8</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As such, the earliest year that revocation can be considered is 2025.</w:t>
      </w:r>
    </w:p>
    <w:p w14:paraId="133C4F54" w14:textId="77777777" w:rsidR="001B1A56" w:rsidRDefault="001B1A56" w:rsidP="001B1A56">
      <w:pPr>
        <w:spacing w:before="0" w:after="0"/>
        <w:rPr>
          <w:rFonts w:cs="Arial"/>
          <w:color w:val="000000"/>
          <w:lang w:eastAsia="en-GB"/>
        </w:rPr>
      </w:pPr>
    </w:p>
    <w:p w14:paraId="0BBC02FD" w14:textId="77777777" w:rsidR="001B1A56" w:rsidRPr="00A1555E" w:rsidRDefault="001B1A56" w:rsidP="00A1555E">
      <w:pPr>
        <w:pStyle w:val="AQAPText"/>
        <w:rPr>
          <w:b/>
          <w:bCs/>
          <w:color w:val="008938"/>
        </w:rPr>
      </w:pPr>
      <w:r w:rsidRPr="00A1555E">
        <w:rPr>
          <w:b/>
          <w:bCs/>
          <w:color w:val="008938"/>
        </w:rPr>
        <w:t>AQMA 4: NON-COMPLIANT - RETAIN.</w:t>
      </w:r>
    </w:p>
    <w:p w14:paraId="03B8CD90" w14:textId="1BA28701" w:rsidR="001B1A56" w:rsidRDefault="001B1A56" w:rsidP="00FD11DA">
      <w:pPr>
        <w:spacing w:before="0" w:after="0"/>
        <w:rPr>
          <w:rFonts w:cs="Arial"/>
          <w:color w:val="000000"/>
          <w:lang w:eastAsia="en-GB"/>
        </w:rPr>
      </w:pPr>
      <w:r>
        <w:rPr>
          <w:rFonts w:cs="Arial"/>
          <w:color w:val="000000"/>
          <w:lang w:eastAsia="en-GB"/>
        </w:rPr>
        <w:t>The pandemic brought widespread compliance with the AQO within AQMA 4, with Yew Tree Road (SLO 29) dropping by 14.7</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from 2019 to 2020, resulting in all sites falling below 10% of the AQO. Yew Tree Road however recovered after the pandemic by 5.1</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(15%) to just under the AQO at 39</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xml:space="preserve"> in 2021. 2022 saw a further increase to 44.2</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however once distance corrected, this falls to 36.6</w:t>
      </w:r>
      <w:r w:rsidR="00D705F2">
        <w:rPr>
          <w:rFonts w:cs="Arial"/>
          <w:color w:val="0B0C0C"/>
        </w:rPr>
        <w:t>µ</w:t>
      </w:r>
      <w:r>
        <w:rPr>
          <w:rFonts w:cs="Arial"/>
          <w:color w:val="000000"/>
          <w:lang w:eastAsia="en-GB"/>
        </w:rPr>
        <w:t>g/m</w:t>
      </w:r>
      <w:r w:rsidRPr="007B7676">
        <w:rPr>
          <w:rFonts w:cs="Arial"/>
          <w:color w:val="000000"/>
          <w:vertAlign w:val="superscript"/>
          <w:lang w:eastAsia="en-GB"/>
        </w:rPr>
        <w:t>3</w:t>
      </w:r>
      <w:r>
        <w:rPr>
          <w:rFonts w:cs="Arial"/>
          <w:color w:val="000000"/>
          <w:lang w:eastAsia="en-GB"/>
        </w:rPr>
        <w:t>. As this is within 10% of the AQO, 2022 cannot be considered a year of compliance for AQMA 4.</w:t>
      </w:r>
    </w:p>
    <w:p w14:paraId="7A78B667" w14:textId="77777777" w:rsidR="00FD11DA" w:rsidRPr="00FD11DA" w:rsidRDefault="00FD11DA" w:rsidP="00902898">
      <w:pPr>
        <w:spacing w:before="0" w:after="0" w:line="240" w:lineRule="auto"/>
        <w:rPr>
          <w:rFonts w:cs="Arial"/>
          <w:color w:val="000000"/>
          <w:lang w:eastAsia="en-GB"/>
        </w:rPr>
      </w:pPr>
    </w:p>
    <w:p w14:paraId="589B5995" w14:textId="3BEA3D02" w:rsidR="001B1A56" w:rsidRDefault="001B1A56" w:rsidP="00FD11DA">
      <w:pPr>
        <w:spacing w:before="0"/>
      </w:pPr>
      <w:r>
        <w:t xml:space="preserve">Despite the improvement in air quality over the last five years, more needs to be done to meet compliance across the AQMAs in their entirety and address particular hotspot areas. In addition, there are areas outside of Slough’s AQMAs, which, pre-pandemic, were approaching non-compliance, therefore intervention is required to ensure that poor air quality in these areas remains suppressed. As such, this </w:t>
      </w:r>
      <w:r w:rsidR="007B3BD4">
        <w:t>AQAP</w:t>
      </w:r>
      <w:r>
        <w:t xml:space="preserve"> has been designed to address boroughwide air pollution. The focus remains on NO</w:t>
      </w:r>
      <w:r>
        <w:rPr>
          <w:vertAlign w:val="subscript"/>
        </w:rPr>
        <w:t>2</w:t>
      </w:r>
      <w:r>
        <w:t xml:space="preserve"> reduction measures, however some measures will also assist in addressing particulate matter and indoor air quality. </w:t>
      </w:r>
    </w:p>
    <w:p w14:paraId="5D2F2968" w14:textId="43E9FE18" w:rsidR="001B1A56" w:rsidRDefault="001B1A56" w:rsidP="00FD11DA">
      <w:pPr>
        <w:pStyle w:val="Heading2"/>
        <w:numPr>
          <w:ilvl w:val="0"/>
          <w:numId w:val="0"/>
        </w:numPr>
        <w:ind w:left="570" w:hanging="567"/>
      </w:pPr>
      <w:bookmarkStart w:id="5" w:name="_Toc160129541"/>
      <w:r>
        <w:t xml:space="preserve">Sources of </w:t>
      </w:r>
      <w:r w:rsidR="00A1555E">
        <w:t>P</w:t>
      </w:r>
      <w:r w:rsidR="00FD11DA">
        <w:t xml:space="preserve">oor </w:t>
      </w:r>
      <w:r w:rsidR="00A1555E">
        <w:t>A</w:t>
      </w:r>
      <w:r w:rsidR="00FD11DA">
        <w:t xml:space="preserve">ir </w:t>
      </w:r>
      <w:r w:rsidR="00A1555E">
        <w:t>Q</w:t>
      </w:r>
      <w:r w:rsidR="00FD11DA">
        <w:t>uality</w:t>
      </w:r>
      <w:bookmarkEnd w:id="5"/>
    </w:p>
    <w:p w14:paraId="75545A16" w14:textId="12F130FD" w:rsidR="001B1A56" w:rsidRDefault="001B1A56" w:rsidP="001B1A56">
      <w:pPr>
        <w:contextualSpacing/>
      </w:pPr>
      <w:r>
        <w:t xml:space="preserve">Across the borough, on average 46% </w:t>
      </w:r>
      <w:r w:rsidR="004B64B2">
        <w:t xml:space="preserve">of </w:t>
      </w:r>
      <w:r>
        <w:t>local NOx emissions are apportioned to road emissions. It is observed that for sites within AQMAs, on average, there is a higher contribution from road emissions than non-road emissions. The results of the study show that diesel cars were the greatest source of NO</w:t>
      </w:r>
      <w:r w:rsidRPr="004A07D6">
        <w:rPr>
          <w:vertAlign w:val="subscript"/>
        </w:rPr>
        <w:t>X</w:t>
      </w:r>
      <w:r>
        <w:t xml:space="preserve"> emissions (24.4%)</w:t>
      </w:r>
      <w:r w:rsidR="005234D8">
        <w:t xml:space="preserve"> on average across the borough</w:t>
      </w:r>
      <w:r>
        <w:t>; followed by rural</w:t>
      </w:r>
      <w:r>
        <w:rPr>
          <w:rStyle w:val="FootnoteReference"/>
        </w:rPr>
        <w:footnoteReference w:id="2"/>
      </w:r>
      <w:r>
        <w:t xml:space="preserve"> (18.0%), domestic (8.0%) and LGVs (7.5%) in 2022.</w:t>
      </w:r>
    </w:p>
    <w:p w14:paraId="4010FFFE" w14:textId="77777777" w:rsidR="001B1A56" w:rsidRDefault="001B1A56" w:rsidP="00902898">
      <w:pPr>
        <w:spacing w:before="0" w:after="0"/>
        <w:contextualSpacing/>
      </w:pPr>
    </w:p>
    <w:p w14:paraId="673992CE" w14:textId="5AB4DA2A" w:rsidR="001B1A56" w:rsidRDefault="001B1A56" w:rsidP="00902898">
      <w:pPr>
        <w:spacing w:before="0" w:after="0"/>
      </w:pPr>
      <w:r>
        <w:t>For PM</w:t>
      </w:r>
      <w:r w:rsidRPr="00C15592">
        <w:rPr>
          <w:vertAlign w:val="subscript"/>
        </w:rPr>
        <w:t>10</w:t>
      </w:r>
      <w:r>
        <w:t xml:space="preserve">, the source apportionment study found that non-road emissions sources, such as secondary PM (37.7%), </w:t>
      </w:r>
      <w:r w:rsidR="007739C5">
        <w:t>residual</w:t>
      </w:r>
      <w:r>
        <w:t xml:space="preserve"> (33.3%), and domestic heating (9.6%), are </w:t>
      </w:r>
      <w:r>
        <w:lastRenderedPageBreak/>
        <w:t>the key contributors to total emissions. Road emissions sources only contributed to 10.6% of total PM</w:t>
      </w:r>
      <w:r w:rsidRPr="00185CE6">
        <w:rPr>
          <w:vertAlign w:val="subscript"/>
        </w:rPr>
        <w:t>10</w:t>
      </w:r>
      <w:r>
        <w:t xml:space="preserve"> emissions in 2022.</w:t>
      </w:r>
    </w:p>
    <w:p w14:paraId="26C1D961" w14:textId="0E1D7A87" w:rsidR="001B1A56" w:rsidRDefault="001B1A56" w:rsidP="007739C5">
      <w:r>
        <w:t>Similarly, for PM</w:t>
      </w:r>
      <w:r w:rsidRPr="00185CE6">
        <w:rPr>
          <w:vertAlign w:val="subscript"/>
        </w:rPr>
        <w:t>2.5</w:t>
      </w:r>
      <w:r>
        <w:t xml:space="preserve">, the key emissions </w:t>
      </w:r>
      <w:r w:rsidR="007739C5">
        <w:t>sources</w:t>
      </w:r>
      <w:r>
        <w:t xml:space="preserve"> are secondary PM (47.9%), </w:t>
      </w:r>
      <w:r w:rsidR="007739C5">
        <w:t>residual</w:t>
      </w:r>
      <w:r>
        <w:t xml:space="preserve"> (22.7%),</w:t>
      </w:r>
      <w:r w:rsidR="00964221">
        <w:t xml:space="preserve"> </w:t>
      </w:r>
      <w:r>
        <w:t>domestic heating (13.9%)</w:t>
      </w:r>
      <w:r w:rsidR="00964221">
        <w:t>, and road sources (9.3%)</w:t>
      </w:r>
      <w:r>
        <w:t xml:space="preserve">. </w:t>
      </w:r>
      <w:r w:rsidR="00964221">
        <w:t xml:space="preserve">Secondary PM </w:t>
      </w:r>
      <w:r w:rsidR="00964221" w:rsidRPr="00964221">
        <w:t>is formed in the atmosphere through complex chemical reactions</w:t>
      </w:r>
      <w:r w:rsidR="00964221">
        <w:t xml:space="preserve"> from precursor pollutants</w:t>
      </w:r>
      <w:r w:rsidR="00964221" w:rsidRPr="00964221">
        <w:t xml:space="preserve"> such as nitrogen oxides (NOx), volatile organic compounds (VOCs), sul</w:t>
      </w:r>
      <w:r w:rsidR="00964221">
        <w:t>ph</w:t>
      </w:r>
      <w:r w:rsidR="00964221" w:rsidRPr="00964221">
        <w:t>ur dioxides (SO</w:t>
      </w:r>
      <w:r w:rsidR="00964221" w:rsidRPr="00964221">
        <w:rPr>
          <w:vertAlign w:val="subscript"/>
        </w:rPr>
        <w:t>2</w:t>
      </w:r>
      <w:r w:rsidR="00964221" w:rsidRPr="00964221">
        <w:t>), and ammonia</w:t>
      </w:r>
      <w:r w:rsidR="00964221">
        <w:t xml:space="preserve">. </w:t>
      </w:r>
      <w:r w:rsidR="007739C5">
        <w:t>Residual PM is sea salt, calcium and iron rich dusts and regional primary PM and residual non characterised sources (residual is 1.0μg/m</w:t>
      </w:r>
      <w:r w:rsidR="007739C5">
        <w:rPr>
          <w:rFonts w:ascii="Cambria Math" w:hAnsi="Cambria Math" w:cs="Cambria Math"/>
          <w:vertAlign w:val="superscript"/>
        </w:rPr>
        <w:t>3</w:t>
      </w:r>
      <w:r w:rsidR="007739C5">
        <w:t>)</w:t>
      </w:r>
    </w:p>
    <w:p w14:paraId="75BD3155" w14:textId="77777777" w:rsidR="001B1A56" w:rsidRDefault="001B1A56" w:rsidP="001B1A56">
      <w:r>
        <w:t>As such, the Slough AQAP appropriately includes measures focusing on non-road emissions to reduce PM</w:t>
      </w:r>
      <w:r w:rsidRPr="00C15592">
        <w:rPr>
          <w:vertAlign w:val="subscript"/>
        </w:rPr>
        <w:t>10</w:t>
      </w:r>
      <w:r>
        <w:t xml:space="preserve"> and PM</w:t>
      </w:r>
      <w:r w:rsidRPr="00C15592">
        <w:rPr>
          <w:vertAlign w:val="subscript"/>
        </w:rPr>
        <w:t>2.5</w:t>
      </w:r>
      <w:r>
        <w:t xml:space="preserve"> concentrations. </w:t>
      </w:r>
    </w:p>
    <w:p w14:paraId="761A7493" w14:textId="46B4B1CB" w:rsidR="001B1A56" w:rsidRDefault="001B1A56" w:rsidP="001B1A56">
      <w:r>
        <w:t>A breakdown of sources for NOx is provided below</w:t>
      </w:r>
      <w:r w:rsidR="005234D8">
        <w:t xml:space="preserve">. The average contribution across monitoring sites has been calculated for each AQMA and non-AQMA site categories of industrial, kerbside and roadside, as defined within </w:t>
      </w:r>
      <w:r w:rsidR="008C57F6">
        <w:t xml:space="preserve">Technical Guidance </w:t>
      </w:r>
      <w:r w:rsidR="005234D8">
        <w:t>LAQM.TG(22)</w:t>
      </w:r>
      <w:r>
        <w:t>.</w:t>
      </w:r>
      <w:r w:rsidR="00B87DA1">
        <w:t xml:space="preserve"> The colour coding scale shows low percentage contributions (0%-3%) in green, medium percentage contributions (3%-14%) in yellow, and high percentage contributions (14% up to 35%) in red / orange.</w:t>
      </w:r>
    </w:p>
    <w:p w14:paraId="5D2A12BE" w14:textId="44E07172" w:rsidR="00B87DA1" w:rsidRDefault="00B87DA1" w:rsidP="006132B8">
      <w:pPr>
        <w:pStyle w:val="Tables"/>
      </w:pPr>
      <w:bookmarkStart w:id="6" w:name="_Toc160128550"/>
      <w:r>
        <w:t xml:space="preserve">Table </w:t>
      </w:r>
      <w:r w:rsidR="00902898">
        <w:t>B</w:t>
      </w:r>
      <w:r>
        <w:t xml:space="preserve">: </w:t>
      </w:r>
      <w:r w:rsidR="0042592E">
        <w:t>NOx s</w:t>
      </w:r>
      <w:r>
        <w:t>ource contributions by percentage for each AQMA and non-AQMA areas (industrial, kerbside and roadside)</w:t>
      </w:r>
      <w:bookmarkEnd w:id="6"/>
    </w:p>
    <w:tbl>
      <w:tblPr>
        <w:tblW w:w="8948" w:type="dxa"/>
        <w:tblLook w:val="04A0" w:firstRow="1" w:lastRow="0" w:firstColumn="1" w:lastColumn="0" w:noHBand="0" w:noVBand="1"/>
        <w:tblCaption w:val="Table of NOx sources "/>
        <w:tblDescription w:val="Average NOx contribution percentages from vehicle and background sources, within AQMA 1, AQMA 2, AQMA 3, AQMA 4 and non-AQMA locations (industrial, kerbside and roadside)."/>
      </w:tblPr>
      <w:tblGrid>
        <w:gridCol w:w="2152"/>
        <w:gridCol w:w="864"/>
        <w:gridCol w:w="864"/>
        <w:gridCol w:w="864"/>
        <w:gridCol w:w="864"/>
        <w:gridCol w:w="1109"/>
        <w:gridCol w:w="1085"/>
        <w:gridCol w:w="1146"/>
      </w:tblGrid>
      <w:tr w:rsidR="001B1A56" w:rsidRPr="00CE7DE1" w14:paraId="2BC4D40B" w14:textId="77777777" w:rsidTr="0042592E">
        <w:trPr>
          <w:trHeight w:val="290"/>
          <w:tblHeader/>
        </w:trPr>
        <w:tc>
          <w:tcPr>
            <w:tcW w:w="2152" w:type="dxa"/>
            <w:tcBorders>
              <w:top w:val="single" w:sz="4" w:space="0" w:color="auto"/>
              <w:left w:val="single" w:sz="4" w:space="0" w:color="auto"/>
              <w:bottom w:val="single" w:sz="12" w:space="0" w:color="auto"/>
              <w:right w:val="single" w:sz="12" w:space="0" w:color="auto"/>
            </w:tcBorders>
            <w:shd w:val="clear" w:color="auto" w:fill="auto"/>
            <w:noWrap/>
            <w:vAlign w:val="center"/>
            <w:hideMark/>
          </w:tcPr>
          <w:p w14:paraId="6FF71E6A" w14:textId="77777777" w:rsidR="001B1A56" w:rsidRPr="00CE7DE1" w:rsidRDefault="001B1A56" w:rsidP="007B10BD">
            <w:pPr>
              <w:spacing w:before="0" w:after="0" w:line="240" w:lineRule="auto"/>
              <w:rPr>
                <w:rFonts w:cs="Arial"/>
                <w:color w:val="000000"/>
                <w:sz w:val="22"/>
                <w:szCs w:val="22"/>
                <w:lang w:eastAsia="en-GB"/>
              </w:rPr>
            </w:pPr>
            <w:r w:rsidRPr="00CE7DE1">
              <w:rPr>
                <w:rFonts w:cs="Arial"/>
                <w:color w:val="000000"/>
                <w:sz w:val="22"/>
                <w:szCs w:val="22"/>
                <w:lang w:eastAsia="en-GB"/>
              </w:rPr>
              <w:t>NOx Sources  </w:t>
            </w:r>
          </w:p>
        </w:tc>
        <w:tc>
          <w:tcPr>
            <w:tcW w:w="864"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7656C1D0"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 xml:space="preserve">AQMA 1 </w:t>
            </w:r>
          </w:p>
        </w:tc>
        <w:tc>
          <w:tcPr>
            <w:tcW w:w="864" w:type="dxa"/>
            <w:tcBorders>
              <w:top w:val="single" w:sz="4" w:space="0" w:color="auto"/>
              <w:left w:val="nil"/>
              <w:bottom w:val="single" w:sz="12" w:space="0" w:color="auto"/>
              <w:right w:val="single" w:sz="4" w:space="0" w:color="auto"/>
            </w:tcBorders>
            <w:shd w:val="clear" w:color="auto" w:fill="auto"/>
            <w:vAlign w:val="center"/>
            <w:hideMark/>
          </w:tcPr>
          <w:p w14:paraId="79564BC2"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 xml:space="preserve">AQMA 2 </w:t>
            </w:r>
          </w:p>
        </w:tc>
        <w:tc>
          <w:tcPr>
            <w:tcW w:w="864" w:type="dxa"/>
            <w:tcBorders>
              <w:top w:val="single" w:sz="4" w:space="0" w:color="auto"/>
              <w:left w:val="nil"/>
              <w:bottom w:val="single" w:sz="12" w:space="0" w:color="auto"/>
              <w:right w:val="single" w:sz="4" w:space="0" w:color="auto"/>
            </w:tcBorders>
            <w:shd w:val="clear" w:color="auto" w:fill="auto"/>
            <w:vAlign w:val="center"/>
            <w:hideMark/>
          </w:tcPr>
          <w:p w14:paraId="7EA553C6"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 xml:space="preserve">AQMA 3 </w:t>
            </w:r>
          </w:p>
        </w:tc>
        <w:tc>
          <w:tcPr>
            <w:tcW w:w="864" w:type="dxa"/>
            <w:tcBorders>
              <w:top w:val="single" w:sz="4" w:space="0" w:color="auto"/>
              <w:left w:val="nil"/>
              <w:bottom w:val="single" w:sz="12" w:space="0" w:color="auto"/>
              <w:right w:val="single" w:sz="4" w:space="0" w:color="auto"/>
            </w:tcBorders>
            <w:shd w:val="clear" w:color="auto" w:fill="auto"/>
            <w:vAlign w:val="center"/>
            <w:hideMark/>
          </w:tcPr>
          <w:p w14:paraId="278BCE57"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AQMA 4</w:t>
            </w:r>
          </w:p>
        </w:tc>
        <w:tc>
          <w:tcPr>
            <w:tcW w:w="1109" w:type="dxa"/>
            <w:tcBorders>
              <w:top w:val="single" w:sz="4" w:space="0" w:color="auto"/>
              <w:left w:val="nil"/>
              <w:bottom w:val="single" w:sz="12" w:space="0" w:color="auto"/>
              <w:right w:val="single" w:sz="4" w:space="0" w:color="auto"/>
            </w:tcBorders>
            <w:shd w:val="clear" w:color="auto" w:fill="auto"/>
            <w:vAlign w:val="center"/>
            <w:hideMark/>
          </w:tcPr>
          <w:p w14:paraId="39779960"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Industrial</w:t>
            </w:r>
          </w:p>
        </w:tc>
        <w:tc>
          <w:tcPr>
            <w:tcW w:w="1085" w:type="dxa"/>
            <w:tcBorders>
              <w:top w:val="single" w:sz="4" w:space="0" w:color="auto"/>
              <w:left w:val="nil"/>
              <w:bottom w:val="single" w:sz="12" w:space="0" w:color="auto"/>
              <w:right w:val="single" w:sz="4" w:space="0" w:color="auto"/>
            </w:tcBorders>
            <w:shd w:val="clear" w:color="auto" w:fill="auto"/>
            <w:vAlign w:val="center"/>
            <w:hideMark/>
          </w:tcPr>
          <w:p w14:paraId="3C43D370"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Kerbside</w:t>
            </w:r>
          </w:p>
        </w:tc>
        <w:tc>
          <w:tcPr>
            <w:tcW w:w="1146" w:type="dxa"/>
            <w:tcBorders>
              <w:top w:val="single" w:sz="4" w:space="0" w:color="auto"/>
              <w:left w:val="nil"/>
              <w:bottom w:val="single" w:sz="12" w:space="0" w:color="auto"/>
              <w:right w:val="single" w:sz="4" w:space="0" w:color="auto"/>
            </w:tcBorders>
            <w:shd w:val="clear" w:color="auto" w:fill="auto"/>
            <w:vAlign w:val="center"/>
            <w:hideMark/>
          </w:tcPr>
          <w:p w14:paraId="1113482E" w14:textId="77777777" w:rsidR="001B1A56" w:rsidRPr="00CE7DE1" w:rsidRDefault="001B1A56" w:rsidP="007B10BD">
            <w:pPr>
              <w:spacing w:before="0" w:after="0" w:line="240" w:lineRule="auto"/>
              <w:jc w:val="center"/>
              <w:rPr>
                <w:rFonts w:cs="Arial"/>
                <w:color w:val="000000"/>
                <w:sz w:val="22"/>
                <w:szCs w:val="22"/>
                <w:lang w:eastAsia="en-GB"/>
              </w:rPr>
            </w:pPr>
            <w:r w:rsidRPr="00CE7DE1">
              <w:rPr>
                <w:rFonts w:cs="Arial"/>
                <w:color w:val="000000"/>
                <w:sz w:val="22"/>
                <w:szCs w:val="22"/>
                <w:lang w:eastAsia="en-GB"/>
              </w:rPr>
              <w:t>Roadside</w:t>
            </w:r>
          </w:p>
        </w:tc>
      </w:tr>
      <w:tr w:rsidR="001B1A56" w:rsidRPr="00AE3CFB" w14:paraId="6636C093" w14:textId="77777777" w:rsidTr="007B10BD">
        <w:trPr>
          <w:trHeight w:val="290"/>
        </w:trPr>
        <w:tc>
          <w:tcPr>
            <w:tcW w:w="2152" w:type="dxa"/>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390780D7"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Petrol cars</w:t>
            </w:r>
          </w:p>
        </w:tc>
        <w:tc>
          <w:tcPr>
            <w:tcW w:w="864" w:type="dxa"/>
            <w:tcBorders>
              <w:top w:val="single" w:sz="12" w:space="0" w:color="auto"/>
              <w:left w:val="single" w:sz="12" w:space="0" w:color="auto"/>
              <w:bottom w:val="single" w:sz="4" w:space="0" w:color="auto"/>
              <w:right w:val="single" w:sz="4" w:space="0" w:color="auto"/>
            </w:tcBorders>
            <w:shd w:val="clear" w:color="000000" w:fill="FFE683"/>
            <w:noWrap/>
            <w:vAlign w:val="bottom"/>
            <w:hideMark/>
          </w:tcPr>
          <w:p w14:paraId="6FE67F9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5.4%</w:t>
            </w:r>
          </w:p>
        </w:tc>
        <w:tc>
          <w:tcPr>
            <w:tcW w:w="864" w:type="dxa"/>
            <w:tcBorders>
              <w:top w:val="single" w:sz="12" w:space="0" w:color="auto"/>
              <w:left w:val="single" w:sz="4" w:space="0" w:color="auto"/>
              <w:bottom w:val="single" w:sz="4" w:space="0" w:color="auto"/>
              <w:right w:val="single" w:sz="4" w:space="0" w:color="auto"/>
            </w:tcBorders>
            <w:shd w:val="clear" w:color="000000" w:fill="F7E883"/>
            <w:noWrap/>
            <w:vAlign w:val="bottom"/>
            <w:hideMark/>
          </w:tcPr>
          <w:p w14:paraId="78B98245"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3.8%</w:t>
            </w:r>
          </w:p>
        </w:tc>
        <w:tc>
          <w:tcPr>
            <w:tcW w:w="864"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7FC776BE"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4.7%</w:t>
            </w:r>
          </w:p>
        </w:tc>
        <w:tc>
          <w:tcPr>
            <w:tcW w:w="864" w:type="dxa"/>
            <w:tcBorders>
              <w:top w:val="single" w:sz="12" w:space="0" w:color="auto"/>
              <w:left w:val="single" w:sz="4" w:space="0" w:color="auto"/>
              <w:bottom w:val="single" w:sz="4" w:space="0" w:color="auto"/>
              <w:right w:val="single" w:sz="4" w:space="0" w:color="auto"/>
            </w:tcBorders>
            <w:shd w:val="clear" w:color="000000" w:fill="FFEB84"/>
            <w:noWrap/>
            <w:vAlign w:val="bottom"/>
            <w:hideMark/>
          </w:tcPr>
          <w:p w14:paraId="22234399"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1109" w:type="dxa"/>
            <w:tcBorders>
              <w:top w:val="single" w:sz="12" w:space="0" w:color="auto"/>
              <w:left w:val="single" w:sz="4" w:space="0" w:color="auto"/>
              <w:bottom w:val="single" w:sz="4" w:space="0" w:color="auto"/>
              <w:right w:val="single" w:sz="4" w:space="0" w:color="auto"/>
            </w:tcBorders>
            <w:shd w:val="clear" w:color="000000" w:fill="C0D980"/>
            <w:noWrap/>
            <w:vAlign w:val="bottom"/>
            <w:hideMark/>
          </w:tcPr>
          <w:p w14:paraId="3DE4FFB3"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1085"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15325BE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4.5%</w:t>
            </w:r>
          </w:p>
        </w:tc>
        <w:tc>
          <w:tcPr>
            <w:tcW w:w="1146" w:type="dxa"/>
            <w:tcBorders>
              <w:top w:val="single" w:sz="12" w:space="0" w:color="auto"/>
              <w:left w:val="single" w:sz="4" w:space="0" w:color="auto"/>
              <w:bottom w:val="single" w:sz="4" w:space="0" w:color="auto"/>
              <w:right w:val="single" w:sz="4" w:space="0" w:color="auto"/>
            </w:tcBorders>
            <w:shd w:val="clear" w:color="000000" w:fill="E7E482"/>
            <w:noWrap/>
            <w:vAlign w:val="bottom"/>
            <w:hideMark/>
          </w:tcPr>
          <w:p w14:paraId="47FD948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3.4%</w:t>
            </w:r>
          </w:p>
        </w:tc>
      </w:tr>
      <w:tr w:rsidR="001B1A56" w:rsidRPr="00AE3CFB" w14:paraId="0DB0ACB9"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D86AB94"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Diesel cars</w:t>
            </w:r>
          </w:p>
        </w:tc>
        <w:tc>
          <w:tcPr>
            <w:tcW w:w="864" w:type="dxa"/>
            <w:tcBorders>
              <w:top w:val="single" w:sz="4" w:space="0" w:color="auto"/>
              <w:left w:val="single" w:sz="12" w:space="0" w:color="auto"/>
              <w:bottom w:val="single" w:sz="4" w:space="0" w:color="auto"/>
              <w:right w:val="single" w:sz="4" w:space="0" w:color="auto"/>
            </w:tcBorders>
            <w:shd w:val="clear" w:color="000000" w:fill="F8696B"/>
            <w:noWrap/>
            <w:vAlign w:val="bottom"/>
            <w:hideMark/>
          </w:tcPr>
          <w:p w14:paraId="1271475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34.4%</w:t>
            </w:r>
          </w:p>
        </w:tc>
        <w:tc>
          <w:tcPr>
            <w:tcW w:w="864" w:type="dxa"/>
            <w:tcBorders>
              <w:top w:val="single" w:sz="4" w:space="0" w:color="auto"/>
              <w:left w:val="single" w:sz="4" w:space="0" w:color="auto"/>
              <w:bottom w:val="single" w:sz="4" w:space="0" w:color="auto"/>
              <w:right w:val="single" w:sz="4" w:space="0" w:color="auto"/>
            </w:tcBorders>
            <w:shd w:val="clear" w:color="000000" w:fill="FCA878"/>
            <w:noWrap/>
            <w:vAlign w:val="bottom"/>
            <w:hideMark/>
          </w:tcPr>
          <w:p w14:paraId="1ECB017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19.8%</w:t>
            </w:r>
          </w:p>
        </w:tc>
        <w:tc>
          <w:tcPr>
            <w:tcW w:w="864" w:type="dxa"/>
            <w:tcBorders>
              <w:top w:val="single" w:sz="4" w:space="0" w:color="auto"/>
              <w:left w:val="single" w:sz="4" w:space="0" w:color="auto"/>
              <w:bottom w:val="single" w:sz="4" w:space="0" w:color="auto"/>
              <w:right w:val="single" w:sz="4" w:space="0" w:color="auto"/>
            </w:tcBorders>
            <w:shd w:val="clear" w:color="000000" w:fill="FB9574"/>
            <w:noWrap/>
            <w:vAlign w:val="bottom"/>
            <w:hideMark/>
          </w:tcPr>
          <w:p w14:paraId="6D040DC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24.3%</w:t>
            </w:r>
          </w:p>
        </w:tc>
        <w:tc>
          <w:tcPr>
            <w:tcW w:w="864" w:type="dxa"/>
            <w:tcBorders>
              <w:top w:val="single" w:sz="4" w:space="0" w:color="auto"/>
              <w:left w:val="single" w:sz="4" w:space="0" w:color="auto"/>
              <w:bottom w:val="single" w:sz="4" w:space="0" w:color="auto"/>
              <w:right w:val="single" w:sz="4" w:space="0" w:color="auto"/>
            </w:tcBorders>
            <w:shd w:val="clear" w:color="000000" w:fill="FB9975"/>
            <w:noWrap/>
            <w:vAlign w:val="bottom"/>
            <w:hideMark/>
          </w:tcPr>
          <w:p w14:paraId="4F91FD3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23.4%</w:t>
            </w:r>
          </w:p>
        </w:tc>
        <w:tc>
          <w:tcPr>
            <w:tcW w:w="1109" w:type="dxa"/>
            <w:tcBorders>
              <w:top w:val="single" w:sz="4" w:space="0" w:color="auto"/>
              <w:left w:val="single" w:sz="4" w:space="0" w:color="auto"/>
              <w:bottom w:val="single" w:sz="4" w:space="0" w:color="auto"/>
              <w:right w:val="single" w:sz="4" w:space="0" w:color="auto"/>
            </w:tcBorders>
            <w:shd w:val="clear" w:color="000000" w:fill="FEC77E"/>
            <w:noWrap/>
            <w:vAlign w:val="bottom"/>
            <w:hideMark/>
          </w:tcPr>
          <w:p w14:paraId="2EACD49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12.5%</w:t>
            </w:r>
          </w:p>
        </w:tc>
        <w:tc>
          <w:tcPr>
            <w:tcW w:w="1085" w:type="dxa"/>
            <w:tcBorders>
              <w:top w:val="single" w:sz="4" w:space="0" w:color="auto"/>
              <w:left w:val="single" w:sz="4" w:space="0" w:color="auto"/>
              <w:bottom w:val="single" w:sz="4" w:space="0" w:color="auto"/>
              <w:right w:val="single" w:sz="4" w:space="0" w:color="auto"/>
            </w:tcBorders>
            <w:shd w:val="clear" w:color="000000" w:fill="FB9574"/>
            <w:noWrap/>
            <w:vAlign w:val="bottom"/>
            <w:hideMark/>
          </w:tcPr>
          <w:p w14:paraId="37639C7D"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24.3%</w:t>
            </w:r>
          </w:p>
        </w:tc>
        <w:tc>
          <w:tcPr>
            <w:tcW w:w="1146" w:type="dxa"/>
            <w:tcBorders>
              <w:top w:val="single" w:sz="4" w:space="0" w:color="auto"/>
              <w:left w:val="single" w:sz="4" w:space="0" w:color="auto"/>
              <w:bottom w:val="single" w:sz="4" w:space="0" w:color="auto"/>
              <w:right w:val="single" w:sz="4" w:space="0" w:color="auto"/>
            </w:tcBorders>
            <w:shd w:val="clear" w:color="000000" w:fill="FCAE79"/>
            <w:noWrap/>
            <w:vAlign w:val="bottom"/>
            <w:hideMark/>
          </w:tcPr>
          <w:p w14:paraId="03772AC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18.4%</w:t>
            </w:r>
          </w:p>
        </w:tc>
      </w:tr>
      <w:tr w:rsidR="001B1A56" w:rsidRPr="00AE3CFB" w14:paraId="58579A85"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4DDEF0ED"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Hybrid Petrol Cars</w:t>
            </w:r>
          </w:p>
        </w:tc>
        <w:tc>
          <w:tcPr>
            <w:tcW w:w="864" w:type="dxa"/>
            <w:tcBorders>
              <w:top w:val="single" w:sz="4" w:space="0" w:color="auto"/>
              <w:left w:val="single" w:sz="12" w:space="0" w:color="auto"/>
              <w:bottom w:val="single" w:sz="4" w:space="0" w:color="auto"/>
              <w:right w:val="single" w:sz="4" w:space="0" w:color="auto"/>
            </w:tcBorders>
            <w:shd w:val="clear" w:color="000000" w:fill="69BF7B"/>
            <w:noWrap/>
            <w:vAlign w:val="bottom"/>
            <w:hideMark/>
          </w:tcPr>
          <w:p w14:paraId="7CCD850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864"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7374F13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864" w:type="dxa"/>
            <w:tcBorders>
              <w:top w:val="single" w:sz="4" w:space="0" w:color="auto"/>
              <w:left w:val="single" w:sz="4" w:space="0" w:color="auto"/>
              <w:bottom w:val="single" w:sz="4" w:space="0" w:color="auto"/>
              <w:right w:val="single" w:sz="4" w:space="0" w:color="auto"/>
            </w:tcBorders>
            <w:shd w:val="clear" w:color="000000" w:fill="66BE7B"/>
            <w:noWrap/>
            <w:vAlign w:val="bottom"/>
            <w:hideMark/>
          </w:tcPr>
          <w:p w14:paraId="6857F565"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864"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116E191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1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7C5EC7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085"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0F0E3C6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146"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030B9E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r>
      <w:tr w:rsidR="001B1A56" w:rsidRPr="00AE3CFB" w14:paraId="7D648366"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33CFB97B"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Hybrid Diesel Cars</w:t>
            </w:r>
          </w:p>
        </w:tc>
        <w:tc>
          <w:tcPr>
            <w:tcW w:w="864" w:type="dxa"/>
            <w:tcBorders>
              <w:top w:val="single" w:sz="4" w:space="0" w:color="auto"/>
              <w:left w:val="single" w:sz="12" w:space="0" w:color="auto"/>
              <w:bottom w:val="single" w:sz="4" w:space="0" w:color="auto"/>
              <w:right w:val="single" w:sz="4" w:space="0" w:color="auto"/>
            </w:tcBorders>
            <w:shd w:val="clear" w:color="000000" w:fill="6EC17B"/>
            <w:noWrap/>
            <w:vAlign w:val="bottom"/>
            <w:hideMark/>
          </w:tcPr>
          <w:p w14:paraId="430B835E"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864"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2BBB854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864"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53F44C8E"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864"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5E29CF0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1109" w:type="dxa"/>
            <w:tcBorders>
              <w:top w:val="single" w:sz="4" w:space="0" w:color="auto"/>
              <w:left w:val="single" w:sz="4" w:space="0" w:color="auto"/>
              <w:bottom w:val="single" w:sz="4" w:space="0" w:color="auto"/>
              <w:right w:val="single" w:sz="4" w:space="0" w:color="auto"/>
            </w:tcBorders>
            <w:shd w:val="clear" w:color="000000" w:fill="64BE7B"/>
            <w:noWrap/>
            <w:vAlign w:val="bottom"/>
            <w:hideMark/>
          </w:tcPr>
          <w:p w14:paraId="04F851E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085"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4569F4C3"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1146" w:type="dxa"/>
            <w:tcBorders>
              <w:top w:val="single" w:sz="4" w:space="0" w:color="auto"/>
              <w:left w:val="single" w:sz="4" w:space="0" w:color="auto"/>
              <w:bottom w:val="single" w:sz="4" w:space="0" w:color="auto"/>
              <w:right w:val="single" w:sz="4" w:space="0" w:color="auto"/>
            </w:tcBorders>
            <w:shd w:val="clear" w:color="000000" w:fill="66BF7B"/>
            <w:noWrap/>
            <w:vAlign w:val="bottom"/>
            <w:hideMark/>
          </w:tcPr>
          <w:p w14:paraId="0CDFB66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1B1A56" w:rsidRPr="00AE3CFB" w14:paraId="065EB692"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411C9EE"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LGVs</w:t>
            </w:r>
          </w:p>
        </w:tc>
        <w:tc>
          <w:tcPr>
            <w:tcW w:w="864" w:type="dxa"/>
            <w:tcBorders>
              <w:top w:val="single" w:sz="4" w:space="0" w:color="auto"/>
              <w:left w:val="single" w:sz="12" w:space="0" w:color="auto"/>
              <w:bottom w:val="single" w:sz="4" w:space="0" w:color="auto"/>
              <w:right w:val="single" w:sz="4" w:space="0" w:color="auto"/>
            </w:tcBorders>
            <w:shd w:val="clear" w:color="000000" w:fill="FECA7E"/>
            <w:noWrap/>
            <w:vAlign w:val="bottom"/>
            <w:hideMark/>
          </w:tcPr>
          <w:p w14:paraId="097C7C4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11.8%</w:t>
            </w:r>
          </w:p>
        </w:tc>
        <w:tc>
          <w:tcPr>
            <w:tcW w:w="864" w:type="dxa"/>
            <w:tcBorders>
              <w:top w:val="single" w:sz="4" w:space="0" w:color="auto"/>
              <w:left w:val="single" w:sz="4" w:space="0" w:color="auto"/>
              <w:bottom w:val="single" w:sz="4" w:space="0" w:color="auto"/>
              <w:right w:val="single" w:sz="4" w:space="0" w:color="auto"/>
            </w:tcBorders>
            <w:shd w:val="clear" w:color="000000" w:fill="FFD981"/>
            <w:noWrap/>
            <w:vAlign w:val="bottom"/>
            <w:hideMark/>
          </w:tcPr>
          <w:p w14:paraId="07B7F727"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8.3%</w:t>
            </w:r>
          </w:p>
        </w:tc>
        <w:tc>
          <w:tcPr>
            <w:tcW w:w="864" w:type="dxa"/>
            <w:tcBorders>
              <w:top w:val="single" w:sz="4" w:space="0" w:color="auto"/>
              <w:left w:val="single" w:sz="4" w:space="0" w:color="auto"/>
              <w:bottom w:val="single" w:sz="4" w:space="0" w:color="auto"/>
              <w:right w:val="single" w:sz="4" w:space="0" w:color="auto"/>
            </w:tcBorders>
            <w:shd w:val="clear" w:color="000000" w:fill="FED881"/>
            <w:noWrap/>
            <w:vAlign w:val="bottom"/>
            <w:hideMark/>
          </w:tcPr>
          <w:p w14:paraId="37913A5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8.7%</w:t>
            </w:r>
          </w:p>
        </w:tc>
        <w:tc>
          <w:tcPr>
            <w:tcW w:w="864" w:type="dxa"/>
            <w:tcBorders>
              <w:top w:val="single" w:sz="4" w:space="0" w:color="auto"/>
              <w:left w:val="single" w:sz="4" w:space="0" w:color="auto"/>
              <w:bottom w:val="single" w:sz="4" w:space="0" w:color="auto"/>
              <w:right w:val="single" w:sz="4" w:space="0" w:color="auto"/>
            </w:tcBorders>
            <w:shd w:val="clear" w:color="000000" w:fill="FFE383"/>
            <w:noWrap/>
            <w:vAlign w:val="bottom"/>
            <w:hideMark/>
          </w:tcPr>
          <w:p w14:paraId="59788ED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5.9%</w:t>
            </w:r>
          </w:p>
        </w:tc>
        <w:tc>
          <w:tcPr>
            <w:tcW w:w="1109" w:type="dxa"/>
            <w:tcBorders>
              <w:top w:val="single" w:sz="4" w:space="0" w:color="auto"/>
              <w:left w:val="single" w:sz="4" w:space="0" w:color="auto"/>
              <w:bottom w:val="single" w:sz="4" w:space="0" w:color="auto"/>
              <w:right w:val="single" w:sz="4" w:space="0" w:color="auto"/>
            </w:tcBorders>
            <w:shd w:val="clear" w:color="000000" w:fill="6EC17B"/>
            <w:noWrap/>
            <w:vAlign w:val="bottom"/>
            <w:hideMark/>
          </w:tcPr>
          <w:p w14:paraId="010BFF5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085"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14:paraId="4450239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1146" w:type="dxa"/>
            <w:tcBorders>
              <w:top w:val="single" w:sz="4" w:space="0" w:color="auto"/>
              <w:left w:val="single" w:sz="4" w:space="0" w:color="auto"/>
              <w:bottom w:val="single" w:sz="4" w:space="0" w:color="auto"/>
              <w:right w:val="single" w:sz="4" w:space="0" w:color="auto"/>
            </w:tcBorders>
            <w:shd w:val="clear" w:color="000000" w:fill="B5D57F"/>
            <w:noWrap/>
            <w:vAlign w:val="bottom"/>
            <w:hideMark/>
          </w:tcPr>
          <w:p w14:paraId="517165E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r>
      <w:tr w:rsidR="001B1A56" w:rsidRPr="00AE3CFB" w14:paraId="5135E708"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7A8EB13D"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Rigid HGVs</w:t>
            </w:r>
          </w:p>
        </w:tc>
        <w:tc>
          <w:tcPr>
            <w:tcW w:w="864" w:type="dxa"/>
            <w:tcBorders>
              <w:top w:val="single" w:sz="4" w:space="0" w:color="auto"/>
              <w:left w:val="single" w:sz="12" w:space="0" w:color="auto"/>
              <w:bottom w:val="single" w:sz="4" w:space="0" w:color="auto"/>
              <w:right w:val="single" w:sz="4" w:space="0" w:color="auto"/>
            </w:tcBorders>
            <w:shd w:val="clear" w:color="000000" w:fill="E9E482"/>
            <w:noWrap/>
            <w:vAlign w:val="bottom"/>
            <w:hideMark/>
          </w:tcPr>
          <w:p w14:paraId="4F3265D3"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3.5%</w:t>
            </w:r>
          </w:p>
        </w:tc>
        <w:tc>
          <w:tcPr>
            <w:tcW w:w="864" w:type="dxa"/>
            <w:tcBorders>
              <w:top w:val="single" w:sz="4" w:space="0" w:color="auto"/>
              <w:left w:val="single" w:sz="4" w:space="0" w:color="auto"/>
              <w:bottom w:val="single" w:sz="4" w:space="0" w:color="auto"/>
              <w:right w:val="single" w:sz="4" w:space="0" w:color="auto"/>
            </w:tcBorders>
            <w:shd w:val="clear" w:color="000000" w:fill="FFE183"/>
            <w:noWrap/>
            <w:vAlign w:val="bottom"/>
            <w:hideMark/>
          </w:tcPr>
          <w:p w14:paraId="5B79227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6.4%</w:t>
            </w:r>
          </w:p>
        </w:tc>
        <w:tc>
          <w:tcPr>
            <w:tcW w:w="864" w:type="dxa"/>
            <w:tcBorders>
              <w:top w:val="single" w:sz="4" w:space="0" w:color="auto"/>
              <w:left w:val="single" w:sz="4" w:space="0" w:color="auto"/>
              <w:bottom w:val="single" w:sz="4" w:space="0" w:color="auto"/>
              <w:right w:val="single" w:sz="4" w:space="0" w:color="auto"/>
            </w:tcBorders>
            <w:shd w:val="clear" w:color="000000" w:fill="E4E382"/>
            <w:noWrap/>
            <w:vAlign w:val="bottom"/>
            <w:hideMark/>
          </w:tcPr>
          <w:p w14:paraId="512B649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c>
          <w:tcPr>
            <w:tcW w:w="864" w:type="dxa"/>
            <w:tcBorders>
              <w:top w:val="single" w:sz="4" w:space="0" w:color="auto"/>
              <w:left w:val="single" w:sz="4" w:space="0" w:color="auto"/>
              <w:bottom w:val="single" w:sz="4" w:space="0" w:color="auto"/>
              <w:right w:val="single" w:sz="4" w:space="0" w:color="auto"/>
            </w:tcBorders>
            <w:shd w:val="clear" w:color="000000" w:fill="CCDC81"/>
            <w:noWrap/>
            <w:vAlign w:val="bottom"/>
            <w:hideMark/>
          </w:tcPr>
          <w:p w14:paraId="08BF451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1109" w:type="dxa"/>
            <w:tcBorders>
              <w:top w:val="single" w:sz="4" w:space="0" w:color="auto"/>
              <w:left w:val="single" w:sz="4" w:space="0" w:color="auto"/>
              <w:bottom w:val="single" w:sz="4" w:space="0" w:color="auto"/>
              <w:right w:val="single" w:sz="4" w:space="0" w:color="auto"/>
            </w:tcBorders>
            <w:shd w:val="clear" w:color="000000" w:fill="FEEA83"/>
            <w:noWrap/>
            <w:vAlign w:val="bottom"/>
            <w:hideMark/>
          </w:tcPr>
          <w:p w14:paraId="2CCA080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4.0%</w:t>
            </w:r>
          </w:p>
        </w:tc>
        <w:tc>
          <w:tcPr>
            <w:tcW w:w="1085"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5DA1CBE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1146"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23175573"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4.7%</w:t>
            </w:r>
          </w:p>
        </w:tc>
      </w:tr>
      <w:tr w:rsidR="001B1A56" w:rsidRPr="00AE3CFB" w14:paraId="7A996CF0"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BECF7F9"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Artic HGVs</w:t>
            </w:r>
          </w:p>
        </w:tc>
        <w:tc>
          <w:tcPr>
            <w:tcW w:w="864" w:type="dxa"/>
            <w:tcBorders>
              <w:top w:val="single" w:sz="4" w:space="0" w:color="auto"/>
              <w:left w:val="single" w:sz="12" w:space="0" w:color="auto"/>
              <w:bottom w:val="single" w:sz="4" w:space="0" w:color="auto"/>
              <w:right w:val="single" w:sz="4" w:space="0" w:color="auto"/>
            </w:tcBorders>
            <w:shd w:val="clear" w:color="000000" w:fill="CEDD81"/>
            <w:noWrap/>
            <w:vAlign w:val="bottom"/>
            <w:hideMark/>
          </w:tcPr>
          <w:p w14:paraId="6CF1CBA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864" w:type="dxa"/>
            <w:tcBorders>
              <w:top w:val="single" w:sz="4" w:space="0" w:color="auto"/>
              <w:left w:val="single" w:sz="4" w:space="0" w:color="auto"/>
              <w:bottom w:val="single" w:sz="4" w:space="0" w:color="auto"/>
              <w:right w:val="single" w:sz="4" w:space="0" w:color="auto"/>
            </w:tcBorders>
            <w:shd w:val="clear" w:color="000000" w:fill="B6D67F"/>
            <w:noWrap/>
            <w:vAlign w:val="bottom"/>
            <w:hideMark/>
          </w:tcPr>
          <w:p w14:paraId="131F528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c>
          <w:tcPr>
            <w:tcW w:w="864" w:type="dxa"/>
            <w:tcBorders>
              <w:top w:val="single" w:sz="4" w:space="0" w:color="auto"/>
              <w:left w:val="single" w:sz="4" w:space="0" w:color="auto"/>
              <w:bottom w:val="single" w:sz="4" w:space="0" w:color="auto"/>
              <w:right w:val="single" w:sz="4" w:space="0" w:color="auto"/>
            </w:tcBorders>
            <w:shd w:val="clear" w:color="000000" w:fill="8ECA7D"/>
            <w:noWrap/>
            <w:vAlign w:val="bottom"/>
            <w:hideMark/>
          </w:tcPr>
          <w:p w14:paraId="33AD3AF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1.2%</w:t>
            </w:r>
          </w:p>
        </w:tc>
        <w:tc>
          <w:tcPr>
            <w:tcW w:w="864" w:type="dxa"/>
            <w:tcBorders>
              <w:top w:val="single" w:sz="4" w:space="0" w:color="auto"/>
              <w:left w:val="single" w:sz="4" w:space="0" w:color="auto"/>
              <w:bottom w:val="single" w:sz="4" w:space="0" w:color="auto"/>
              <w:right w:val="single" w:sz="4" w:space="0" w:color="auto"/>
            </w:tcBorders>
            <w:shd w:val="clear" w:color="000000" w:fill="86C87D"/>
            <w:noWrap/>
            <w:vAlign w:val="bottom"/>
            <w:hideMark/>
          </w:tcPr>
          <w:p w14:paraId="17BAF0BE"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1.0%</w:t>
            </w:r>
          </w:p>
        </w:tc>
        <w:tc>
          <w:tcPr>
            <w:tcW w:w="1109" w:type="dxa"/>
            <w:tcBorders>
              <w:top w:val="single" w:sz="4" w:space="0" w:color="auto"/>
              <w:left w:val="single" w:sz="4" w:space="0" w:color="auto"/>
              <w:bottom w:val="single" w:sz="4" w:space="0" w:color="auto"/>
              <w:right w:val="single" w:sz="4" w:space="0" w:color="auto"/>
            </w:tcBorders>
            <w:shd w:val="clear" w:color="000000" w:fill="AAD27F"/>
            <w:noWrap/>
            <w:vAlign w:val="bottom"/>
            <w:hideMark/>
          </w:tcPr>
          <w:p w14:paraId="79B25D8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1085" w:type="dxa"/>
            <w:tcBorders>
              <w:top w:val="single" w:sz="4" w:space="0" w:color="auto"/>
              <w:left w:val="single" w:sz="4" w:space="0" w:color="auto"/>
              <w:bottom w:val="single" w:sz="4" w:space="0" w:color="auto"/>
              <w:right w:val="single" w:sz="4" w:space="0" w:color="auto"/>
            </w:tcBorders>
            <w:shd w:val="clear" w:color="000000" w:fill="7FC67C"/>
            <w:noWrap/>
            <w:vAlign w:val="bottom"/>
            <w:hideMark/>
          </w:tcPr>
          <w:p w14:paraId="4ABBAA5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1146" w:type="dxa"/>
            <w:tcBorders>
              <w:top w:val="single" w:sz="4" w:space="0" w:color="auto"/>
              <w:left w:val="single" w:sz="4" w:space="0" w:color="auto"/>
              <w:bottom w:val="single" w:sz="4" w:space="0" w:color="auto"/>
              <w:right w:val="single" w:sz="4" w:space="0" w:color="auto"/>
            </w:tcBorders>
            <w:shd w:val="clear" w:color="000000" w:fill="90CB7D"/>
            <w:noWrap/>
            <w:vAlign w:val="bottom"/>
            <w:hideMark/>
          </w:tcPr>
          <w:p w14:paraId="1C8377D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1.3%</w:t>
            </w:r>
          </w:p>
        </w:tc>
      </w:tr>
      <w:tr w:rsidR="001B1A56" w:rsidRPr="00AE3CFB" w14:paraId="0C5112EC"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6AF51A5D"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Buses</w:t>
            </w:r>
          </w:p>
        </w:tc>
        <w:tc>
          <w:tcPr>
            <w:tcW w:w="864" w:type="dxa"/>
            <w:tcBorders>
              <w:top w:val="single" w:sz="4" w:space="0" w:color="auto"/>
              <w:left w:val="single" w:sz="12" w:space="0" w:color="auto"/>
              <w:bottom w:val="single" w:sz="4" w:space="0" w:color="auto"/>
              <w:right w:val="single" w:sz="4" w:space="0" w:color="auto"/>
            </w:tcBorders>
            <w:shd w:val="clear" w:color="000000" w:fill="65BE7B"/>
            <w:noWrap/>
            <w:vAlign w:val="bottom"/>
            <w:hideMark/>
          </w:tcPr>
          <w:p w14:paraId="58014045"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864" w:type="dxa"/>
            <w:tcBorders>
              <w:top w:val="single" w:sz="4" w:space="0" w:color="auto"/>
              <w:left w:val="single" w:sz="4" w:space="0" w:color="auto"/>
              <w:bottom w:val="single" w:sz="4" w:space="0" w:color="auto"/>
              <w:right w:val="single" w:sz="4" w:space="0" w:color="auto"/>
            </w:tcBorders>
            <w:shd w:val="clear" w:color="000000" w:fill="DDE182"/>
            <w:noWrap/>
            <w:vAlign w:val="bottom"/>
            <w:hideMark/>
          </w:tcPr>
          <w:p w14:paraId="430B72D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3.2%</w:t>
            </w:r>
          </w:p>
        </w:tc>
        <w:tc>
          <w:tcPr>
            <w:tcW w:w="864" w:type="dxa"/>
            <w:tcBorders>
              <w:top w:val="single" w:sz="4" w:space="0" w:color="auto"/>
              <w:left w:val="single" w:sz="4" w:space="0" w:color="auto"/>
              <w:bottom w:val="single" w:sz="4" w:space="0" w:color="auto"/>
              <w:right w:val="single" w:sz="4" w:space="0" w:color="auto"/>
            </w:tcBorders>
            <w:shd w:val="clear" w:color="000000" w:fill="BAD780"/>
            <w:noWrap/>
            <w:vAlign w:val="bottom"/>
            <w:hideMark/>
          </w:tcPr>
          <w:p w14:paraId="2942029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2.3%</w:t>
            </w:r>
          </w:p>
        </w:tc>
        <w:tc>
          <w:tcPr>
            <w:tcW w:w="864" w:type="dxa"/>
            <w:tcBorders>
              <w:top w:val="single" w:sz="4" w:space="0" w:color="auto"/>
              <w:left w:val="single" w:sz="4" w:space="0" w:color="auto"/>
              <w:bottom w:val="single" w:sz="4" w:space="0" w:color="auto"/>
              <w:right w:val="single" w:sz="4" w:space="0" w:color="auto"/>
            </w:tcBorders>
            <w:shd w:val="clear" w:color="000000" w:fill="E3E382"/>
            <w:noWrap/>
            <w:vAlign w:val="bottom"/>
            <w:hideMark/>
          </w:tcPr>
          <w:p w14:paraId="646A3C2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c>
          <w:tcPr>
            <w:tcW w:w="1109"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5A93D567"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0.7%</w:t>
            </w:r>
          </w:p>
        </w:tc>
        <w:tc>
          <w:tcPr>
            <w:tcW w:w="1085" w:type="dxa"/>
            <w:tcBorders>
              <w:top w:val="single" w:sz="4" w:space="0" w:color="auto"/>
              <w:left w:val="single" w:sz="4" w:space="0" w:color="auto"/>
              <w:bottom w:val="single" w:sz="4" w:space="0" w:color="auto"/>
              <w:right w:val="single" w:sz="4" w:space="0" w:color="auto"/>
            </w:tcBorders>
            <w:shd w:val="clear" w:color="000000" w:fill="6DC07B"/>
            <w:noWrap/>
            <w:vAlign w:val="bottom"/>
            <w:hideMark/>
          </w:tcPr>
          <w:p w14:paraId="746EB3B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146" w:type="dxa"/>
            <w:tcBorders>
              <w:top w:val="single" w:sz="4" w:space="0" w:color="auto"/>
              <w:left w:val="single" w:sz="4" w:space="0" w:color="auto"/>
              <w:bottom w:val="single" w:sz="4" w:space="0" w:color="auto"/>
              <w:right w:val="single" w:sz="4" w:space="0" w:color="auto"/>
            </w:tcBorders>
            <w:shd w:val="clear" w:color="000000" w:fill="70C17B"/>
            <w:noWrap/>
            <w:vAlign w:val="bottom"/>
            <w:hideMark/>
          </w:tcPr>
          <w:p w14:paraId="55F0A75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0.5%</w:t>
            </w:r>
          </w:p>
        </w:tc>
      </w:tr>
      <w:tr w:rsidR="001B1A56" w:rsidRPr="00AE3CFB" w14:paraId="0269BADF"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D4F9871"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Taxis</w:t>
            </w:r>
          </w:p>
        </w:tc>
        <w:tc>
          <w:tcPr>
            <w:tcW w:w="864" w:type="dxa"/>
            <w:tcBorders>
              <w:top w:val="single" w:sz="4" w:space="0" w:color="auto"/>
              <w:left w:val="single" w:sz="12" w:space="0" w:color="auto"/>
              <w:bottom w:val="single" w:sz="4" w:space="0" w:color="auto"/>
              <w:right w:val="single" w:sz="4" w:space="0" w:color="auto"/>
            </w:tcBorders>
            <w:shd w:val="clear" w:color="000000" w:fill="C3D980"/>
            <w:noWrap/>
            <w:vAlign w:val="bottom"/>
            <w:hideMark/>
          </w:tcPr>
          <w:p w14:paraId="1197DD1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864" w:type="dxa"/>
            <w:tcBorders>
              <w:top w:val="single" w:sz="4" w:space="0" w:color="auto"/>
              <w:left w:val="single" w:sz="4" w:space="0" w:color="auto"/>
              <w:bottom w:val="single" w:sz="4" w:space="0" w:color="auto"/>
              <w:right w:val="single" w:sz="4" w:space="0" w:color="auto"/>
            </w:tcBorders>
            <w:shd w:val="clear" w:color="000000" w:fill="C0D880"/>
            <w:noWrap/>
            <w:vAlign w:val="bottom"/>
            <w:hideMark/>
          </w:tcPr>
          <w:p w14:paraId="0A08FA5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864" w:type="dxa"/>
            <w:tcBorders>
              <w:top w:val="single" w:sz="4" w:space="0" w:color="auto"/>
              <w:left w:val="single" w:sz="4" w:space="0" w:color="auto"/>
              <w:bottom w:val="single" w:sz="4" w:space="0" w:color="auto"/>
              <w:right w:val="single" w:sz="4" w:space="0" w:color="auto"/>
            </w:tcBorders>
            <w:shd w:val="clear" w:color="000000" w:fill="D5DF81"/>
            <w:noWrap/>
            <w:vAlign w:val="bottom"/>
            <w:hideMark/>
          </w:tcPr>
          <w:p w14:paraId="1577DC2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3.0%</w:t>
            </w:r>
          </w:p>
        </w:tc>
        <w:tc>
          <w:tcPr>
            <w:tcW w:w="864"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32459F2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1109" w:type="dxa"/>
            <w:tcBorders>
              <w:top w:val="single" w:sz="4" w:space="0" w:color="auto"/>
              <w:left w:val="single" w:sz="4" w:space="0" w:color="auto"/>
              <w:bottom w:val="single" w:sz="4" w:space="0" w:color="auto"/>
              <w:right w:val="single" w:sz="4" w:space="0" w:color="auto"/>
            </w:tcBorders>
            <w:shd w:val="clear" w:color="000000" w:fill="9CCE7E"/>
            <w:noWrap/>
            <w:vAlign w:val="bottom"/>
            <w:hideMark/>
          </w:tcPr>
          <w:p w14:paraId="33F6A27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1.6%</w:t>
            </w:r>
          </w:p>
        </w:tc>
        <w:tc>
          <w:tcPr>
            <w:tcW w:w="1085"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7C34AC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1146" w:type="dxa"/>
            <w:tcBorders>
              <w:top w:val="single" w:sz="4" w:space="0" w:color="auto"/>
              <w:left w:val="single" w:sz="4" w:space="0" w:color="auto"/>
              <w:bottom w:val="single" w:sz="4" w:space="0" w:color="auto"/>
              <w:right w:val="single" w:sz="4" w:space="0" w:color="auto"/>
            </w:tcBorders>
            <w:shd w:val="clear" w:color="000000" w:fill="D1DD81"/>
            <w:noWrap/>
            <w:vAlign w:val="bottom"/>
            <w:hideMark/>
          </w:tcPr>
          <w:p w14:paraId="3A1994AE"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2.9%</w:t>
            </w:r>
          </w:p>
        </w:tc>
      </w:tr>
      <w:tr w:rsidR="001B1A56" w:rsidRPr="00AE3CFB" w14:paraId="5A8491B8"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2D32A074"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Minor Rd + Cold Start</w:t>
            </w:r>
          </w:p>
        </w:tc>
        <w:tc>
          <w:tcPr>
            <w:tcW w:w="864" w:type="dxa"/>
            <w:tcBorders>
              <w:top w:val="single" w:sz="4" w:space="0" w:color="auto"/>
              <w:left w:val="single" w:sz="12" w:space="0" w:color="auto"/>
              <w:bottom w:val="single" w:sz="4" w:space="0" w:color="auto"/>
              <w:right w:val="single" w:sz="4" w:space="0" w:color="auto"/>
            </w:tcBorders>
            <w:shd w:val="clear" w:color="000000" w:fill="FFE884"/>
            <w:noWrap/>
            <w:vAlign w:val="bottom"/>
            <w:hideMark/>
          </w:tcPr>
          <w:p w14:paraId="0A4258C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864"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2E53FA6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5.1%</w:t>
            </w:r>
          </w:p>
        </w:tc>
        <w:tc>
          <w:tcPr>
            <w:tcW w:w="864"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66BAC2F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c>
          <w:tcPr>
            <w:tcW w:w="864" w:type="dxa"/>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25D5A33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7.0%</w:t>
            </w:r>
          </w:p>
        </w:tc>
        <w:tc>
          <w:tcPr>
            <w:tcW w:w="1109"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0FE3650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5.9%</w:t>
            </w:r>
          </w:p>
        </w:tc>
        <w:tc>
          <w:tcPr>
            <w:tcW w:w="1085" w:type="dxa"/>
            <w:tcBorders>
              <w:top w:val="single" w:sz="4" w:space="0" w:color="auto"/>
              <w:left w:val="single" w:sz="4" w:space="0" w:color="auto"/>
              <w:bottom w:val="single" w:sz="4" w:space="0" w:color="auto"/>
              <w:right w:val="single" w:sz="4" w:space="0" w:color="auto"/>
            </w:tcBorders>
            <w:shd w:val="clear" w:color="000000" w:fill="FED680"/>
            <w:noWrap/>
            <w:vAlign w:val="bottom"/>
            <w:hideMark/>
          </w:tcPr>
          <w:p w14:paraId="21A679A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9.1%</w:t>
            </w:r>
          </w:p>
        </w:tc>
        <w:tc>
          <w:tcPr>
            <w:tcW w:w="1146"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0A96E96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7.8%</w:t>
            </w:r>
          </w:p>
        </w:tc>
      </w:tr>
      <w:tr w:rsidR="001B1A56" w:rsidRPr="00AE3CFB" w14:paraId="71786BC5"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2AD72B5E" w14:textId="0B8AD201"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lastRenderedPageBreak/>
              <w:t>Industry</w:t>
            </w:r>
            <w:r w:rsidR="0042592E">
              <w:rPr>
                <w:rStyle w:val="FootnoteReference"/>
                <w:rFonts w:cs="Arial"/>
                <w:color w:val="000000"/>
                <w:sz w:val="22"/>
                <w:szCs w:val="22"/>
                <w:lang w:eastAsia="en-GB"/>
              </w:rPr>
              <w:footnoteReference w:id="3"/>
            </w:r>
          </w:p>
        </w:tc>
        <w:tc>
          <w:tcPr>
            <w:tcW w:w="864" w:type="dxa"/>
            <w:tcBorders>
              <w:top w:val="single" w:sz="4" w:space="0" w:color="auto"/>
              <w:left w:val="single" w:sz="12" w:space="0" w:color="auto"/>
              <w:bottom w:val="single" w:sz="4" w:space="0" w:color="auto"/>
              <w:right w:val="single" w:sz="4" w:space="0" w:color="auto"/>
            </w:tcBorders>
            <w:shd w:val="clear" w:color="000000" w:fill="C1D980"/>
            <w:noWrap/>
            <w:vAlign w:val="bottom"/>
            <w:hideMark/>
          </w:tcPr>
          <w:p w14:paraId="1BA781B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864" w:type="dxa"/>
            <w:tcBorders>
              <w:top w:val="single" w:sz="4" w:space="0" w:color="auto"/>
              <w:left w:val="single" w:sz="4" w:space="0" w:color="auto"/>
              <w:bottom w:val="single" w:sz="4" w:space="0" w:color="auto"/>
              <w:right w:val="single" w:sz="4" w:space="0" w:color="auto"/>
            </w:tcBorders>
            <w:shd w:val="clear" w:color="000000" w:fill="D0DD81"/>
            <w:noWrap/>
            <w:vAlign w:val="bottom"/>
            <w:hideMark/>
          </w:tcPr>
          <w:p w14:paraId="0428887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864" w:type="dxa"/>
            <w:tcBorders>
              <w:top w:val="single" w:sz="4" w:space="0" w:color="auto"/>
              <w:left w:val="single" w:sz="4" w:space="0" w:color="auto"/>
              <w:bottom w:val="single" w:sz="4" w:space="0" w:color="auto"/>
              <w:right w:val="single" w:sz="4" w:space="0" w:color="auto"/>
            </w:tcBorders>
            <w:shd w:val="clear" w:color="000000" w:fill="CFDD81"/>
            <w:noWrap/>
            <w:vAlign w:val="bottom"/>
            <w:hideMark/>
          </w:tcPr>
          <w:p w14:paraId="220863E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864"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36EC3AA7"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4.8%</w:t>
            </w:r>
          </w:p>
        </w:tc>
        <w:tc>
          <w:tcPr>
            <w:tcW w:w="1109"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1F92EDF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5.2%</w:t>
            </w:r>
          </w:p>
        </w:tc>
        <w:tc>
          <w:tcPr>
            <w:tcW w:w="1085"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62BEDEC9"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4.4%</w:t>
            </w:r>
          </w:p>
        </w:tc>
        <w:tc>
          <w:tcPr>
            <w:tcW w:w="1146" w:type="dxa"/>
            <w:tcBorders>
              <w:top w:val="single" w:sz="4" w:space="0" w:color="auto"/>
              <w:left w:val="single" w:sz="4" w:space="0" w:color="auto"/>
              <w:bottom w:val="single" w:sz="4" w:space="0" w:color="auto"/>
              <w:right w:val="single" w:sz="4" w:space="0" w:color="auto"/>
            </w:tcBorders>
            <w:shd w:val="clear" w:color="000000" w:fill="FED981"/>
            <w:noWrap/>
            <w:vAlign w:val="bottom"/>
            <w:hideMark/>
          </w:tcPr>
          <w:p w14:paraId="4F75B39D"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8.4%</w:t>
            </w:r>
          </w:p>
        </w:tc>
      </w:tr>
      <w:tr w:rsidR="001B1A56" w:rsidRPr="00AE3CFB" w14:paraId="30FAEFB2"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33CB4753"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Domestic</w:t>
            </w:r>
          </w:p>
        </w:tc>
        <w:tc>
          <w:tcPr>
            <w:tcW w:w="864" w:type="dxa"/>
            <w:tcBorders>
              <w:top w:val="single" w:sz="4" w:space="0" w:color="auto"/>
              <w:left w:val="single" w:sz="12" w:space="0" w:color="auto"/>
              <w:bottom w:val="single" w:sz="4" w:space="0" w:color="auto"/>
              <w:right w:val="single" w:sz="4" w:space="0" w:color="auto"/>
            </w:tcBorders>
            <w:shd w:val="clear" w:color="000000" w:fill="FFE383"/>
            <w:noWrap/>
            <w:vAlign w:val="bottom"/>
            <w:hideMark/>
          </w:tcPr>
          <w:p w14:paraId="187BFE37"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6.0%</w:t>
            </w:r>
          </w:p>
        </w:tc>
        <w:tc>
          <w:tcPr>
            <w:tcW w:w="864"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67D44D4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c>
          <w:tcPr>
            <w:tcW w:w="864" w:type="dxa"/>
            <w:tcBorders>
              <w:top w:val="single" w:sz="4" w:space="0" w:color="auto"/>
              <w:left w:val="single" w:sz="4" w:space="0" w:color="auto"/>
              <w:bottom w:val="single" w:sz="4" w:space="0" w:color="auto"/>
              <w:right w:val="single" w:sz="4" w:space="0" w:color="auto"/>
            </w:tcBorders>
            <w:shd w:val="clear" w:color="000000" w:fill="FFD981"/>
            <w:noWrap/>
            <w:vAlign w:val="bottom"/>
            <w:hideMark/>
          </w:tcPr>
          <w:p w14:paraId="56A4CF8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8.3%</w:t>
            </w:r>
          </w:p>
        </w:tc>
        <w:tc>
          <w:tcPr>
            <w:tcW w:w="864" w:type="dxa"/>
            <w:tcBorders>
              <w:top w:val="single" w:sz="4" w:space="0" w:color="auto"/>
              <w:left w:val="single" w:sz="4" w:space="0" w:color="auto"/>
              <w:bottom w:val="single" w:sz="4" w:space="0" w:color="auto"/>
              <w:right w:val="single" w:sz="4" w:space="0" w:color="auto"/>
            </w:tcBorders>
            <w:shd w:val="clear" w:color="000000" w:fill="FED680"/>
            <w:noWrap/>
            <w:vAlign w:val="bottom"/>
            <w:hideMark/>
          </w:tcPr>
          <w:p w14:paraId="0BBAD6E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9.0%</w:t>
            </w:r>
          </w:p>
        </w:tc>
        <w:tc>
          <w:tcPr>
            <w:tcW w:w="1109"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19D3E3E5"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6.2%</w:t>
            </w:r>
          </w:p>
        </w:tc>
        <w:tc>
          <w:tcPr>
            <w:tcW w:w="1085" w:type="dxa"/>
            <w:tcBorders>
              <w:top w:val="single" w:sz="4" w:space="0" w:color="auto"/>
              <w:left w:val="single" w:sz="4" w:space="0" w:color="auto"/>
              <w:bottom w:val="single" w:sz="4" w:space="0" w:color="auto"/>
              <w:right w:val="single" w:sz="4" w:space="0" w:color="auto"/>
            </w:tcBorders>
            <w:shd w:val="clear" w:color="000000" w:fill="FECE7F"/>
            <w:noWrap/>
            <w:vAlign w:val="bottom"/>
            <w:hideMark/>
          </w:tcPr>
          <w:p w14:paraId="70DA789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10.8%</w:t>
            </w:r>
          </w:p>
        </w:tc>
        <w:tc>
          <w:tcPr>
            <w:tcW w:w="1146" w:type="dxa"/>
            <w:tcBorders>
              <w:top w:val="single" w:sz="4" w:space="0" w:color="auto"/>
              <w:left w:val="single" w:sz="4" w:space="0" w:color="auto"/>
              <w:bottom w:val="single" w:sz="4" w:space="0" w:color="auto"/>
              <w:right w:val="single" w:sz="4" w:space="0" w:color="auto"/>
            </w:tcBorders>
            <w:shd w:val="clear" w:color="000000" w:fill="FED580"/>
            <w:noWrap/>
            <w:vAlign w:val="bottom"/>
            <w:hideMark/>
          </w:tcPr>
          <w:p w14:paraId="08514619"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9.3%</w:t>
            </w:r>
          </w:p>
        </w:tc>
      </w:tr>
      <w:tr w:rsidR="001B1A56" w:rsidRPr="00AE3CFB" w14:paraId="41C73A88"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25CA4580"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Aircraft</w:t>
            </w:r>
          </w:p>
        </w:tc>
        <w:tc>
          <w:tcPr>
            <w:tcW w:w="864" w:type="dxa"/>
            <w:tcBorders>
              <w:top w:val="single" w:sz="4" w:space="0" w:color="auto"/>
              <w:left w:val="single" w:sz="12" w:space="0" w:color="auto"/>
              <w:bottom w:val="single" w:sz="4" w:space="0" w:color="auto"/>
              <w:right w:val="single" w:sz="4" w:space="0" w:color="auto"/>
            </w:tcBorders>
            <w:shd w:val="clear" w:color="000000" w:fill="A4D07E"/>
            <w:noWrap/>
            <w:vAlign w:val="bottom"/>
            <w:hideMark/>
          </w:tcPr>
          <w:p w14:paraId="5BD8FE1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1.8%</w:t>
            </w:r>
          </w:p>
        </w:tc>
        <w:tc>
          <w:tcPr>
            <w:tcW w:w="864" w:type="dxa"/>
            <w:tcBorders>
              <w:top w:val="single" w:sz="4" w:space="0" w:color="auto"/>
              <w:left w:val="single" w:sz="4" w:space="0" w:color="auto"/>
              <w:bottom w:val="single" w:sz="4" w:space="0" w:color="auto"/>
              <w:right w:val="single" w:sz="4" w:space="0" w:color="auto"/>
            </w:tcBorders>
            <w:shd w:val="clear" w:color="000000" w:fill="FFE383"/>
            <w:noWrap/>
            <w:vAlign w:val="bottom"/>
            <w:hideMark/>
          </w:tcPr>
          <w:p w14:paraId="2E979F5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6.0%</w:t>
            </w:r>
          </w:p>
        </w:tc>
        <w:tc>
          <w:tcPr>
            <w:tcW w:w="864" w:type="dxa"/>
            <w:tcBorders>
              <w:top w:val="single" w:sz="4" w:space="0" w:color="auto"/>
              <w:left w:val="single" w:sz="4" w:space="0" w:color="auto"/>
              <w:bottom w:val="single" w:sz="4" w:space="0" w:color="auto"/>
              <w:right w:val="single" w:sz="4" w:space="0" w:color="auto"/>
            </w:tcBorders>
            <w:shd w:val="clear" w:color="000000" w:fill="94CC7D"/>
            <w:noWrap/>
            <w:vAlign w:val="bottom"/>
            <w:hideMark/>
          </w:tcPr>
          <w:p w14:paraId="09C91CF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1.4%</w:t>
            </w:r>
          </w:p>
        </w:tc>
        <w:tc>
          <w:tcPr>
            <w:tcW w:w="864" w:type="dxa"/>
            <w:tcBorders>
              <w:top w:val="single" w:sz="4" w:space="0" w:color="auto"/>
              <w:left w:val="single" w:sz="4" w:space="0" w:color="auto"/>
              <w:bottom w:val="single" w:sz="4" w:space="0" w:color="auto"/>
              <w:right w:val="single" w:sz="4" w:space="0" w:color="auto"/>
            </w:tcBorders>
            <w:shd w:val="clear" w:color="000000" w:fill="AAD27F"/>
            <w:noWrap/>
            <w:vAlign w:val="bottom"/>
            <w:hideMark/>
          </w:tcPr>
          <w:p w14:paraId="0369A87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1109" w:type="dxa"/>
            <w:tcBorders>
              <w:top w:val="single" w:sz="4" w:space="0" w:color="auto"/>
              <w:left w:val="single" w:sz="4" w:space="0" w:color="auto"/>
              <w:bottom w:val="single" w:sz="4" w:space="0" w:color="auto"/>
              <w:right w:val="single" w:sz="4" w:space="0" w:color="auto"/>
            </w:tcBorders>
            <w:shd w:val="clear" w:color="000000" w:fill="FCB37A"/>
            <w:noWrap/>
            <w:vAlign w:val="bottom"/>
            <w:hideMark/>
          </w:tcPr>
          <w:p w14:paraId="0771C56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17.1%</w:t>
            </w:r>
          </w:p>
        </w:tc>
        <w:tc>
          <w:tcPr>
            <w:tcW w:w="1085" w:type="dxa"/>
            <w:tcBorders>
              <w:top w:val="single" w:sz="4" w:space="0" w:color="auto"/>
              <w:left w:val="single" w:sz="4" w:space="0" w:color="auto"/>
              <w:bottom w:val="single" w:sz="4" w:space="0" w:color="auto"/>
              <w:right w:val="single" w:sz="4" w:space="0" w:color="auto"/>
            </w:tcBorders>
            <w:shd w:val="clear" w:color="000000" w:fill="ABD37F"/>
            <w:noWrap/>
            <w:vAlign w:val="bottom"/>
            <w:hideMark/>
          </w:tcPr>
          <w:p w14:paraId="32AF2C9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1146" w:type="dxa"/>
            <w:tcBorders>
              <w:top w:val="single" w:sz="4" w:space="0" w:color="auto"/>
              <w:left w:val="single" w:sz="4" w:space="0" w:color="auto"/>
              <w:bottom w:val="single" w:sz="4" w:space="0" w:color="auto"/>
              <w:right w:val="single" w:sz="4" w:space="0" w:color="auto"/>
            </w:tcBorders>
            <w:shd w:val="clear" w:color="000000" w:fill="E3E382"/>
            <w:noWrap/>
            <w:vAlign w:val="bottom"/>
            <w:hideMark/>
          </w:tcPr>
          <w:p w14:paraId="054EF986"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r>
      <w:tr w:rsidR="001B1A56" w:rsidRPr="00AE3CFB" w14:paraId="1861FC92"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31D5DBC"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Rail</w:t>
            </w:r>
          </w:p>
        </w:tc>
        <w:tc>
          <w:tcPr>
            <w:tcW w:w="864" w:type="dxa"/>
            <w:tcBorders>
              <w:top w:val="single" w:sz="4" w:space="0" w:color="auto"/>
              <w:left w:val="single" w:sz="12" w:space="0" w:color="auto"/>
              <w:bottom w:val="single" w:sz="4" w:space="0" w:color="auto"/>
              <w:right w:val="single" w:sz="4" w:space="0" w:color="auto"/>
            </w:tcBorders>
            <w:shd w:val="clear" w:color="000000" w:fill="CEDC81"/>
            <w:noWrap/>
            <w:vAlign w:val="bottom"/>
            <w:hideMark/>
          </w:tcPr>
          <w:p w14:paraId="68A19F1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864" w:type="dxa"/>
            <w:tcBorders>
              <w:top w:val="single" w:sz="4" w:space="0" w:color="auto"/>
              <w:left w:val="single" w:sz="4" w:space="0" w:color="auto"/>
              <w:bottom w:val="single" w:sz="4" w:space="0" w:color="auto"/>
              <w:right w:val="single" w:sz="4" w:space="0" w:color="auto"/>
            </w:tcBorders>
            <w:shd w:val="clear" w:color="000000" w:fill="BED880"/>
            <w:noWrap/>
            <w:vAlign w:val="bottom"/>
            <w:hideMark/>
          </w:tcPr>
          <w:p w14:paraId="1B61B64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864" w:type="dxa"/>
            <w:tcBorders>
              <w:top w:val="single" w:sz="4" w:space="0" w:color="auto"/>
              <w:left w:val="single" w:sz="4" w:space="0" w:color="auto"/>
              <w:bottom w:val="single" w:sz="4" w:space="0" w:color="auto"/>
              <w:right w:val="single" w:sz="4" w:space="0" w:color="auto"/>
            </w:tcBorders>
            <w:shd w:val="clear" w:color="000000" w:fill="FED480"/>
            <w:noWrap/>
            <w:vAlign w:val="bottom"/>
            <w:hideMark/>
          </w:tcPr>
          <w:p w14:paraId="0E9AE27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9.5%</w:t>
            </w:r>
          </w:p>
        </w:tc>
        <w:tc>
          <w:tcPr>
            <w:tcW w:w="864" w:type="dxa"/>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66EDCD4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6.5%</w:t>
            </w:r>
          </w:p>
        </w:tc>
        <w:tc>
          <w:tcPr>
            <w:tcW w:w="1109" w:type="dxa"/>
            <w:tcBorders>
              <w:top w:val="single" w:sz="4" w:space="0" w:color="auto"/>
              <w:left w:val="single" w:sz="4" w:space="0" w:color="auto"/>
              <w:bottom w:val="single" w:sz="4" w:space="0" w:color="auto"/>
              <w:right w:val="single" w:sz="4" w:space="0" w:color="auto"/>
            </w:tcBorders>
            <w:shd w:val="clear" w:color="000000" w:fill="99CD7E"/>
            <w:noWrap/>
            <w:vAlign w:val="bottom"/>
            <w:hideMark/>
          </w:tcPr>
          <w:p w14:paraId="4BEA3BB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1.5%</w:t>
            </w:r>
          </w:p>
        </w:tc>
        <w:tc>
          <w:tcPr>
            <w:tcW w:w="1085"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7402E56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4.4%</w:t>
            </w:r>
          </w:p>
        </w:tc>
        <w:tc>
          <w:tcPr>
            <w:tcW w:w="1146"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2E268FA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7.8%</w:t>
            </w:r>
          </w:p>
        </w:tc>
      </w:tr>
      <w:tr w:rsidR="001B1A56" w:rsidRPr="00AE3CFB" w14:paraId="6DFE0C28"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02232D08"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Other</w:t>
            </w:r>
          </w:p>
        </w:tc>
        <w:tc>
          <w:tcPr>
            <w:tcW w:w="864" w:type="dxa"/>
            <w:tcBorders>
              <w:top w:val="single" w:sz="4" w:space="0" w:color="auto"/>
              <w:left w:val="single" w:sz="12" w:space="0" w:color="auto"/>
              <w:bottom w:val="single" w:sz="4" w:space="0" w:color="auto"/>
              <w:right w:val="single" w:sz="4" w:space="0" w:color="auto"/>
            </w:tcBorders>
            <w:shd w:val="clear" w:color="000000" w:fill="FFEB84"/>
            <w:noWrap/>
            <w:vAlign w:val="bottom"/>
            <w:hideMark/>
          </w:tcPr>
          <w:p w14:paraId="1A83440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4.0%</w:t>
            </w:r>
          </w:p>
        </w:tc>
        <w:tc>
          <w:tcPr>
            <w:tcW w:w="86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38D59C42"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864"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75D8670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5.2%</w:t>
            </w:r>
          </w:p>
        </w:tc>
        <w:tc>
          <w:tcPr>
            <w:tcW w:w="864"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09F5ED63"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1109" w:type="dxa"/>
            <w:tcBorders>
              <w:top w:val="single" w:sz="4" w:space="0" w:color="auto"/>
              <w:left w:val="single" w:sz="4" w:space="0" w:color="auto"/>
              <w:bottom w:val="single" w:sz="4" w:space="0" w:color="auto"/>
              <w:right w:val="single" w:sz="4" w:space="0" w:color="auto"/>
            </w:tcBorders>
            <w:shd w:val="clear" w:color="000000" w:fill="FED17F"/>
            <w:noWrap/>
            <w:vAlign w:val="bottom"/>
            <w:hideMark/>
          </w:tcPr>
          <w:p w14:paraId="3AA0A11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10.3%</w:t>
            </w:r>
          </w:p>
        </w:tc>
        <w:tc>
          <w:tcPr>
            <w:tcW w:w="1085"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3F50DD0D"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5.8%</w:t>
            </w:r>
          </w:p>
        </w:tc>
        <w:tc>
          <w:tcPr>
            <w:tcW w:w="1146"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1C3D129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r>
      <w:tr w:rsidR="001B1A56" w:rsidRPr="00AE3CFB" w14:paraId="55B29793"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46253F4F"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Point Sources</w:t>
            </w:r>
          </w:p>
        </w:tc>
        <w:tc>
          <w:tcPr>
            <w:tcW w:w="864" w:type="dxa"/>
            <w:tcBorders>
              <w:top w:val="single" w:sz="4" w:space="0" w:color="auto"/>
              <w:left w:val="single" w:sz="12" w:space="0" w:color="auto"/>
              <w:bottom w:val="single" w:sz="4" w:space="0" w:color="auto"/>
              <w:right w:val="single" w:sz="4" w:space="0" w:color="auto"/>
            </w:tcBorders>
            <w:shd w:val="clear" w:color="000000" w:fill="AAD27F"/>
            <w:noWrap/>
            <w:vAlign w:val="bottom"/>
            <w:hideMark/>
          </w:tcPr>
          <w:p w14:paraId="1DFA9F61"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864" w:type="dxa"/>
            <w:tcBorders>
              <w:top w:val="single" w:sz="4" w:space="0" w:color="auto"/>
              <w:left w:val="single" w:sz="4" w:space="0" w:color="auto"/>
              <w:bottom w:val="single" w:sz="4" w:space="0" w:color="auto"/>
              <w:right w:val="single" w:sz="4" w:space="0" w:color="auto"/>
            </w:tcBorders>
            <w:shd w:val="clear" w:color="000000" w:fill="FFDC81"/>
            <w:noWrap/>
            <w:vAlign w:val="bottom"/>
            <w:hideMark/>
          </w:tcPr>
          <w:p w14:paraId="32C1125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7.7%</w:t>
            </w:r>
          </w:p>
        </w:tc>
        <w:tc>
          <w:tcPr>
            <w:tcW w:w="864" w:type="dxa"/>
            <w:tcBorders>
              <w:top w:val="single" w:sz="4" w:space="0" w:color="auto"/>
              <w:left w:val="single" w:sz="4" w:space="0" w:color="auto"/>
              <w:bottom w:val="single" w:sz="4" w:space="0" w:color="auto"/>
              <w:right w:val="single" w:sz="4" w:space="0" w:color="auto"/>
            </w:tcBorders>
            <w:shd w:val="clear" w:color="000000" w:fill="ABD27F"/>
            <w:noWrap/>
            <w:vAlign w:val="bottom"/>
            <w:hideMark/>
          </w:tcPr>
          <w:p w14:paraId="33EAA0F4"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864" w:type="dxa"/>
            <w:tcBorders>
              <w:top w:val="single" w:sz="4" w:space="0" w:color="auto"/>
              <w:left w:val="single" w:sz="4" w:space="0" w:color="auto"/>
              <w:bottom w:val="single" w:sz="4" w:space="0" w:color="auto"/>
              <w:right w:val="single" w:sz="4" w:space="0" w:color="auto"/>
            </w:tcBorders>
            <w:shd w:val="clear" w:color="000000" w:fill="BDD880"/>
            <w:noWrap/>
            <w:vAlign w:val="bottom"/>
            <w:hideMark/>
          </w:tcPr>
          <w:p w14:paraId="4B2D6D55"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1109"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28C834AA"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7.9%</w:t>
            </w:r>
          </w:p>
        </w:tc>
        <w:tc>
          <w:tcPr>
            <w:tcW w:w="1085" w:type="dxa"/>
            <w:tcBorders>
              <w:top w:val="single" w:sz="4" w:space="0" w:color="auto"/>
              <w:left w:val="single" w:sz="4" w:space="0" w:color="auto"/>
              <w:bottom w:val="single" w:sz="4" w:space="0" w:color="auto"/>
              <w:right w:val="single" w:sz="4" w:space="0" w:color="auto"/>
            </w:tcBorders>
            <w:shd w:val="clear" w:color="000000" w:fill="B5D57F"/>
            <w:noWrap/>
            <w:vAlign w:val="bottom"/>
            <w:hideMark/>
          </w:tcPr>
          <w:p w14:paraId="23992EFB"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c>
          <w:tcPr>
            <w:tcW w:w="1146" w:type="dxa"/>
            <w:tcBorders>
              <w:top w:val="single" w:sz="4" w:space="0" w:color="auto"/>
              <w:left w:val="single" w:sz="4" w:space="0" w:color="auto"/>
              <w:bottom w:val="single" w:sz="4" w:space="0" w:color="auto"/>
              <w:right w:val="single" w:sz="4" w:space="0" w:color="auto"/>
            </w:tcBorders>
            <w:shd w:val="clear" w:color="000000" w:fill="D1DD81"/>
            <w:noWrap/>
            <w:vAlign w:val="bottom"/>
            <w:hideMark/>
          </w:tcPr>
          <w:p w14:paraId="46AC292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2.9%</w:t>
            </w:r>
          </w:p>
        </w:tc>
      </w:tr>
      <w:tr w:rsidR="001B1A56" w:rsidRPr="00AE3CFB" w14:paraId="262A5A20" w14:textId="77777777" w:rsidTr="007B10BD">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3F6DD245" w14:textId="77777777" w:rsidR="001B1A56" w:rsidRPr="00AE3CFB" w:rsidRDefault="001B1A56" w:rsidP="007B10BD">
            <w:pPr>
              <w:spacing w:before="0" w:after="0" w:line="240" w:lineRule="auto"/>
              <w:rPr>
                <w:rFonts w:cs="Arial"/>
                <w:color w:val="000000"/>
                <w:sz w:val="22"/>
                <w:szCs w:val="22"/>
                <w:lang w:eastAsia="en-GB"/>
              </w:rPr>
            </w:pPr>
            <w:r w:rsidRPr="00AE3CFB">
              <w:rPr>
                <w:rFonts w:cs="Arial"/>
                <w:color w:val="000000"/>
                <w:sz w:val="22"/>
                <w:szCs w:val="22"/>
                <w:lang w:eastAsia="en-GB"/>
              </w:rPr>
              <w:t>Rural</w:t>
            </w:r>
          </w:p>
        </w:tc>
        <w:tc>
          <w:tcPr>
            <w:tcW w:w="864" w:type="dxa"/>
            <w:tcBorders>
              <w:top w:val="single" w:sz="4" w:space="0" w:color="auto"/>
              <w:left w:val="single" w:sz="12" w:space="0" w:color="auto"/>
              <w:bottom w:val="single" w:sz="4" w:space="0" w:color="auto"/>
              <w:right w:val="single" w:sz="4" w:space="0" w:color="auto"/>
            </w:tcBorders>
            <w:shd w:val="clear" w:color="000000" w:fill="FDBD7C"/>
            <w:noWrap/>
            <w:vAlign w:val="bottom"/>
            <w:hideMark/>
          </w:tcPr>
          <w:p w14:paraId="7328822C"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14.8%</w:t>
            </w:r>
          </w:p>
        </w:tc>
        <w:tc>
          <w:tcPr>
            <w:tcW w:w="864" w:type="dxa"/>
            <w:tcBorders>
              <w:top w:val="single" w:sz="4" w:space="0" w:color="auto"/>
              <w:left w:val="single" w:sz="4" w:space="0" w:color="auto"/>
              <w:bottom w:val="single" w:sz="4" w:space="0" w:color="auto"/>
              <w:right w:val="single" w:sz="4" w:space="0" w:color="auto"/>
            </w:tcBorders>
            <w:shd w:val="clear" w:color="000000" w:fill="FCAC78"/>
            <w:noWrap/>
            <w:vAlign w:val="bottom"/>
            <w:hideMark/>
          </w:tcPr>
          <w:p w14:paraId="7416BB6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18.9%</w:t>
            </w:r>
          </w:p>
        </w:tc>
        <w:tc>
          <w:tcPr>
            <w:tcW w:w="864" w:type="dxa"/>
            <w:tcBorders>
              <w:top w:val="single" w:sz="4" w:space="0" w:color="auto"/>
              <w:left w:val="single" w:sz="4" w:space="0" w:color="auto"/>
              <w:bottom w:val="single" w:sz="4" w:space="0" w:color="auto"/>
              <w:right w:val="single" w:sz="4" w:space="0" w:color="auto"/>
            </w:tcBorders>
            <w:shd w:val="clear" w:color="000000" w:fill="FDB67A"/>
            <w:noWrap/>
            <w:vAlign w:val="bottom"/>
            <w:hideMark/>
          </w:tcPr>
          <w:p w14:paraId="27207480"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16.5%</w:t>
            </w:r>
          </w:p>
        </w:tc>
        <w:tc>
          <w:tcPr>
            <w:tcW w:w="864" w:type="dxa"/>
            <w:tcBorders>
              <w:top w:val="single" w:sz="4" w:space="0" w:color="auto"/>
              <w:left w:val="single" w:sz="4" w:space="0" w:color="auto"/>
              <w:bottom w:val="single" w:sz="4" w:space="0" w:color="auto"/>
              <w:right w:val="single" w:sz="4" w:space="0" w:color="auto"/>
            </w:tcBorders>
            <w:shd w:val="clear" w:color="000000" w:fill="FCB37A"/>
            <w:noWrap/>
            <w:vAlign w:val="bottom"/>
            <w:hideMark/>
          </w:tcPr>
          <w:p w14:paraId="232225B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17.3%</w:t>
            </w:r>
          </w:p>
        </w:tc>
        <w:tc>
          <w:tcPr>
            <w:tcW w:w="1109" w:type="dxa"/>
            <w:tcBorders>
              <w:top w:val="single" w:sz="4" w:space="0" w:color="auto"/>
              <w:left w:val="single" w:sz="4" w:space="0" w:color="auto"/>
              <w:bottom w:val="single" w:sz="4" w:space="0" w:color="auto"/>
              <w:right w:val="single" w:sz="4" w:space="0" w:color="auto"/>
            </w:tcBorders>
            <w:shd w:val="clear" w:color="000000" w:fill="FB9E76"/>
            <w:noWrap/>
            <w:vAlign w:val="bottom"/>
            <w:hideMark/>
          </w:tcPr>
          <w:p w14:paraId="700EE2A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22.1%</w:t>
            </w:r>
          </w:p>
        </w:tc>
        <w:tc>
          <w:tcPr>
            <w:tcW w:w="1085" w:type="dxa"/>
            <w:tcBorders>
              <w:top w:val="single" w:sz="4" w:space="0" w:color="auto"/>
              <w:left w:val="single" w:sz="4" w:space="0" w:color="auto"/>
              <w:bottom w:val="single" w:sz="4" w:space="0" w:color="auto"/>
              <w:right w:val="single" w:sz="4" w:space="0" w:color="auto"/>
            </w:tcBorders>
            <w:shd w:val="clear" w:color="000000" w:fill="FCA377"/>
            <w:noWrap/>
            <w:vAlign w:val="bottom"/>
            <w:hideMark/>
          </w:tcPr>
          <w:p w14:paraId="061A31CF"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21.0%</w:t>
            </w:r>
          </w:p>
        </w:tc>
        <w:tc>
          <w:tcPr>
            <w:tcW w:w="1146" w:type="dxa"/>
            <w:tcBorders>
              <w:top w:val="single" w:sz="4" w:space="0" w:color="auto"/>
              <w:left w:val="single" w:sz="4" w:space="0" w:color="auto"/>
              <w:bottom w:val="single" w:sz="4" w:space="0" w:color="auto"/>
              <w:right w:val="single" w:sz="4" w:space="0" w:color="auto"/>
            </w:tcBorders>
            <w:shd w:val="clear" w:color="000000" w:fill="FCA577"/>
            <w:noWrap/>
            <w:vAlign w:val="bottom"/>
            <w:hideMark/>
          </w:tcPr>
          <w:p w14:paraId="35F57F88" w14:textId="77777777" w:rsidR="001B1A56" w:rsidRPr="00AE3CFB" w:rsidRDefault="001B1A56" w:rsidP="007B10BD">
            <w:pPr>
              <w:spacing w:before="0" w:after="0" w:line="240" w:lineRule="auto"/>
              <w:jc w:val="right"/>
              <w:rPr>
                <w:rFonts w:cs="Arial"/>
                <w:color w:val="000000"/>
                <w:sz w:val="22"/>
                <w:szCs w:val="22"/>
                <w:lang w:eastAsia="en-GB"/>
              </w:rPr>
            </w:pPr>
            <w:r w:rsidRPr="00AE3CFB">
              <w:rPr>
                <w:rFonts w:cs="Arial"/>
                <w:color w:val="000000"/>
                <w:sz w:val="22"/>
                <w:szCs w:val="22"/>
                <w:lang w:eastAsia="en-GB"/>
              </w:rPr>
              <w:t>20.4%</w:t>
            </w:r>
          </w:p>
        </w:tc>
      </w:tr>
    </w:tbl>
    <w:p w14:paraId="0E0140DF" w14:textId="7A2F16BA" w:rsidR="005234D8" w:rsidRDefault="005234D8" w:rsidP="005234D8">
      <w:pPr>
        <w:spacing w:before="0" w:after="0"/>
      </w:pPr>
    </w:p>
    <w:p w14:paraId="41D04FAC" w14:textId="2F066B0A" w:rsidR="001B1A56" w:rsidRDefault="001B1A56" w:rsidP="005234D8">
      <w:r w:rsidRPr="0010168D">
        <w:t>From 2022 monitoring data, it was identified that one location in Slough (SLO 29, AQMA 4) exceeded the national NO</w:t>
      </w:r>
      <w:r w:rsidRPr="0010168D">
        <w:rPr>
          <w:vertAlign w:val="subscript"/>
        </w:rPr>
        <w:t>2</w:t>
      </w:r>
      <w:r w:rsidRPr="0010168D">
        <w:t xml:space="preserve"> objective of 40 µg/m</w:t>
      </w:r>
      <w:r w:rsidRPr="0010168D">
        <w:rPr>
          <w:vertAlign w:val="superscript"/>
        </w:rPr>
        <w:t>3</w:t>
      </w:r>
      <w:r w:rsidRPr="0010168D">
        <w:t xml:space="preserve"> (44.2 µg/m</w:t>
      </w:r>
      <w:r w:rsidRPr="0010168D">
        <w:rPr>
          <w:vertAlign w:val="superscript"/>
        </w:rPr>
        <w:t>3</w:t>
      </w:r>
      <w:r w:rsidRPr="0010168D">
        <w:t xml:space="preserve">). The site is located at Yew Tree Road, where a large contribution </w:t>
      </w:r>
      <w:r>
        <w:t>to</w:t>
      </w:r>
      <w:r w:rsidRPr="0010168D">
        <w:t xml:space="preserve"> air pollution</w:t>
      </w:r>
      <w:r>
        <w:t xml:space="preserve"> is attributed to congestion leading up to the </w:t>
      </w:r>
      <w:r w:rsidR="005234D8">
        <w:t>junction on the A4 and A412</w:t>
      </w:r>
      <w:r>
        <w:t xml:space="preserve">. As such, the largest </w:t>
      </w:r>
      <w:r w:rsidRPr="0010168D">
        <w:t xml:space="preserve">contributor </w:t>
      </w:r>
      <w:r>
        <w:t>to</w:t>
      </w:r>
      <w:r w:rsidRPr="0010168D">
        <w:t xml:space="preserve"> NO</w:t>
      </w:r>
      <w:r>
        <w:t>x</w:t>
      </w:r>
      <w:r w:rsidRPr="0010168D">
        <w:t xml:space="preserve"> </w:t>
      </w:r>
      <w:r>
        <w:t>emissions at</w:t>
      </w:r>
      <w:r w:rsidRPr="0010168D">
        <w:t xml:space="preserve"> SLO 29 was diesel cars, </w:t>
      </w:r>
      <w:r>
        <w:t xml:space="preserve">responsible for </w:t>
      </w:r>
      <w:r w:rsidRPr="0010168D">
        <w:t xml:space="preserve">28.6% of </w:t>
      </w:r>
      <w:r>
        <w:t xml:space="preserve">total </w:t>
      </w:r>
      <w:r w:rsidRPr="0010168D">
        <w:t>emissions.</w:t>
      </w:r>
      <w:r>
        <w:t xml:space="preserve"> </w:t>
      </w:r>
    </w:p>
    <w:p w14:paraId="6F8D4F5A" w14:textId="400D0103" w:rsidR="001B1A56" w:rsidRDefault="001B1A56" w:rsidP="001B1A56">
      <w:r>
        <w:t>In order to achieve compliance with the national annual mean NO</w:t>
      </w:r>
      <w:r w:rsidRPr="00E24CDC">
        <w:rPr>
          <w:vertAlign w:val="subscript"/>
        </w:rPr>
        <w:t>2</w:t>
      </w:r>
      <w:r>
        <w:t xml:space="preserve"> objective (</w:t>
      </w:r>
      <w:r w:rsidRPr="0010168D">
        <w:t xml:space="preserve">40 </w:t>
      </w:r>
      <w:r>
        <w:t>µg/m</w:t>
      </w:r>
      <w:r w:rsidRPr="00B32308">
        <w:rPr>
          <w:vertAlign w:val="superscript"/>
        </w:rPr>
        <w:t>3</w:t>
      </w:r>
      <w:r>
        <w:t>) at Yew Tree Road, the required NOx reduction from road traffic is 4.2</w:t>
      </w:r>
      <w:r w:rsidR="00D705F2">
        <w:rPr>
          <w:rFonts w:cs="Arial"/>
          <w:color w:val="0B0C0C"/>
        </w:rPr>
        <w:t>µ</w:t>
      </w:r>
      <w:r>
        <w:t>g/m</w:t>
      </w:r>
      <w:r w:rsidRPr="007B7676">
        <w:rPr>
          <w:vertAlign w:val="superscript"/>
        </w:rPr>
        <w:t>3</w:t>
      </w:r>
      <w:r>
        <w:t xml:space="preserve"> (9.5%)</w:t>
      </w:r>
      <w:r w:rsidRPr="005A747B">
        <w:rPr>
          <w:rFonts w:cs="Arial"/>
          <w:bCs/>
          <w:lang w:eastAsia="en-GB"/>
        </w:rPr>
        <w:t xml:space="preserve"> in accordance with </w:t>
      </w:r>
      <w:r w:rsidRPr="00C1231C">
        <w:t>the LAQM Technical Guidance</w:t>
      </w:r>
      <w:r>
        <w:t xml:space="preserve"> </w:t>
      </w:r>
      <w:r w:rsidRPr="00C1231C">
        <w:t>(TG</w:t>
      </w:r>
      <w:r>
        <w:t>22</w:t>
      </w:r>
      <w:r w:rsidRPr="00C1231C">
        <w:t>)</w:t>
      </w:r>
      <w:r>
        <w:rPr>
          <w:rStyle w:val="FootnoteReference"/>
        </w:rPr>
        <w:footnoteReference w:id="4"/>
      </w:r>
      <w:r w:rsidRPr="00C1231C">
        <w:t>.</w:t>
      </w:r>
    </w:p>
    <w:p w14:paraId="1B2A0FAE" w14:textId="7700AD5D" w:rsidR="001B1A56" w:rsidRDefault="001B1A56" w:rsidP="001B1A56">
      <w:r>
        <w:t>In regards to PM</w:t>
      </w:r>
      <w:r w:rsidRPr="007D5CC7">
        <w:rPr>
          <w:vertAlign w:val="subscript"/>
        </w:rPr>
        <w:t>10</w:t>
      </w:r>
      <w:r>
        <w:t xml:space="preserve"> and PM</w:t>
      </w:r>
      <w:r w:rsidRPr="007D5CC7">
        <w:rPr>
          <w:vertAlign w:val="subscript"/>
        </w:rPr>
        <w:t>2.5</w:t>
      </w:r>
      <w:r>
        <w:t xml:space="preserve">, dispersion modelling from the baseline study (Appendix </w:t>
      </w:r>
      <w:r w:rsidR="00EB4D2B">
        <w:t>D</w:t>
      </w:r>
      <w:r>
        <w:t>) shows that both PM</w:t>
      </w:r>
      <w:r w:rsidRPr="000A637F">
        <w:rPr>
          <w:vertAlign w:val="subscript"/>
        </w:rPr>
        <w:t>10</w:t>
      </w:r>
      <w:r>
        <w:t xml:space="preserve"> and PM</w:t>
      </w:r>
      <w:r w:rsidRPr="000A637F">
        <w:rPr>
          <w:vertAlign w:val="subscript"/>
        </w:rPr>
        <w:t>2.5</w:t>
      </w:r>
      <w:r>
        <w:t xml:space="preserve"> concentrations across the borough were well below the national air quality objectives in 2022.</w:t>
      </w:r>
    </w:p>
    <w:p w14:paraId="27ED8302" w14:textId="7CF35D59" w:rsidR="001B1A56" w:rsidRDefault="001B1A56" w:rsidP="001B1A56">
      <w:r>
        <w:t>The highest modelled PM</w:t>
      </w:r>
      <w:r w:rsidRPr="000A637F">
        <w:rPr>
          <w:vertAlign w:val="subscript"/>
        </w:rPr>
        <w:t>10</w:t>
      </w:r>
      <w:r>
        <w:t xml:space="preserve"> concentration in 2022, using a global adjustment factor, was 19.58 µg/m</w:t>
      </w:r>
      <w:r w:rsidRPr="0010168D">
        <w:rPr>
          <w:vertAlign w:val="superscript"/>
        </w:rPr>
        <w:t>3</w:t>
      </w:r>
      <w:r>
        <w:t xml:space="preserve"> (SLO 93, SLO 94, SLO 95), and for PM</w:t>
      </w:r>
      <w:r w:rsidRPr="00800AE6">
        <w:rPr>
          <w:vertAlign w:val="subscript"/>
        </w:rPr>
        <w:t>2.5</w:t>
      </w:r>
      <w:r>
        <w:t xml:space="preserve"> the highest concentration was 12.21 µg/m</w:t>
      </w:r>
      <w:r w:rsidRPr="0010168D">
        <w:rPr>
          <w:vertAlign w:val="superscript"/>
        </w:rPr>
        <w:t>3</w:t>
      </w:r>
      <w:r>
        <w:t xml:space="preserve"> (SLO 52). As such, there are no required reductions in particulate matter emissions in order to comply with air quality objectives. </w:t>
      </w:r>
      <w:bookmarkStart w:id="8" w:name="_Hlk159880952"/>
      <w:r>
        <w:t xml:space="preserve">However, due to the severity of health impacts associated with particulate matter exposure, Slough Borough Council aims to reduce emissions of these pollutants for the benefit of </w:t>
      </w:r>
      <w:r>
        <w:lastRenderedPageBreak/>
        <w:t>improving the health of Slough’s residents</w:t>
      </w:r>
      <w:r w:rsidR="00B87DA1">
        <w:t>, in line with our Corporate Plan</w:t>
      </w:r>
      <w:r>
        <w:t>.</w:t>
      </w:r>
      <w:bookmarkEnd w:id="8"/>
      <w:r w:rsidR="00B87DA1">
        <w:t xml:space="preserve"> The three strategic priorities of the Corporate Plan are:</w:t>
      </w:r>
    </w:p>
    <w:p w14:paraId="132D775A" w14:textId="77777777" w:rsidR="00B87DA1" w:rsidRPr="00A90583" w:rsidRDefault="00B87DA1" w:rsidP="00B87DA1">
      <w:pPr>
        <w:pStyle w:val="ListParagraph"/>
        <w:numPr>
          <w:ilvl w:val="0"/>
          <w:numId w:val="38"/>
        </w:numPr>
        <w:spacing w:before="0" w:after="160" w:line="276" w:lineRule="auto"/>
        <w:contextualSpacing/>
      </w:pPr>
      <w:r w:rsidRPr="00A90583">
        <w:t xml:space="preserve">A borough for children and young people to thrive. </w:t>
      </w:r>
    </w:p>
    <w:p w14:paraId="52487403" w14:textId="77777777" w:rsidR="00B87DA1" w:rsidRPr="00A90583" w:rsidRDefault="00B87DA1" w:rsidP="00B87DA1">
      <w:pPr>
        <w:pStyle w:val="ListParagraph"/>
        <w:numPr>
          <w:ilvl w:val="0"/>
          <w:numId w:val="38"/>
        </w:numPr>
        <w:spacing w:before="0" w:after="160" w:line="276" w:lineRule="auto"/>
        <w:contextualSpacing/>
      </w:pPr>
      <w:r w:rsidRPr="00A90583">
        <w:t xml:space="preserve">A town where residents can live healthier, safer and more independent lives. </w:t>
      </w:r>
    </w:p>
    <w:p w14:paraId="40977965" w14:textId="77777777" w:rsidR="00B87DA1" w:rsidRDefault="00B87DA1" w:rsidP="00B87DA1">
      <w:pPr>
        <w:pStyle w:val="ListParagraph"/>
        <w:numPr>
          <w:ilvl w:val="0"/>
          <w:numId w:val="38"/>
        </w:numPr>
        <w:spacing w:before="0" w:after="0" w:line="276" w:lineRule="auto"/>
        <w:contextualSpacing/>
      </w:pPr>
      <w:r w:rsidRPr="00A90583">
        <w:t>A cleaner, healthier and more prosperous Slough</w:t>
      </w:r>
      <w:r>
        <w:t>.</w:t>
      </w:r>
    </w:p>
    <w:p w14:paraId="067E5928" w14:textId="77777777" w:rsidR="00B87DA1" w:rsidRDefault="00B87DA1" w:rsidP="00B87DA1">
      <w:pPr>
        <w:spacing w:before="0" w:after="0"/>
      </w:pPr>
    </w:p>
    <w:p w14:paraId="62A29B52" w14:textId="7CB313A3" w:rsidR="00B87DA1" w:rsidRDefault="00B87DA1" w:rsidP="00B87DA1">
      <w:pPr>
        <w:spacing w:before="0" w:after="0"/>
      </w:pPr>
      <w:r>
        <w:t xml:space="preserve">The AQAP will directly contribute towards the delivery of these priorities. </w:t>
      </w:r>
    </w:p>
    <w:p w14:paraId="4FEBD5F0" w14:textId="00157B3A" w:rsidR="001B1A56" w:rsidRPr="003F7866" w:rsidRDefault="001B1A56" w:rsidP="00FD11DA">
      <w:pPr>
        <w:pStyle w:val="Heading2"/>
        <w:numPr>
          <w:ilvl w:val="0"/>
          <w:numId w:val="0"/>
        </w:numPr>
        <w:ind w:left="570" w:hanging="567"/>
      </w:pPr>
      <w:bookmarkStart w:id="9" w:name="_Toc160129542"/>
      <w:r>
        <w:t xml:space="preserve">Air </w:t>
      </w:r>
      <w:r w:rsidR="00A1555E">
        <w:t>Q</w:t>
      </w:r>
      <w:r>
        <w:t xml:space="preserve">uality </w:t>
      </w:r>
      <w:r w:rsidR="00A1555E">
        <w:t>C</w:t>
      </w:r>
      <w:r>
        <w:t>hallenges</w:t>
      </w:r>
      <w:bookmarkEnd w:id="9"/>
    </w:p>
    <w:p w14:paraId="257B3447" w14:textId="77777777" w:rsidR="001B1A56" w:rsidRDefault="001B1A56" w:rsidP="001B1A56">
      <w:r w:rsidRPr="00E3664B">
        <w:t>Air pollution is associated with a number of adverse health impacts. It is recognised as a contributing factor in the onset of heart disease and cancer. Additionally, air pollution particularly affects the most vulnerable in society: children and older people, and those with heart and lung conditions. There is also often a strong correlation with equalities issues, because areas with poor air quality are also often the less affluent areas</w:t>
      </w:r>
      <w:r w:rsidRPr="00E3664B">
        <w:rPr>
          <w:vertAlign w:val="superscript"/>
        </w:rPr>
        <w:footnoteReference w:id="5"/>
      </w:r>
      <w:r w:rsidRPr="00E3664B">
        <w:rPr>
          <w:vertAlign w:val="superscript"/>
        </w:rPr>
        <w:t>,</w:t>
      </w:r>
      <w:r w:rsidRPr="00E3664B">
        <w:rPr>
          <w:vertAlign w:val="superscript"/>
        </w:rPr>
        <w:footnoteReference w:id="6"/>
      </w:r>
      <w:r w:rsidRPr="00E3664B">
        <w:t>.</w:t>
      </w:r>
      <w:r>
        <w:t xml:space="preserve"> </w:t>
      </w:r>
      <w:r w:rsidRPr="00E3664B">
        <w:t xml:space="preserve">The annual health cost to society of the impacts of </w:t>
      </w:r>
      <w:r>
        <w:t>particulate matter alone</w:t>
      </w:r>
      <w:r w:rsidRPr="00E3664B">
        <w:t xml:space="preserve"> in the UK is estimated to be </w:t>
      </w:r>
      <w:r>
        <w:t>around</w:t>
      </w:r>
      <w:r w:rsidRPr="00E3664B">
        <w:t xml:space="preserve"> £</w:t>
      </w:r>
      <w:r>
        <w:t>16</w:t>
      </w:r>
      <w:r w:rsidRPr="0098030E">
        <w:t xml:space="preserve"> billion</w:t>
      </w:r>
      <w:r w:rsidRPr="0098030E">
        <w:rPr>
          <w:vertAlign w:val="superscript"/>
        </w:rPr>
        <w:footnoteReference w:id="7"/>
      </w:r>
      <w:r w:rsidRPr="0098030E">
        <w:t xml:space="preserve">. </w:t>
      </w:r>
    </w:p>
    <w:p w14:paraId="02914457" w14:textId="77777777" w:rsidR="001B1A56" w:rsidRDefault="001B1A56" w:rsidP="001B1A56">
      <w:r>
        <w:t>Slough has a number of specific challenges which exacerbate and sustain air quality issues in the borough:</w:t>
      </w:r>
    </w:p>
    <w:p w14:paraId="19F76818" w14:textId="421755A0" w:rsidR="001B1A56" w:rsidRDefault="001B1A56" w:rsidP="0025036F">
      <w:pPr>
        <w:pStyle w:val="ListParagraph"/>
        <w:numPr>
          <w:ilvl w:val="0"/>
          <w:numId w:val="66"/>
        </w:numPr>
        <w:ind w:left="567" w:hanging="567"/>
      </w:pPr>
      <w:r w:rsidRPr="00DE397E">
        <w:t>Slough is the third most densely populated local authority in the South East (following Portsmouth and Southampton)</w:t>
      </w:r>
      <w:r>
        <w:t xml:space="preserve"> </w:t>
      </w:r>
      <w:r w:rsidRPr="00024724">
        <w:t>with 4,871 usual residents per square kilometre (48.7 per hectare compared to 45.8 in 2011, South East: 4.87, England: 4.34)</w:t>
      </w:r>
      <w:r w:rsidR="00F37296">
        <w:t xml:space="preserve">, therefore ten-fold higher than the South East average. </w:t>
      </w:r>
    </w:p>
    <w:p w14:paraId="436113D3" w14:textId="77777777" w:rsidR="001B1A56" w:rsidRDefault="001B1A56" w:rsidP="0025036F">
      <w:pPr>
        <w:pStyle w:val="ListParagraph"/>
        <w:numPr>
          <w:ilvl w:val="0"/>
          <w:numId w:val="66"/>
        </w:numPr>
        <w:ind w:left="567" w:hanging="567"/>
      </w:pPr>
      <w:r w:rsidRPr="00D85B84">
        <w:rPr>
          <w:rFonts w:cs="Arial"/>
        </w:rPr>
        <w:t xml:space="preserve">Slough has a high proportion of households with one or more vehicles relative to its population density (79.7%) when compared with other high density areas including Reading (71.6%), Portsmouth (69.7%) and Southampton (72.6%). Likewise Slough has a lower proportion of households without access to a car </w:t>
      </w:r>
      <w:r w:rsidRPr="00D85B84">
        <w:rPr>
          <w:rFonts w:cs="Arial"/>
        </w:rPr>
        <w:lastRenderedPageBreak/>
        <w:t>or van (20.3%), compared to Reading (28.4%), Portsmouth (30.3%) and Southampton (27.4%) (ONS, 2021).</w:t>
      </w:r>
    </w:p>
    <w:p w14:paraId="7E424B7B" w14:textId="1F2FD444" w:rsidR="001B1A56" w:rsidRDefault="001B1A56" w:rsidP="0025036F">
      <w:pPr>
        <w:pStyle w:val="ListParagraph"/>
        <w:numPr>
          <w:ilvl w:val="0"/>
          <w:numId w:val="66"/>
        </w:numPr>
        <w:ind w:left="567" w:hanging="567"/>
      </w:pPr>
      <w:r>
        <w:t>Residents support having a high quantity of private vehicles in Slough and public transport schemes have received little public support (Slough 2040 Vision engagement survey, 2020)</w:t>
      </w:r>
      <w:r w:rsidR="00F37296">
        <w:t xml:space="preserve">. The </w:t>
      </w:r>
      <w:r>
        <w:t>A4 cycle lane scheme consultation</w:t>
      </w:r>
      <w:r w:rsidR="00F37296">
        <w:t xml:space="preserve"> results indicate that 87% of respondents</w:t>
      </w:r>
      <w:r>
        <w:t xml:space="preserve"> use private vehicles to travel on the A4 compared to 14.7% by bus (A4 Cycle Scheme Consultation, 2023)</w:t>
      </w:r>
      <w:r w:rsidR="00F37296">
        <w:t>.</w:t>
      </w:r>
    </w:p>
    <w:p w14:paraId="5056B8FA" w14:textId="109E77B1" w:rsidR="001B1A56" w:rsidRPr="00D85B84" w:rsidRDefault="001B1A56" w:rsidP="0025036F">
      <w:pPr>
        <w:pStyle w:val="ListParagraph"/>
        <w:numPr>
          <w:ilvl w:val="0"/>
          <w:numId w:val="66"/>
        </w:numPr>
        <w:ind w:left="567" w:hanging="567"/>
      </w:pPr>
      <w:r>
        <w:rPr>
          <w:rFonts w:cs="Arial"/>
        </w:rPr>
        <w:t>Of residents who travel to work, the majority (71%) travel in a car or van, and often travel using this mode for short journeys under 10km (68%) (ONS, 2021)</w:t>
      </w:r>
      <w:r w:rsidR="00F37296">
        <w:rPr>
          <w:rFonts w:cs="Arial"/>
        </w:rPr>
        <w:t>.</w:t>
      </w:r>
    </w:p>
    <w:p w14:paraId="2A031C13" w14:textId="2A628616" w:rsidR="001B1A56" w:rsidRDefault="001B1A56" w:rsidP="0025036F">
      <w:pPr>
        <w:pStyle w:val="ListParagraph"/>
        <w:numPr>
          <w:ilvl w:val="0"/>
          <w:numId w:val="66"/>
        </w:numPr>
        <w:ind w:left="567" w:hanging="567"/>
      </w:pPr>
      <w:r w:rsidRPr="00D85B84">
        <w:rPr>
          <w:rFonts w:cs="Arial"/>
        </w:rPr>
        <w:t>For school travel from 2018/19 to 2022/23, car sharing was the second most popular usual mode choice until 2021/22, when this was overtaken by the single child car mode. Single child car mode remains the second most popular usual mode choice, peaking at 38% in 2022/23 (Hands Up Surveys, 2018-2023)</w:t>
      </w:r>
      <w:r w:rsidR="00F37296">
        <w:rPr>
          <w:rFonts w:cs="Arial"/>
        </w:rPr>
        <w:t>.</w:t>
      </w:r>
    </w:p>
    <w:p w14:paraId="5458C2CB" w14:textId="77777777" w:rsidR="001B1A56" w:rsidRDefault="001B1A56" w:rsidP="0025036F">
      <w:pPr>
        <w:pStyle w:val="ListParagraph"/>
        <w:numPr>
          <w:ilvl w:val="0"/>
          <w:numId w:val="66"/>
        </w:numPr>
        <w:ind w:left="567" w:hanging="567"/>
      </w:pPr>
      <w:r>
        <w:t xml:space="preserve">Slough falls within the top 25% of most deprived local authorities in England and a number of these areas of deprivation are located in poor air quality areas. </w:t>
      </w:r>
    </w:p>
    <w:p w14:paraId="6C35C0EE" w14:textId="77777777" w:rsidR="001B1A56" w:rsidRDefault="001B1A56" w:rsidP="0025036F">
      <w:pPr>
        <w:pStyle w:val="ListParagraph"/>
        <w:numPr>
          <w:ilvl w:val="0"/>
          <w:numId w:val="66"/>
        </w:numPr>
        <w:ind w:left="567" w:hanging="567"/>
      </w:pPr>
      <w:r>
        <w:t>The percentage of physically active adults in Slough is 51.6%, which is the lowest out of all England authorities (the next lowest after Slough is Blackburn with Darwen at 53.7%) and the average for the South (70.5%).</w:t>
      </w:r>
    </w:p>
    <w:p w14:paraId="65376CD6" w14:textId="23365A54" w:rsidR="001B1A56" w:rsidRDefault="001B1A56" w:rsidP="0025036F">
      <w:pPr>
        <w:pStyle w:val="ListParagraph"/>
        <w:numPr>
          <w:ilvl w:val="0"/>
          <w:numId w:val="66"/>
        </w:numPr>
        <w:ind w:left="567" w:hanging="567"/>
      </w:pPr>
      <w:r>
        <w:t>High inactivity results in further health issues in Slough, including high mortality rates attributed to cardiovascular diseases, with 108.9 deaths per 100,000 under 75 years old, a high prevalence of obesity in Year 6 children (over 28.4%), and adulthood, with 62% of adults in Slough overweight or obese in 2020/21 (approx. 71,112 people)</w:t>
      </w:r>
      <w:r w:rsidR="00F37296">
        <w:t>.</w:t>
      </w:r>
    </w:p>
    <w:p w14:paraId="1A5729AF" w14:textId="2FC265FB" w:rsidR="001B1A56" w:rsidRDefault="001B1A56" w:rsidP="0025036F">
      <w:pPr>
        <w:pStyle w:val="ListParagraph"/>
        <w:numPr>
          <w:ilvl w:val="0"/>
          <w:numId w:val="66"/>
        </w:numPr>
        <w:ind w:left="567" w:hanging="567"/>
      </w:pPr>
      <w:r>
        <w:t>The healthy life expectancy for a male and female are 58.1 and 60.3 years old, much lower than neighbouring boroughs and lower than the South East average (7.4yrs and 5.6yrs higher for males and females, respectively</w:t>
      </w:r>
      <w:r w:rsidR="00F37296">
        <w:t>)</w:t>
      </w:r>
      <w:r>
        <w:t>.</w:t>
      </w:r>
    </w:p>
    <w:p w14:paraId="1CE6CD2F" w14:textId="77777777" w:rsidR="001B1A56" w:rsidRDefault="001B1A56" w:rsidP="0025036F">
      <w:pPr>
        <w:pStyle w:val="ListParagraph"/>
        <w:numPr>
          <w:ilvl w:val="0"/>
          <w:numId w:val="66"/>
        </w:numPr>
        <w:ind w:left="567" w:hanging="567"/>
      </w:pPr>
      <w:r>
        <w:t xml:space="preserve">Slough’s location in proximity to London and Heathrow, in addition to direct links to the Strategic Road Network, results in high commuter traffic and favours travel via private vehicles. </w:t>
      </w:r>
    </w:p>
    <w:p w14:paraId="5D5A36CD" w14:textId="77777777" w:rsidR="001B1A56" w:rsidRDefault="001B1A56" w:rsidP="00FD11DA">
      <w:r>
        <w:t>However, despite these challenges, engagement with Slough’s residents has indicated that:</w:t>
      </w:r>
    </w:p>
    <w:p w14:paraId="68F52F30" w14:textId="77340C66" w:rsidR="001B1A56" w:rsidRPr="00F73289" w:rsidRDefault="001B1A56" w:rsidP="00CA4AAD">
      <w:pPr>
        <w:pStyle w:val="ListParagraph"/>
        <w:numPr>
          <w:ilvl w:val="0"/>
          <w:numId w:val="12"/>
        </w:numPr>
        <w:spacing w:before="0" w:after="0"/>
        <w:contextualSpacing/>
        <w:rPr>
          <w:rFonts w:cs="Arial"/>
        </w:rPr>
      </w:pPr>
      <w:r>
        <w:lastRenderedPageBreak/>
        <w:t xml:space="preserve">Improving </w:t>
      </w:r>
      <w:r>
        <w:rPr>
          <w:rFonts w:cs="Arial"/>
        </w:rPr>
        <w:t>children’s health is an important value for schools in Slough (school engagement survey, 2024) and children are motivated to travel sustainably (hands up surveys, 2018-2022)</w:t>
      </w:r>
      <w:r w:rsidR="00F37296">
        <w:rPr>
          <w:rFonts w:cs="Arial"/>
        </w:rPr>
        <w:t>.</w:t>
      </w:r>
    </w:p>
    <w:p w14:paraId="212020AD" w14:textId="4A8D073B" w:rsidR="001B1A56" w:rsidRPr="00F73289" w:rsidRDefault="001B1A56" w:rsidP="00CA4AAD">
      <w:pPr>
        <w:pStyle w:val="ListParagraph"/>
        <w:numPr>
          <w:ilvl w:val="0"/>
          <w:numId w:val="12"/>
        </w:numPr>
        <w:spacing w:before="0" w:after="0"/>
        <w:contextualSpacing/>
        <w:rPr>
          <w:rFonts w:cs="Arial"/>
        </w:rPr>
      </w:pPr>
      <w:r>
        <w:rPr>
          <w:rFonts w:cs="Arial"/>
        </w:rPr>
        <w:t>When asked about contributors to poor air quality, the majority of respondents (52%) voted that vehicle traffic contributes towards poor air quality, which suggests that Slough residents have a good understanding of the dominant pollutant sources in the borough</w:t>
      </w:r>
      <w:r w:rsidR="00F37296">
        <w:rPr>
          <w:rFonts w:cs="Arial"/>
        </w:rPr>
        <w:t xml:space="preserve"> (Thinks report, 2023)</w:t>
      </w:r>
      <w:r>
        <w:rPr>
          <w:rFonts w:cs="Arial"/>
        </w:rPr>
        <w:t xml:space="preserve">. </w:t>
      </w:r>
    </w:p>
    <w:p w14:paraId="68925753" w14:textId="00569FFA" w:rsidR="001B1A56" w:rsidRDefault="001B1A56" w:rsidP="00CA4AAD">
      <w:pPr>
        <w:pStyle w:val="ListParagraph"/>
        <w:numPr>
          <w:ilvl w:val="0"/>
          <w:numId w:val="12"/>
        </w:numPr>
      </w:pPr>
      <w:r>
        <w:t>Slough residents have concerns about their weight (67.3%) and activity levels (65.8%), with a willingness to get active (77.8%), suggesting that there is appetite for active travel related schemes and projects</w:t>
      </w:r>
      <w:r w:rsidR="00F37296">
        <w:t xml:space="preserve"> (Healthy behaviours survey, 2022)</w:t>
      </w:r>
      <w:r>
        <w:t xml:space="preserve">. </w:t>
      </w:r>
    </w:p>
    <w:p w14:paraId="512CFA1F" w14:textId="77777777" w:rsidR="001B1A56" w:rsidRPr="00F73289" w:rsidRDefault="001B1A56" w:rsidP="00CA4AAD">
      <w:pPr>
        <w:pStyle w:val="ListParagraph"/>
        <w:numPr>
          <w:ilvl w:val="0"/>
          <w:numId w:val="12"/>
        </w:numPr>
      </w:pPr>
      <w:r>
        <w:t>Residents</w:t>
      </w:r>
      <w:r>
        <w:rPr>
          <w:rFonts w:cs="Arial"/>
        </w:rPr>
        <w:t xml:space="preserve"> voted that cheaper sustainable travel (e.g discounted public transport), wider public transport links and better public transport infrastructure (70% in total) would encourage them to travel more sustainably (Thinks report, 2023).</w:t>
      </w:r>
    </w:p>
    <w:p w14:paraId="59373E43" w14:textId="6A89B2E2" w:rsidR="003861CA" w:rsidRPr="00AC7A3A" w:rsidRDefault="001B1A56" w:rsidP="003861CA">
      <w:pPr>
        <w:pStyle w:val="ListParagraph"/>
        <w:numPr>
          <w:ilvl w:val="0"/>
          <w:numId w:val="12"/>
        </w:numPr>
        <w:spacing w:before="0" w:after="0"/>
        <w:contextualSpacing/>
        <w:rPr>
          <w:rFonts w:cs="Arial"/>
        </w:rPr>
      </w:pPr>
      <w:r w:rsidRPr="00525A24">
        <w:rPr>
          <w:rFonts w:cs="Arial"/>
        </w:rPr>
        <w:t xml:space="preserve">The community would like to be more involved </w:t>
      </w:r>
      <w:r>
        <w:rPr>
          <w:rFonts w:cs="Arial"/>
        </w:rPr>
        <w:t>in</w:t>
      </w:r>
      <w:r w:rsidRPr="00525A24">
        <w:rPr>
          <w:rFonts w:cs="Arial"/>
        </w:rPr>
        <w:t xml:space="preserve"> community </w:t>
      </w:r>
      <w:r>
        <w:rPr>
          <w:rFonts w:cs="Arial"/>
        </w:rPr>
        <w:t xml:space="preserve">engagement </w:t>
      </w:r>
      <w:r w:rsidRPr="00525A24">
        <w:rPr>
          <w:rFonts w:cs="Arial"/>
        </w:rPr>
        <w:t xml:space="preserve">activities, with 72% agreeing, alongside useful </w:t>
      </w:r>
      <w:r>
        <w:rPr>
          <w:rFonts w:cs="Arial"/>
        </w:rPr>
        <w:t xml:space="preserve">engagement </w:t>
      </w:r>
      <w:r w:rsidRPr="00525A24">
        <w:rPr>
          <w:rFonts w:cs="Arial"/>
        </w:rPr>
        <w:t xml:space="preserve">suggestions including </w:t>
      </w:r>
      <w:r>
        <w:rPr>
          <w:rFonts w:cs="Arial"/>
        </w:rPr>
        <w:t>community meetings, newsletters and surveys, showing an interest in involvement</w:t>
      </w:r>
      <w:r w:rsidR="00F37296">
        <w:rPr>
          <w:rFonts w:cs="Arial"/>
        </w:rPr>
        <w:t xml:space="preserve"> (Thinks report, 2023)</w:t>
      </w:r>
      <w:r>
        <w:rPr>
          <w:rFonts w:cs="Arial"/>
        </w:rPr>
        <w:t>.</w:t>
      </w:r>
    </w:p>
    <w:p w14:paraId="33F86A4C" w14:textId="3ECD60E0" w:rsidR="003861CA" w:rsidRPr="003861CA" w:rsidRDefault="003861CA" w:rsidP="003861CA">
      <w:pPr>
        <w:pStyle w:val="Heading2"/>
        <w:numPr>
          <w:ilvl w:val="0"/>
          <w:numId w:val="0"/>
        </w:numPr>
        <w:ind w:left="570" w:hanging="567"/>
      </w:pPr>
      <w:bookmarkStart w:id="11" w:name="_Toc160129543"/>
      <w:r>
        <w:t xml:space="preserve">Air </w:t>
      </w:r>
      <w:r w:rsidR="00A1555E">
        <w:t>Q</w:t>
      </w:r>
      <w:r>
        <w:t xml:space="preserve">uality </w:t>
      </w:r>
      <w:r w:rsidR="00A1555E">
        <w:t>M</w:t>
      </w:r>
      <w:r>
        <w:t>easures</w:t>
      </w:r>
      <w:bookmarkEnd w:id="11"/>
      <w:r>
        <w:t xml:space="preserve"> </w:t>
      </w:r>
    </w:p>
    <w:p w14:paraId="465E7DBE" w14:textId="77777777" w:rsidR="001B1A56" w:rsidRPr="006A2BB5" w:rsidRDefault="001B1A56" w:rsidP="001B1A56">
      <w:r w:rsidRPr="0098030E">
        <w:t>Slough Borough Council is committed to reducing the exposure of people in Slough to po</w:t>
      </w:r>
      <w:r w:rsidRPr="00E3664B">
        <w:t>or air quality in order to improve health.</w:t>
      </w:r>
    </w:p>
    <w:p w14:paraId="320AB220" w14:textId="77777777" w:rsidR="001B1A56" w:rsidRDefault="001B1A56" w:rsidP="001B1A56">
      <w:r w:rsidRPr="006A2BB5">
        <w:t xml:space="preserve">We have developed actions </w:t>
      </w:r>
      <w:r>
        <w:t>with the intention to achieve the following two aims:</w:t>
      </w:r>
    </w:p>
    <w:p w14:paraId="5F603E27" w14:textId="77777777" w:rsidR="001B1A56" w:rsidRDefault="001B1A56" w:rsidP="001B1A56">
      <w:r>
        <w:rPr>
          <w:noProof/>
          <w14:ligatures w14:val="standardContextual"/>
        </w:rPr>
        <mc:AlternateContent>
          <mc:Choice Requires="wps">
            <w:drawing>
              <wp:inline distT="0" distB="0" distL="0" distR="0" wp14:anchorId="3C9B67AB" wp14:editId="76CB8701">
                <wp:extent cx="5791200" cy="668020"/>
                <wp:effectExtent l="0" t="0" r="19050" b="17780"/>
                <wp:docPr id="1488907788" name="Rectangle: Rounded Corners 2"/>
                <wp:cNvGraphicFramePr/>
                <a:graphic xmlns:a="http://schemas.openxmlformats.org/drawingml/2006/main">
                  <a:graphicData uri="http://schemas.microsoft.com/office/word/2010/wordprocessingShape">
                    <wps:wsp>
                      <wps:cNvSpPr/>
                      <wps:spPr>
                        <a:xfrm>
                          <a:off x="0" y="0"/>
                          <a:ext cx="5791200" cy="668020"/>
                        </a:xfrm>
                        <a:prstGeom prst="roundRect">
                          <a:avLst/>
                        </a:prstGeom>
                        <a:solidFill>
                          <a:schemeClr val="accent6">
                            <a:lumMod val="60000"/>
                            <a:lumOff val="4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3CD169E" w14:textId="006F401D" w:rsidR="001B1A56" w:rsidRPr="006A2BB5" w:rsidRDefault="001B1A56" w:rsidP="0025036F">
                            <w:pPr>
                              <w:pStyle w:val="ListParagraph"/>
                              <w:numPr>
                                <w:ilvl w:val="0"/>
                                <w:numId w:val="68"/>
                              </w:numPr>
                              <w:spacing w:before="0" w:after="0"/>
                              <w:rPr>
                                <w:b/>
                                <w:bCs/>
                              </w:rPr>
                            </w:pPr>
                            <w:r w:rsidRPr="006A2BB5">
                              <w:rPr>
                                <w:b/>
                                <w:bCs/>
                              </w:rPr>
                              <w:t>Achieve a boroughwide NO</w:t>
                            </w:r>
                            <w:r w:rsidRPr="006A2BB5">
                              <w:rPr>
                                <w:b/>
                                <w:bCs/>
                                <w:vertAlign w:val="subscript"/>
                              </w:rPr>
                              <w:t>2</w:t>
                            </w:r>
                            <w:r w:rsidRPr="006A2BB5">
                              <w:rPr>
                                <w:b/>
                                <w:bCs/>
                              </w:rPr>
                              <w:t xml:space="preserve"> target concentration of &lt;35</w:t>
                            </w:r>
                            <w:r w:rsidR="007B7676" w:rsidRPr="007B7676">
                              <w:rPr>
                                <w:rFonts w:cs="Arial"/>
                                <w:b/>
                                <w:bCs/>
                                <w:color w:val="0B0C0C"/>
                              </w:rPr>
                              <w:t>µ</w:t>
                            </w:r>
                            <w:r w:rsidRPr="006A2BB5">
                              <w:rPr>
                                <w:b/>
                                <w:bCs/>
                              </w:rPr>
                              <w:t>g/m</w:t>
                            </w:r>
                            <w:r w:rsidRPr="006A2BB5">
                              <w:rPr>
                                <w:b/>
                                <w:bCs/>
                                <w:vertAlign w:val="superscript"/>
                              </w:rPr>
                              <w:t>3</w:t>
                            </w:r>
                            <w:r w:rsidRPr="006A2BB5">
                              <w:rPr>
                                <w:b/>
                                <w:bCs/>
                              </w:rPr>
                              <w:t xml:space="preserve"> by 2028</w:t>
                            </w:r>
                          </w:p>
                          <w:p w14:paraId="3DE971FB" w14:textId="6EA14918" w:rsidR="001B1A56" w:rsidRPr="006A2BB5" w:rsidRDefault="001B1A56" w:rsidP="0025036F">
                            <w:pPr>
                              <w:pStyle w:val="ListParagraph"/>
                              <w:numPr>
                                <w:ilvl w:val="0"/>
                                <w:numId w:val="68"/>
                              </w:numPr>
                              <w:spacing w:before="0" w:after="0"/>
                              <w:jc w:val="center"/>
                              <w:rPr>
                                <w:b/>
                                <w:bCs/>
                              </w:rPr>
                            </w:pPr>
                            <w:r w:rsidRPr="006A2BB5">
                              <w:rPr>
                                <w:b/>
                                <w:bCs/>
                              </w:rPr>
                              <w:t>Revo</w:t>
                            </w:r>
                            <w:r w:rsidR="001157EA">
                              <w:rPr>
                                <w:b/>
                                <w:bCs/>
                              </w:rPr>
                              <w:t>ke</w:t>
                            </w:r>
                            <w:r w:rsidRPr="006A2BB5">
                              <w:rPr>
                                <w:b/>
                                <w:bCs/>
                              </w:rPr>
                              <w:t xml:space="preserve"> all </w:t>
                            </w:r>
                            <w:r w:rsidR="001157EA">
                              <w:rPr>
                                <w:b/>
                                <w:bCs/>
                              </w:rPr>
                              <w:t xml:space="preserve">of </w:t>
                            </w:r>
                            <w:r w:rsidRPr="006A2BB5">
                              <w:rPr>
                                <w:b/>
                                <w:bCs/>
                              </w:rPr>
                              <w:t>Slough Borough Council’s AQMAs by 2030</w:t>
                            </w:r>
                          </w:p>
                          <w:p w14:paraId="3FC68812" w14:textId="77777777" w:rsidR="001B1A56" w:rsidRPr="006A2BB5" w:rsidRDefault="001B1A56" w:rsidP="001B1A56">
                            <w:pPr>
                              <w:spacing w:before="0" w:after="0"/>
                              <w:jc w:val="center"/>
                              <w:rPr>
                                <w:b/>
                                <w:bCs/>
                              </w:rPr>
                            </w:pPr>
                          </w:p>
                          <w:p w14:paraId="3E5EE4DE" w14:textId="77777777" w:rsidR="001B1A56" w:rsidRPr="006A2BB5" w:rsidRDefault="001B1A56" w:rsidP="001B1A56">
                            <w:pPr>
                              <w:jc w:val="center"/>
                              <w:rPr>
                                <w:b/>
                                <w:bCs/>
                              </w:rPr>
                            </w:pPr>
                          </w:p>
                          <w:p w14:paraId="597EF9AE" w14:textId="77777777" w:rsidR="001B1A56" w:rsidRPr="006A2BB5" w:rsidRDefault="001B1A56" w:rsidP="001B1A56">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C9B67AB" id="Rectangle: Rounded Corners 2" o:spid="_x0000_s1026" style="width:456pt;height:5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" fillcolor="#a8d08d [1945]" strokecolor="black [3213]" strokeweight="1pt">
                <v:stroke joinstyle="miter"/>
                <v:textbox>
                  <w:txbxContent>
                    <w:p w14:paraId="13CD169E" w14:textId="006F401D" w:rsidR="001B1A56" w:rsidRPr="006A2BB5" w:rsidRDefault="001B1A56" w:rsidP="0025036F">
                      <w:pPr>
                        <w:pStyle w:val="ListParagraph"/>
                        <w:numPr>
                          <w:ilvl w:val="0"/>
                          <w:numId w:val="68"/>
                        </w:numPr>
                        <w:spacing w:before="0" w:after="0"/>
                        <w:rPr>
                          <w:b/>
                          <w:bCs/>
                        </w:rPr>
                      </w:pPr>
                      <w:r w:rsidRPr="006A2BB5">
                        <w:rPr>
                          <w:b/>
                          <w:bCs/>
                        </w:rPr>
                        <w:t>Achieve a boroughwide NO</w:t>
                      </w:r>
                      <w:r w:rsidRPr="006A2BB5">
                        <w:rPr>
                          <w:b/>
                          <w:bCs/>
                          <w:vertAlign w:val="subscript"/>
                        </w:rPr>
                        <w:t>2</w:t>
                      </w:r>
                      <w:r w:rsidRPr="006A2BB5">
                        <w:rPr>
                          <w:b/>
                          <w:bCs/>
                        </w:rPr>
                        <w:t xml:space="preserve"> target concentration of &lt;35</w:t>
                      </w:r>
                      <w:r w:rsidR="007B7676" w:rsidRPr="007B7676">
                        <w:rPr>
                          <w:rFonts w:cs="Arial"/>
                          <w:b/>
                          <w:bCs/>
                          <w:color w:val="0B0C0C"/>
                        </w:rPr>
                        <w:t>µ</w:t>
                      </w:r>
                      <w:r w:rsidRPr="006A2BB5">
                        <w:rPr>
                          <w:b/>
                          <w:bCs/>
                        </w:rPr>
                        <w:t>g/m</w:t>
                      </w:r>
                      <w:r w:rsidRPr="006A2BB5">
                        <w:rPr>
                          <w:b/>
                          <w:bCs/>
                          <w:vertAlign w:val="superscript"/>
                        </w:rPr>
                        <w:t>3</w:t>
                      </w:r>
                      <w:r w:rsidRPr="006A2BB5">
                        <w:rPr>
                          <w:b/>
                          <w:bCs/>
                        </w:rPr>
                        <w:t xml:space="preserve"> by 2028</w:t>
                      </w:r>
                    </w:p>
                    <w:p w14:paraId="3DE971FB" w14:textId="6EA14918" w:rsidR="001B1A56" w:rsidRPr="006A2BB5" w:rsidRDefault="001B1A56" w:rsidP="0025036F">
                      <w:pPr>
                        <w:pStyle w:val="ListParagraph"/>
                        <w:numPr>
                          <w:ilvl w:val="0"/>
                          <w:numId w:val="68"/>
                        </w:numPr>
                        <w:spacing w:before="0" w:after="0"/>
                        <w:jc w:val="center"/>
                        <w:rPr>
                          <w:b/>
                          <w:bCs/>
                        </w:rPr>
                      </w:pPr>
                      <w:r w:rsidRPr="006A2BB5">
                        <w:rPr>
                          <w:b/>
                          <w:bCs/>
                        </w:rPr>
                        <w:t>Revo</w:t>
                      </w:r>
                      <w:r w:rsidR="001157EA">
                        <w:rPr>
                          <w:b/>
                          <w:bCs/>
                        </w:rPr>
                        <w:t>ke</w:t>
                      </w:r>
                      <w:r w:rsidRPr="006A2BB5">
                        <w:rPr>
                          <w:b/>
                          <w:bCs/>
                        </w:rPr>
                        <w:t xml:space="preserve"> all </w:t>
                      </w:r>
                      <w:r w:rsidR="001157EA">
                        <w:rPr>
                          <w:b/>
                          <w:bCs/>
                        </w:rPr>
                        <w:t xml:space="preserve">of </w:t>
                      </w:r>
                      <w:r w:rsidRPr="006A2BB5">
                        <w:rPr>
                          <w:b/>
                          <w:bCs/>
                        </w:rPr>
                        <w:t>Slough Borough Council’s AQMAs by 2030</w:t>
                      </w:r>
                    </w:p>
                    <w:p w14:paraId="3FC68812" w14:textId="77777777" w:rsidR="001B1A56" w:rsidRPr="006A2BB5" w:rsidRDefault="001B1A56" w:rsidP="001B1A56">
                      <w:pPr>
                        <w:spacing w:before="0" w:after="0"/>
                        <w:jc w:val="center"/>
                        <w:rPr>
                          <w:b/>
                          <w:bCs/>
                        </w:rPr>
                      </w:pPr>
                    </w:p>
                    <w:p w14:paraId="3E5EE4DE" w14:textId="77777777" w:rsidR="001B1A56" w:rsidRPr="006A2BB5" w:rsidRDefault="001B1A56" w:rsidP="001B1A56">
                      <w:pPr>
                        <w:jc w:val="center"/>
                        <w:rPr>
                          <w:b/>
                          <w:bCs/>
                        </w:rPr>
                      </w:pPr>
                    </w:p>
                    <w:p w14:paraId="597EF9AE" w14:textId="77777777" w:rsidR="001B1A56" w:rsidRPr="006A2BB5" w:rsidRDefault="001B1A56" w:rsidP="001B1A56">
                      <w:pPr>
                        <w:jc w:val="center"/>
                        <w:rPr>
                          <w:b/>
                          <w:bCs/>
                        </w:rPr>
                      </w:pPr>
                    </w:p>
                  </w:txbxContent>
                </v:textbox>
                <w10:anchorlock/>
              </v:roundrect>
            </w:pict>
          </mc:Fallback>
        </mc:AlternateContent>
      </w:r>
    </w:p>
    <w:p w14:paraId="0A5C6217" w14:textId="77777777" w:rsidR="001B1A56" w:rsidRDefault="001B1A56" w:rsidP="001B1A56">
      <w:r>
        <w:t xml:space="preserve">The actions </w:t>
      </w:r>
      <w:r w:rsidRPr="006A2BB5">
        <w:t>can be considered under three br</w:t>
      </w:r>
      <w:r w:rsidRPr="00FB523F">
        <w:t>oad topics:</w:t>
      </w:r>
    </w:p>
    <w:p w14:paraId="152BB9B1" w14:textId="77777777" w:rsidR="001B1A56" w:rsidRDefault="001B1A56" w:rsidP="0025036F">
      <w:pPr>
        <w:pStyle w:val="ListParagraph"/>
        <w:numPr>
          <w:ilvl w:val="0"/>
          <w:numId w:val="67"/>
        </w:numPr>
      </w:pPr>
      <w:r w:rsidRPr="006A2BB5">
        <w:rPr>
          <w:b/>
          <w:bCs/>
        </w:rPr>
        <w:t>Environment</w:t>
      </w:r>
      <w:r>
        <w:t xml:space="preserve">: focusing on emission management and reduction of emissions at the source </w:t>
      </w:r>
    </w:p>
    <w:p w14:paraId="497F6AA8" w14:textId="77777777" w:rsidR="001B1A56" w:rsidRDefault="001B1A56" w:rsidP="0025036F">
      <w:pPr>
        <w:pStyle w:val="ListParagraph"/>
        <w:numPr>
          <w:ilvl w:val="0"/>
          <w:numId w:val="67"/>
        </w:numPr>
      </w:pPr>
      <w:r w:rsidRPr="006A2BB5">
        <w:rPr>
          <w:b/>
          <w:bCs/>
        </w:rPr>
        <w:t>Transport</w:t>
      </w:r>
      <w:r>
        <w:t>: focusing on traffic management and infrastructure to support modal shift</w:t>
      </w:r>
    </w:p>
    <w:p w14:paraId="5AB5E27A" w14:textId="264F95C5" w:rsidR="00AC7A3A" w:rsidRDefault="001B1A56" w:rsidP="00AC7A3A">
      <w:pPr>
        <w:pStyle w:val="ListParagraph"/>
        <w:numPr>
          <w:ilvl w:val="0"/>
          <w:numId w:val="67"/>
        </w:numPr>
      </w:pPr>
      <w:r w:rsidRPr="006A2BB5">
        <w:rPr>
          <w:b/>
          <w:bCs/>
        </w:rPr>
        <w:lastRenderedPageBreak/>
        <w:t>Health Education &amp; Awareness</w:t>
      </w:r>
      <w:r>
        <w:t xml:space="preserve">: focusing on improving the air quality knowledge base across the borough. </w:t>
      </w:r>
    </w:p>
    <w:p w14:paraId="08109E42" w14:textId="6F42C308" w:rsidR="00AC7A3A" w:rsidRDefault="001B1A56" w:rsidP="001B1A56">
      <w:r>
        <w:t>These aims will be achieved by focusing on the priority areas and objectives</w:t>
      </w:r>
      <w:r w:rsidR="00902898">
        <w:t xml:space="preserve"> shown in Table C below</w:t>
      </w:r>
      <w:r w:rsidR="00AC7A3A">
        <w:t>.</w:t>
      </w:r>
    </w:p>
    <w:p w14:paraId="1A6F3815" w14:textId="3868D0E6" w:rsidR="00902898" w:rsidRDefault="00902898" w:rsidP="006132B8">
      <w:pPr>
        <w:pStyle w:val="Tables"/>
      </w:pPr>
      <w:bookmarkStart w:id="12" w:name="_Toc160128551"/>
      <w:r>
        <w:t>Table C: Air Quality Action Plan (AQAP) Objectives</w:t>
      </w:r>
      <w:bookmarkEnd w:id="12"/>
      <w:r>
        <w:t xml:space="preserve"> </w:t>
      </w:r>
    </w:p>
    <w:tbl>
      <w:tblPr>
        <w:tblStyle w:val="TableGrid"/>
        <w:tblW w:w="0" w:type="auto"/>
        <w:tblLook w:val="04A0" w:firstRow="1" w:lastRow="0" w:firstColumn="1" w:lastColumn="0" w:noHBand="0" w:noVBand="1"/>
      </w:tblPr>
      <w:tblGrid>
        <w:gridCol w:w="2972"/>
        <w:gridCol w:w="6044"/>
      </w:tblGrid>
      <w:tr w:rsidR="001B1A56" w14:paraId="41FC2740" w14:textId="77777777" w:rsidTr="00AC7A3A">
        <w:tc>
          <w:tcPr>
            <w:tcW w:w="2972" w:type="dxa"/>
            <w:tcBorders>
              <w:right w:val="single" w:sz="18" w:space="0" w:color="auto"/>
            </w:tcBorders>
            <w:shd w:val="clear" w:color="auto" w:fill="A8D08D" w:themeFill="accent6" w:themeFillTint="99"/>
          </w:tcPr>
          <w:p w14:paraId="40D5A256" w14:textId="77777777" w:rsidR="001B1A56" w:rsidRDefault="001B1A56" w:rsidP="007B10BD">
            <w:pPr>
              <w:spacing w:before="0" w:after="0" w:line="240" w:lineRule="auto"/>
            </w:pPr>
            <w:r>
              <w:t>Environment Objective 1 (EO-1)</w:t>
            </w:r>
          </w:p>
        </w:tc>
        <w:tc>
          <w:tcPr>
            <w:tcW w:w="6044" w:type="dxa"/>
            <w:tcBorders>
              <w:left w:val="single" w:sz="18" w:space="0" w:color="auto"/>
            </w:tcBorders>
            <w:shd w:val="clear" w:color="auto" w:fill="E2EFD9" w:themeFill="accent6" w:themeFillTint="33"/>
          </w:tcPr>
          <w:p w14:paraId="5EC18AF1" w14:textId="77777777" w:rsidR="001B1A56" w:rsidRDefault="001B1A56" w:rsidP="007B10BD">
            <w:pPr>
              <w:spacing w:before="0" w:after="0" w:line="240" w:lineRule="auto"/>
            </w:pPr>
            <w:r w:rsidRPr="00F06F77">
              <w:rPr>
                <w:rFonts w:cs="Arial"/>
              </w:rPr>
              <w:t>Undertake statutory duties to monitor, review and manage air quality</w:t>
            </w:r>
          </w:p>
        </w:tc>
      </w:tr>
      <w:tr w:rsidR="001B1A56" w14:paraId="1381D012" w14:textId="77777777" w:rsidTr="00AC7A3A">
        <w:tc>
          <w:tcPr>
            <w:tcW w:w="2972" w:type="dxa"/>
            <w:tcBorders>
              <w:right w:val="single" w:sz="18" w:space="0" w:color="auto"/>
            </w:tcBorders>
            <w:shd w:val="clear" w:color="auto" w:fill="A8D08D" w:themeFill="accent6" w:themeFillTint="99"/>
          </w:tcPr>
          <w:p w14:paraId="017AAB14" w14:textId="77777777" w:rsidR="001B1A56" w:rsidRDefault="001B1A56" w:rsidP="007B10BD">
            <w:pPr>
              <w:spacing w:before="0" w:after="0" w:line="240" w:lineRule="auto"/>
            </w:pPr>
            <w:r>
              <w:t>Environment Objective 2 (EO-2)</w:t>
            </w:r>
          </w:p>
        </w:tc>
        <w:tc>
          <w:tcPr>
            <w:tcW w:w="6044" w:type="dxa"/>
            <w:tcBorders>
              <w:left w:val="single" w:sz="18" w:space="0" w:color="auto"/>
            </w:tcBorders>
            <w:shd w:val="clear" w:color="auto" w:fill="E2EFD9" w:themeFill="accent6" w:themeFillTint="33"/>
          </w:tcPr>
          <w:p w14:paraId="5A01D629" w14:textId="592F1C78" w:rsidR="001B1A56" w:rsidRDefault="001B1A56" w:rsidP="007B10BD">
            <w:pPr>
              <w:spacing w:before="0" w:after="0" w:line="240" w:lineRule="auto"/>
            </w:pPr>
            <w:r w:rsidRPr="00F06F77">
              <w:rPr>
                <w:rFonts w:cs="Arial"/>
              </w:rPr>
              <w:t>Ensure that air quality is a key consideration in all planning applications and support the Council's clean air ambitions</w:t>
            </w:r>
            <w:r w:rsidR="00CC1A1E">
              <w:rPr>
                <w:rFonts w:cs="Arial"/>
              </w:rPr>
              <w:t xml:space="preserve"> at new developments</w:t>
            </w:r>
          </w:p>
        </w:tc>
      </w:tr>
      <w:tr w:rsidR="00C30FA4" w14:paraId="15AE0E12" w14:textId="77777777" w:rsidTr="00AC7A3A">
        <w:tc>
          <w:tcPr>
            <w:tcW w:w="2972" w:type="dxa"/>
            <w:tcBorders>
              <w:right w:val="single" w:sz="18" w:space="0" w:color="auto"/>
            </w:tcBorders>
            <w:shd w:val="clear" w:color="auto" w:fill="A8D08D" w:themeFill="accent6" w:themeFillTint="99"/>
          </w:tcPr>
          <w:p w14:paraId="291E6E83" w14:textId="591D6621" w:rsidR="00C30FA4" w:rsidRDefault="00C30FA4" w:rsidP="007B10BD">
            <w:pPr>
              <w:spacing w:before="0" w:after="0" w:line="240" w:lineRule="auto"/>
              <w:rPr>
                <w:rFonts w:cs="Arial"/>
              </w:rPr>
            </w:pPr>
            <w:r>
              <w:rPr>
                <w:rFonts w:cs="Arial"/>
              </w:rPr>
              <w:t xml:space="preserve">Environment Objective 3 </w:t>
            </w:r>
          </w:p>
          <w:p w14:paraId="1F360411" w14:textId="0F82612C" w:rsidR="00C30FA4" w:rsidRPr="00C30FA4" w:rsidRDefault="00C30FA4" w:rsidP="007B10BD">
            <w:pPr>
              <w:spacing w:before="0" w:after="0" w:line="240" w:lineRule="auto"/>
              <w:rPr>
                <w:rFonts w:cs="Arial"/>
              </w:rPr>
            </w:pPr>
            <w:r>
              <w:rPr>
                <w:rFonts w:cs="Arial"/>
              </w:rPr>
              <w:t>(</w:t>
            </w:r>
            <w:r w:rsidRPr="00C30FA4">
              <w:rPr>
                <w:rFonts w:cs="Arial"/>
              </w:rPr>
              <w:t>EO-3</w:t>
            </w:r>
            <w:r>
              <w:rPr>
                <w:rFonts w:cs="Arial"/>
              </w:rPr>
              <w:t>)</w:t>
            </w:r>
          </w:p>
        </w:tc>
        <w:tc>
          <w:tcPr>
            <w:tcW w:w="6044" w:type="dxa"/>
            <w:tcBorders>
              <w:left w:val="single" w:sz="18" w:space="0" w:color="auto"/>
            </w:tcBorders>
            <w:shd w:val="clear" w:color="auto" w:fill="E2EFD9" w:themeFill="accent6" w:themeFillTint="33"/>
          </w:tcPr>
          <w:p w14:paraId="7646D032" w14:textId="52B4AD52" w:rsidR="00C30FA4" w:rsidRPr="00F06F77" w:rsidRDefault="00C30FA4" w:rsidP="007B10BD">
            <w:pPr>
              <w:spacing w:before="0" w:after="0" w:line="240" w:lineRule="auto"/>
              <w:rPr>
                <w:rFonts w:cs="Arial"/>
              </w:rPr>
            </w:pPr>
            <w:r w:rsidRPr="00C30FA4">
              <w:rPr>
                <w:rFonts w:cs="Arial"/>
              </w:rPr>
              <w:t>Reduce vehicle and building emissions associated with Council operations.</w:t>
            </w:r>
          </w:p>
        </w:tc>
      </w:tr>
      <w:tr w:rsidR="001B1A56" w14:paraId="2D1AE8DC" w14:textId="77777777" w:rsidTr="00AC7A3A">
        <w:trPr>
          <w:trHeight w:val="132"/>
        </w:trPr>
        <w:tc>
          <w:tcPr>
            <w:tcW w:w="2972" w:type="dxa"/>
            <w:tcBorders>
              <w:right w:val="single" w:sz="18" w:space="0" w:color="auto"/>
            </w:tcBorders>
            <w:shd w:val="clear" w:color="auto" w:fill="A8D08D" w:themeFill="accent6" w:themeFillTint="99"/>
          </w:tcPr>
          <w:p w14:paraId="7617F410" w14:textId="77777777" w:rsidR="001B1A56" w:rsidRDefault="001B1A56" w:rsidP="007B10BD">
            <w:pPr>
              <w:spacing w:before="0" w:after="0" w:line="240" w:lineRule="auto"/>
            </w:pPr>
            <w:r>
              <w:t>Environment Objective 4 (EO-4)</w:t>
            </w:r>
          </w:p>
        </w:tc>
        <w:tc>
          <w:tcPr>
            <w:tcW w:w="6044" w:type="dxa"/>
            <w:tcBorders>
              <w:left w:val="single" w:sz="18" w:space="0" w:color="auto"/>
            </w:tcBorders>
            <w:shd w:val="clear" w:color="auto" w:fill="E2EFD9" w:themeFill="accent6" w:themeFillTint="33"/>
          </w:tcPr>
          <w:p w14:paraId="0FFB0C7E" w14:textId="77777777" w:rsidR="001B1A56" w:rsidRPr="00F06F77" w:rsidRDefault="001B1A56" w:rsidP="007B10BD">
            <w:pPr>
              <w:spacing w:before="0" w:after="0" w:line="240" w:lineRule="auto"/>
              <w:rPr>
                <w:rFonts w:cs="Arial"/>
              </w:rPr>
            </w:pPr>
            <w:r w:rsidRPr="00F06F77">
              <w:rPr>
                <w:rFonts w:cs="Arial"/>
              </w:rPr>
              <w:t>Reduce emissions from staff e.g. vehicles associated with Council staff 'grey' fleet to improve air quality and meet CO</w:t>
            </w:r>
            <w:r w:rsidRPr="00CC1A1E">
              <w:rPr>
                <w:rFonts w:cs="Arial"/>
                <w:vertAlign w:val="subscript"/>
              </w:rPr>
              <w:t>2</w:t>
            </w:r>
            <w:r w:rsidRPr="00F06F77">
              <w:rPr>
                <w:rFonts w:cs="Arial"/>
              </w:rPr>
              <w:t xml:space="preserve"> targets</w:t>
            </w:r>
          </w:p>
        </w:tc>
      </w:tr>
      <w:tr w:rsidR="001B1A56" w14:paraId="2A8ADB38" w14:textId="77777777" w:rsidTr="00AC7A3A">
        <w:tc>
          <w:tcPr>
            <w:tcW w:w="2972" w:type="dxa"/>
            <w:tcBorders>
              <w:right w:val="single" w:sz="18" w:space="0" w:color="auto"/>
            </w:tcBorders>
            <w:shd w:val="clear" w:color="auto" w:fill="A8D08D" w:themeFill="accent6" w:themeFillTint="99"/>
          </w:tcPr>
          <w:p w14:paraId="7C640467" w14:textId="77777777" w:rsidR="001B1A56" w:rsidRDefault="001B1A56" w:rsidP="007B10BD">
            <w:pPr>
              <w:spacing w:before="0" w:after="0" w:line="240" w:lineRule="auto"/>
            </w:pPr>
            <w:r>
              <w:t>Environment Objective 5 (EO-5)</w:t>
            </w:r>
          </w:p>
        </w:tc>
        <w:tc>
          <w:tcPr>
            <w:tcW w:w="6044" w:type="dxa"/>
            <w:tcBorders>
              <w:left w:val="single" w:sz="18" w:space="0" w:color="auto"/>
            </w:tcBorders>
            <w:shd w:val="clear" w:color="auto" w:fill="E2EFD9" w:themeFill="accent6" w:themeFillTint="33"/>
          </w:tcPr>
          <w:p w14:paraId="2409E45F" w14:textId="26329E38" w:rsidR="001B1A56" w:rsidRDefault="001B1A56" w:rsidP="007B10BD">
            <w:pPr>
              <w:spacing w:before="0" w:after="0" w:line="240" w:lineRule="auto"/>
            </w:pPr>
            <w:r w:rsidRPr="00F06F77">
              <w:rPr>
                <w:rFonts w:cs="Arial"/>
              </w:rPr>
              <w:t xml:space="preserve">Reduce emissions from public transport by implementing emission standards </w:t>
            </w:r>
            <w:r w:rsidR="00B87DA1">
              <w:rPr>
                <w:rFonts w:cs="Arial"/>
              </w:rPr>
              <w:t xml:space="preserve">via partnerships </w:t>
            </w:r>
            <w:r w:rsidRPr="00F06F77">
              <w:rPr>
                <w:rFonts w:cs="Arial"/>
              </w:rPr>
              <w:t>and promoting ULEV use</w:t>
            </w:r>
            <w:r w:rsidR="00CC1A1E">
              <w:rPr>
                <w:rFonts w:cs="Arial"/>
              </w:rPr>
              <w:t xml:space="preserve"> with operators </w:t>
            </w:r>
          </w:p>
        </w:tc>
      </w:tr>
      <w:tr w:rsidR="001B1A56" w14:paraId="77F0D665" w14:textId="77777777" w:rsidTr="00AC7A3A">
        <w:tc>
          <w:tcPr>
            <w:tcW w:w="2972" w:type="dxa"/>
            <w:tcBorders>
              <w:bottom w:val="single" w:sz="4" w:space="0" w:color="auto"/>
              <w:right w:val="single" w:sz="18" w:space="0" w:color="auto"/>
            </w:tcBorders>
            <w:shd w:val="clear" w:color="auto" w:fill="A8D08D" w:themeFill="accent6" w:themeFillTint="99"/>
          </w:tcPr>
          <w:p w14:paraId="2C08AA7E" w14:textId="77777777" w:rsidR="001B1A56" w:rsidRDefault="001B1A56" w:rsidP="007B10BD">
            <w:pPr>
              <w:spacing w:before="0" w:after="0" w:line="240" w:lineRule="auto"/>
            </w:pPr>
            <w:r>
              <w:t>Environment Objective 6 (EO-6)</w:t>
            </w:r>
          </w:p>
        </w:tc>
        <w:tc>
          <w:tcPr>
            <w:tcW w:w="6044" w:type="dxa"/>
            <w:tcBorders>
              <w:left w:val="single" w:sz="18" w:space="0" w:color="auto"/>
              <w:bottom w:val="single" w:sz="4" w:space="0" w:color="auto"/>
            </w:tcBorders>
            <w:shd w:val="clear" w:color="auto" w:fill="E2EFD9" w:themeFill="accent6" w:themeFillTint="33"/>
          </w:tcPr>
          <w:p w14:paraId="6381719F" w14:textId="77777777" w:rsidR="001B1A56" w:rsidRDefault="001B1A56" w:rsidP="007B10BD">
            <w:pPr>
              <w:spacing w:before="0" w:after="0" w:line="240" w:lineRule="auto"/>
            </w:pPr>
            <w:r w:rsidRPr="00F06F77">
              <w:rPr>
                <w:rFonts w:cs="Arial"/>
              </w:rPr>
              <w:t>Work in partnership with stakeholder groups to reduce emissions from vehicles and buildings</w:t>
            </w:r>
          </w:p>
        </w:tc>
      </w:tr>
      <w:tr w:rsidR="001B1A56" w14:paraId="0C324BC9" w14:textId="77777777" w:rsidTr="00AC7A3A">
        <w:tc>
          <w:tcPr>
            <w:tcW w:w="2972" w:type="dxa"/>
            <w:tcBorders>
              <w:bottom w:val="single" w:sz="12" w:space="0" w:color="auto"/>
              <w:right w:val="single" w:sz="18" w:space="0" w:color="auto"/>
            </w:tcBorders>
            <w:shd w:val="clear" w:color="auto" w:fill="A8D08D" w:themeFill="accent6" w:themeFillTint="99"/>
          </w:tcPr>
          <w:p w14:paraId="6D5DE7A3" w14:textId="77777777" w:rsidR="001B1A56" w:rsidRDefault="001B1A56" w:rsidP="007B10BD">
            <w:pPr>
              <w:spacing w:before="0" w:after="0" w:line="240" w:lineRule="auto"/>
            </w:pPr>
            <w:r>
              <w:t>Environment Objective 7 (EO-7)</w:t>
            </w:r>
          </w:p>
        </w:tc>
        <w:tc>
          <w:tcPr>
            <w:tcW w:w="6044" w:type="dxa"/>
            <w:tcBorders>
              <w:left w:val="single" w:sz="18" w:space="0" w:color="auto"/>
              <w:bottom w:val="single" w:sz="12" w:space="0" w:color="auto"/>
            </w:tcBorders>
            <w:shd w:val="clear" w:color="auto" w:fill="E2EFD9" w:themeFill="accent6" w:themeFillTint="33"/>
          </w:tcPr>
          <w:p w14:paraId="468C374C" w14:textId="77777777" w:rsidR="001B1A56" w:rsidRDefault="001B1A56" w:rsidP="007B10BD">
            <w:pPr>
              <w:spacing w:before="0" w:after="0" w:line="240" w:lineRule="auto"/>
            </w:pPr>
            <w:r w:rsidRPr="00F06F77">
              <w:rPr>
                <w:rFonts w:cs="Arial"/>
              </w:rPr>
              <w:t>Work in collaboration with council officers to deliver the Air Quality Action Plan &amp; LES Programme and promote the air quality agenda</w:t>
            </w:r>
          </w:p>
        </w:tc>
      </w:tr>
      <w:tr w:rsidR="001B1A56" w14:paraId="0803C254" w14:textId="77777777" w:rsidTr="00AC7A3A">
        <w:tc>
          <w:tcPr>
            <w:tcW w:w="2972" w:type="dxa"/>
            <w:tcBorders>
              <w:top w:val="single" w:sz="12" w:space="0" w:color="auto"/>
              <w:right w:val="single" w:sz="18" w:space="0" w:color="auto"/>
            </w:tcBorders>
            <w:shd w:val="clear" w:color="auto" w:fill="BDD6EE" w:themeFill="accent5" w:themeFillTint="66"/>
          </w:tcPr>
          <w:p w14:paraId="00920416" w14:textId="77777777" w:rsidR="001B1A56" w:rsidRDefault="001B1A56" w:rsidP="007B10BD">
            <w:pPr>
              <w:spacing w:before="0" w:after="0" w:line="240" w:lineRule="auto"/>
            </w:pPr>
            <w:r>
              <w:t xml:space="preserve">Transport Objective 1 </w:t>
            </w:r>
          </w:p>
          <w:p w14:paraId="7CB37DF4" w14:textId="77777777" w:rsidR="001B1A56" w:rsidRDefault="001B1A56" w:rsidP="007B10BD">
            <w:pPr>
              <w:spacing w:before="0" w:after="0" w:line="240" w:lineRule="auto"/>
            </w:pPr>
            <w:r>
              <w:t>(TO-1)</w:t>
            </w:r>
          </w:p>
        </w:tc>
        <w:tc>
          <w:tcPr>
            <w:tcW w:w="6044" w:type="dxa"/>
            <w:tcBorders>
              <w:top w:val="single" w:sz="12" w:space="0" w:color="auto"/>
              <w:left w:val="single" w:sz="18" w:space="0" w:color="auto"/>
            </w:tcBorders>
            <w:shd w:val="clear" w:color="auto" w:fill="DEEAF6" w:themeFill="accent5" w:themeFillTint="33"/>
          </w:tcPr>
          <w:p w14:paraId="0CF4022A" w14:textId="77777777" w:rsidR="001B1A56" w:rsidRDefault="001B1A56" w:rsidP="007B10BD">
            <w:pPr>
              <w:spacing w:before="0" w:after="0" w:line="240" w:lineRule="auto"/>
            </w:pPr>
            <w:r w:rsidRPr="005C7981">
              <w:rPr>
                <w:rFonts w:cs="Arial"/>
              </w:rPr>
              <w:t>Implement major infrastructural change, focusing on active travel, public</w:t>
            </w:r>
            <w:r>
              <w:rPr>
                <w:rFonts w:cs="Arial"/>
              </w:rPr>
              <w:t xml:space="preserve"> </w:t>
            </w:r>
            <w:r w:rsidRPr="005C7981">
              <w:rPr>
                <w:rFonts w:cs="Arial"/>
              </w:rPr>
              <w:t>transport and traffic management.</w:t>
            </w:r>
          </w:p>
        </w:tc>
      </w:tr>
      <w:tr w:rsidR="001B1A56" w14:paraId="109D736B" w14:textId="77777777" w:rsidTr="00AC7A3A">
        <w:tc>
          <w:tcPr>
            <w:tcW w:w="2972" w:type="dxa"/>
            <w:tcBorders>
              <w:right w:val="single" w:sz="18" w:space="0" w:color="auto"/>
            </w:tcBorders>
            <w:shd w:val="clear" w:color="auto" w:fill="BDD6EE" w:themeFill="accent5" w:themeFillTint="66"/>
          </w:tcPr>
          <w:p w14:paraId="1342C56B" w14:textId="77777777" w:rsidR="001B1A56" w:rsidRDefault="001B1A56" w:rsidP="007B10BD">
            <w:pPr>
              <w:spacing w:before="0" w:after="0" w:line="240" w:lineRule="auto"/>
            </w:pPr>
            <w:r>
              <w:t xml:space="preserve">Transport Objective 2 </w:t>
            </w:r>
          </w:p>
          <w:p w14:paraId="039C567E" w14:textId="77777777" w:rsidR="001B1A56" w:rsidRDefault="001B1A56" w:rsidP="007B10BD">
            <w:pPr>
              <w:spacing w:before="0" w:after="0" w:line="240" w:lineRule="auto"/>
            </w:pPr>
            <w:r>
              <w:t>(TO-2)</w:t>
            </w:r>
          </w:p>
        </w:tc>
        <w:tc>
          <w:tcPr>
            <w:tcW w:w="6044" w:type="dxa"/>
            <w:tcBorders>
              <w:left w:val="single" w:sz="18" w:space="0" w:color="auto"/>
            </w:tcBorders>
            <w:shd w:val="clear" w:color="auto" w:fill="DEEAF6" w:themeFill="accent5" w:themeFillTint="33"/>
          </w:tcPr>
          <w:p w14:paraId="1FAED13A" w14:textId="77777777" w:rsidR="001B1A56" w:rsidRPr="00362D7B" w:rsidRDefault="001B1A56" w:rsidP="007B10BD">
            <w:pPr>
              <w:spacing w:before="0" w:after="0" w:line="240" w:lineRule="auto"/>
              <w:rPr>
                <w:rFonts w:cs="Arial"/>
              </w:rPr>
            </w:pPr>
            <w:r w:rsidRPr="005C7981">
              <w:rPr>
                <w:rFonts w:cs="Arial"/>
              </w:rPr>
              <w:t xml:space="preserve">Increase uptake on public transport </w:t>
            </w:r>
          </w:p>
        </w:tc>
      </w:tr>
      <w:tr w:rsidR="001B1A56" w14:paraId="480F78C8" w14:textId="77777777" w:rsidTr="00AC7A3A">
        <w:tc>
          <w:tcPr>
            <w:tcW w:w="2972" w:type="dxa"/>
            <w:tcBorders>
              <w:right w:val="single" w:sz="18" w:space="0" w:color="auto"/>
            </w:tcBorders>
            <w:shd w:val="clear" w:color="auto" w:fill="BDD6EE" w:themeFill="accent5" w:themeFillTint="66"/>
          </w:tcPr>
          <w:p w14:paraId="03617F14" w14:textId="77777777" w:rsidR="001B1A56" w:rsidRDefault="001B1A56" w:rsidP="007B10BD">
            <w:pPr>
              <w:spacing w:before="0" w:after="0" w:line="240" w:lineRule="auto"/>
            </w:pPr>
            <w:r>
              <w:t xml:space="preserve">Transport Objective 3 </w:t>
            </w:r>
          </w:p>
          <w:p w14:paraId="4E54E660" w14:textId="77777777" w:rsidR="001B1A56" w:rsidRDefault="001B1A56" w:rsidP="007B10BD">
            <w:pPr>
              <w:spacing w:before="0" w:after="0" w:line="240" w:lineRule="auto"/>
            </w:pPr>
            <w:r>
              <w:t>(TO-3)</w:t>
            </w:r>
          </w:p>
        </w:tc>
        <w:tc>
          <w:tcPr>
            <w:tcW w:w="6044" w:type="dxa"/>
            <w:tcBorders>
              <w:left w:val="single" w:sz="18" w:space="0" w:color="auto"/>
            </w:tcBorders>
            <w:shd w:val="clear" w:color="auto" w:fill="DEEAF6" w:themeFill="accent5" w:themeFillTint="33"/>
          </w:tcPr>
          <w:p w14:paraId="2A16CEFD" w14:textId="77777777" w:rsidR="001B1A56" w:rsidRPr="005C7981" w:rsidRDefault="001B1A56" w:rsidP="007B10BD">
            <w:pPr>
              <w:spacing w:line="240" w:lineRule="auto"/>
              <w:rPr>
                <w:rFonts w:cs="Arial"/>
              </w:rPr>
            </w:pPr>
            <w:r w:rsidRPr="005C7981">
              <w:rPr>
                <w:rFonts w:cs="Arial"/>
              </w:rPr>
              <w:t>Manage vehicle parking in Slough to achieve balance between accommodating growth and managing congestion</w:t>
            </w:r>
          </w:p>
        </w:tc>
      </w:tr>
      <w:tr w:rsidR="001B1A56" w14:paraId="6F7AEA16" w14:textId="77777777" w:rsidTr="00AC7A3A">
        <w:tc>
          <w:tcPr>
            <w:tcW w:w="2972" w:type="dxa"/>
            <w:tcBorders>
              <w:bottom w:val="single" w:sz="4" w:space="0" w:color="auto"/>
              <w:right w:val="single" w:sz="18" w:space="0" w:color="auto"/>
            </w:tcBorders>
            <w:shd w:val="clear" w:color="auto" w:fill="BDD6EE" w:themeFill="accent5" w:themeFillTint="66"/>
          </w:tcPr>
          <w:p w14:paraId="14996554" w14:textId="77777777" w:rsidR="001B1A56" w:rsidRDefault="001B1A56" w:rsidP="007B10BD">
            <w:pPr>
              <w:spacing w:before="0" w:after="0" w:line="240" w:lineRule="auto"/>
            </w:pPr>
            <w:r>
              <w:t>Transport Objective 4</w:t>
            </w:r>
          </w:p>
          <w:p w14:paraId="5BD104BB" w14:textId="77777777" w:rsidR="001B1A56" w:rsidRDefault="001B1A56" w:rsidP="007B10BD">
            <w:pPr>
              <w:spacing w:before="0" w:after="0" w:line="240" w:lineRule="auto"/>
            </w:pPr>
            <w:r>
              <w:t>(TO-4)</w:t>
            </w:r>
          </w:p>
        </w:tc>
        <w:tc>
          <w:tcPr>
            <w:tcW w:w="6044" w:type="dxa"/>
            <w:tcBorders>
              <w:left w:val="single" w:sz="18" w:space="0" w:color="auto"/>
              <w:bottom w:val="single" w:sz="4" w:space="0" w:color="auto"/>
            </w:tcBorders>
            <w:shd w:val="clear" w:color="auto" w:fill="DEEAF6" w:themeFill="accent5" w:themeFillTint="33"/>
          </w:tcPr>
          <w:p w14:paraId="7CAF6321" w14:textId="77777777" w:rsidR="001B1A56" w:rsidRPr="005C7981" w:rsidRDefault="001B1A56" w:rsidP="007B10BD">
            <w:pPr>
              <w:spacing w:line="240" w:lineRule="auto"/>
              <w:rPr>
                <w:rFonts w:cs="Arial"/>
              </w:rPr>
            </w:pPr>
            <w:r w:rsidRPr="005C7981">
              <w:rPr>
                <w:rFonts w:cs="Arial"/>
              </w:rPr>
              <w:t>Implement traffic management measures to improve traffic flow and manage congestion</w:t>
            </w:r>
          </w:p>
        </w:tc>
      </w:tr>
      <w:tr w:rsidR="001B1A56" w14:paraId="2F3C3939" w14:textId="77777777" w:rsidTr="00AC7A3A">
        <w:tc>
          <w:tcPr>
            <w:tcW w:w="2972" w:type="dxa"/>
            <w:tcBorders>
              <w:bottom w:val="single" w:sz="18" w:space="0" w:color="auto"/>
              <w:right w:val="single" w:sz="18" w:space="0" w:color="auto"/>
            </w:tcBorders>
            <w:shd w:val="clear" w:color="auto" w:fill="BDD6EE" w:themeFill="accent5" w:themeFillTint="66"/>
          </w:tcPr>
          <w:p w14:paraId="59734CFF" w14:textId="77777777" w:rsidR="001B1A56" w:rsidRDefault="001B1A56" w:rsidP="007B10BD">
            <w:pPr>
              <w:spacing w:before="0" w:after="0" w:line="240" w:lineRule="auto"/>
            </w:pPr>
            <w:r>
              <w:t xml:space="preserve">Transport Objective 5 </w:t>
            </w:r>
          </w:p>
          <w:p w14:paraId="375DA7FB" w14:textId="77777777" w:rsidR="001B1A56" w:rsidRDefault="001B1A56" w:rsidP="007B10BD">
            <w:pPr>
              <w:spacing w:before="0" w:after="0" w:line="240" w:lineRule="auto"/>
            </w:pPr>
            <w:r>
              <w:t>(TO-5)</w:t>
            </w:r>
          </w:p>
        </w:tc>
        <w:tc>
          <w:tcPr>
            <w:tcW w:w="6044" w:type="dxa"/>
            <w:tcBorders>
              <w:left w:val="single" w:sz="18" w:space="0" w:color="auto"/>
              <w:bottom w:val="single" w:sz="18" w:space="0" w:color="auto"/>
            </w:tcBorders>
            <w:shd w:val="clear" w:color="auto" w:fill="DEEAF6" w:themeFill="accent5" w:themeFillTint="33"/>
          </w:tcPr>
          <w:p w14:paraId="1F021DC1" w14:textId="77777777" w:rsidR="001B1A56" w:rsidRPr="005C7981" w:rsidRDefault="001B1A56" w:rsidP="007B10BD">
            <w:pPr>
              <w:spacing w:before="0" w:after="0" w:line="240" w:lineRule="auto"/>
              <w:rPr>
                <w:rFonts w:cs="Arial"/>
              </w:rPr>
            </w:pPr>
            <w:r w:rsidRPr="005C7981">
              <w:rPr>
                <w:rFonts w:cs="Arial"/>
              </w:rPr>
              <w:t>Improve the uptake of walking and cycling by making active travel an attractive travel option</w:t>
            </w:r>
          </w:p>
        </w:tc>
      </w:tr>
      <w:tr w:rsidR="001B1A56" w14:paraId="2AA0F6E5" w14:textId="77777777" w:rsidTr="00AC7A3A">
        <w:tc>
          <w:tcPr>
            <w:tcW w:w="2972" w:type="dxa"/>
            <w:tcBorders>
              <w:top w:val="single" w:sz="18" w:space="0" w:color="auto"/>
              <w:right w:val="single" w:sz="18" w:space="0" w:color="auto"/>
            </w:tcBorders>
            <w:shd w:val="clear" w:color="auto" w:fill="FFE599" w:themeFill="accent4" w:themeFillTint="66"/>
          </w:tcPr>
          <w:p w14:paraId="346C1DD1" w14:textId="77777777" w:rsidR="001B1A56" w:rsidRDefault="001B1A56" w:rsidP="007B10BD">
            <w:pPr>
              <w:spacing w:before="0" w:after="0" w:line="240" w:lineRule="auto"/>
            </w:pPr>
            <w:r>
              <w:t xml:space="preserve">Health Education &amp; Awareness Objective 1 </w:t>
            </w:r>
          </w:p>
          <w:p w14:paraId="32C0BA29" w14:textId="77777777" w:rsidR="001B1A56" w:rsidRDefault="001B1A56" w:rsidP="007B10BD">
            <w:pPr>
              <w:spacing w:before="0" w:after="0" w:line="240" w:lineRule="auto"/>
            </w:pPr>
            <w:r>
              <w:t>(HEAO-1)</w:t>
            </w:r>
          </w:p>
        </w:tc>
        <w:tc>
          <w:tcPr>
            <w:tcW w:w="6044" w:type="dxa"/>
            <w:tcBorders>
              <w:top w:val="single" w:sz="18" w:space="0" w:color="auto"/>
              <w:left w:val="single" w:sz="18" w:space="0" w:color="auto"/>
              <w:bottom w:val="single" w:sz="4" w:space="0" w:color="auto"/>
            </w:tcBorders>
            <w:shd w:val="clear" w:color="auto" w:fill="FFF2CC" w:themeFill="accent4" w:themeFillTint="33"/>
          </w:tcPr>
          <w:p w14:paraId="26B28B91" w14:textId="77777777" w:rsidR="001B1A56" w:rsidRPr="005C7981" w:rsidRDefault="001B1A56" w:rsidP="007B10BD">
            <w:pPr>
              <w:spacing w:before="0" w:after="0" w:line="240" w:lineRule="auto"/>
              <w:rPr>
                <w:rFonts w:cs="Arial"/>
              </w:rPr>
            </w:pPr>
            <w:r w:rsidRPr="005C7981">
              <w:rPr>
                <w:rFonts w:cs="Arial"/>
              </w:rPr>
              <w:t>Work in partnership with communities, businesses, schools and healthcare establishments to improve air quality</w:t>
            </w:r>
          </w:p>
        </w:tc>
      </w:tr>
      <w:tr w:rsidR="001B1A56" w14:paraId="6B30DA60" w14:textId="77777777" w:rsidTr="00AC7A3A">
        <w:trPr>
          <w:trHeight w:val="72"/>
        </w:trPr>
        <w:tc>
          <w:tcPr>
            <w:tcW w:w="2972" w:type="dxa"/>
            <w:tcBorders>
              <w:right w:val="single" w:sz="18" w:space="0" w:color="auto"/>
            </w:tcBorders>
            <w:shd w:val="clear" w:color="auto" w:fill="FFE599" w:themeFill="accent4" w:themeFillTint="66"/>
          </w:tcPr>
          <w:p w14:paraId="7C2C7206" w14:textId="77777777" w:rsidR="001B1A56" w:rsidRDefault="001B1A56" w:rsidP="007B10BD">
            <w:pPr>
              <w:spacing w:before="0" w:after="0" w:line="240" w:lineRule="auto"/>
            </w:pPr>
            <w:r>
              <w:t xml:space="preserve">Health Education &amp; Awareness Objective 2 </w:t>
            </w:r>
          </w:p>
          <w:p w14:paraId="501F5148" w14:textId="77777777" w:rsidR="001B1A56" w:rsidRDefault="001B1A56" w:rsidP="007B10BD">
            <w:pPr>
              <w:spacing w:before="0" w:after="0" w:line="240" w:lineRule="auto"/>
            </w:pPr>
            <w:r>
              <w:t>(HEAO-2)</w:t>
            </w:r>
          </w:p>
        </w:tc>
        <w:tc>
          <w:tcPr>
            <w:tcW w:w="6044" w:type="dxa"/>
            <w:tcBorders>
              <w:left w:val="single" w:sz="18" w:space="0" w:color="auto"/>
            </w:tcBorders>
            <w:shd w:val="clear" w:color="auto" w:fill="FFF2CC" w:themeFill="accent4" w:themeFillTint="33"/>
          </w:tcPr>
          <w:p w14:paraId="5C7E0FCC" w14:textId="77777777" w:rsidR="001B1A56" w:rsidRPr="005C7981" w:rsidRDefault="001B1A56" w:rsidP="007B10BD">
            <w:pPr>
              <w:spacing w:before="0" w:after="0" w:line="240" w:lineRule="auto"/>
              <w:rPr>
                <w:rFonts w:cs="Arial"/>
              </w:rPr>
            </w:pPr>
            <w:r w:rsidRPr="005C7981">
              <w:rPr>
                <w:rFonts w:cs="Arial"/>
              </w:rPr>
              <w:t>Improve information dissemination to the public regarding air quality</w:t>
            </w:r>
          </w:p>
        </w:tc>
      </w:tr>
      <w:tr w:rsidR="001B1A56" w14:paraId="46C13077" w14:textId="77777777" w:rsidTr="00AC7A3A">
        <w:tc>
          <w:tcPr>
            <w:tcW w:w="2972" w:type="dxa"/>
            <w:tcBorders>
              <w:right w:val="single" w:sz="18" w:space="0" w:color="auto"/>
            </w:tcBorders>
            <w:shd w:val="clear" w:color="auto" w:fill="FFE599" w:themeFill="accent4" w:themeFillTint="66"/>
          </w:tcPr>
          <w:p w14:paraId="4C3689D6" w14:textId="77777777" w:rsidR="001B1A56" w:rsidRDefault="001B1A56" w:rsidP="007B10BD">
            <w:pPr>
              <w:spacing w:before="0" w:after="0" w:line="240" w:lineRule="auto"/>
            </w:pPr>
            <w:r>
              <w:t xml:space="preserve">Health Education &amp; Awareness Objective 3 </w:t>
            </w:r>
          </w:p>
          <w:p w14:paraId="6352C569" w14:textId="77777777" w:rsidR="001B1A56" w:rsidRDefault="001B1A56" w:rsidP="007B10BD">
            <w:pPr>
              <w:spacing w:before="0" w:after="0" w:line="240" w:lineRule="auto"/>
            </w:pPr>
            <w:r>
              <w:t>(HEAO-3)</w:t>
            </w:r>
          </w:p>
        </w:tc>
        <w:tc>
          <w:tcPr>
            <w:tcW w:w="6044" w:type="dxa"/>
            <w:tcBorders>
              <w:left w:val="single" w:sz="18" w:space="0" w:color="auto"/>
            </w:tcBorders>
            <w:shd w:val="clear" w:color="auto" w:fill="FFF2CC" w:themeFill="accent4" w:themeFillTint="33"/>
          </w:tcPr>
          <w:p w14:paraId="796C31D8" w14:textId="77777777" w:rsidR="001B1A56" w:rsidRPr="005C7981" w:rsidRDefault="001B1A56" w:rsidP="007B10BD">
            <w:pPr>
              <w:spacing w:before="0" w:after="0" w:line="240" w:lineRule="auto"/>
              <w:rPr>
                <w:rFonts w:cs="Arial"/>
              </w:rPr>
            </w:pPr>
            <w:r w:rsidRPr="005C7981">
              <w:rPr>
                <w:rFonts w:cs="Arial"/>
              </w:rPr>
              <w:t>Improve education and awareness of air quality to promote healthy choices in relation to physical activity, transport, energy efficiency, smoke control and indoor air quality.</w:t>
            </w:r>
          </w:p>
        </w:tc>
      </w:tr>
    </w:tbl>
    <w:p w14:paraId="2642824E" w14:textId="77777777" w:rsidR="00902898" w:rsidRDefault="00902898" w:rsidP="00902898">
      <w:pPr>
        <w:spacing w:before="0" w:after="0"/>
      </w:pPr>
    </w:p>
    <w:p w14:paraId="7E21065B" w14:textId="7091D919" w:rsidR="00CC1A1E" w:rsidRDefault="00CC1A1E" w:rsidP="00902898">
      <w:pPr>
        <w:spacing w:before="0" w:after="0"/>
      </w:pPr>
      <w:r>
        <w:t xml:space="preserve">In development of this AQAP, an air quality steering group was established. </w:t>
      </w:r>
    </w:p>
    <w:p w14:paraId="03AF2BCC" w14:textId="165FE994" w:rsidR="001B1A56" w:rsidRDefault="001B1A56" w:rsidP="001B1A56">
      <w:r>
        <w:t xml:space="preserve">The steering group undertook a rigorous process to identify the key actions to form the core AQAP. A large number of measures which align with the objectives above were considered, which were </w:t>
      </w:r>
      <w:r w:rsidR="00CC1A1E">
        <w:t>scoped</w:t>
      </w:r>
      <w:r>
        <w:t xml:space="preserve"> based on potential for air pollutant reduction, technical feasibility, implementation timeframe, cost, and funding source, which informed a viability score. This process resulted in a final shortlist of 26 measures, which fall into the following categories in accordance with the National Air Quality Plans: </w:t>
      </w:r>
    </w:p>
    <w:p w14:paraId="722FECF9" w14:textId="77777777" w:rsidR="001B1A56" w:rsidRPr="006A2BB5" w:rsidRDefault="001B1A56" w:rsidP="00CA4AAD">
      <w:pPr>
        <w:numPr>
          <w:ilvl w:val="0"/>
          <w:numId w:val="5"/>
        </w:numPr>
      </w:pPr>
      <w:r w:rsidRPr="006A2BB5">
        <w:t>Alternatives to private vehicle use</w:t>
      </w:r>
    </w:p>
    <w:p w14:paraId="33A311AE" w14:textId="77777777" w:rsidR="001B1A56" w:rsidRPr="006A2BB5" w:rsidRDefault="001B1A56" w:rsidP="00CA4AAD">
      <w:pPr>
        <w:numPr>
          <w:ilvl w:val="0"/>
          <w:numId w:val="5"/>
        </w:numPr>
      </w:pPr>
      <w:r w:rsidRPr="006A2BB5">
        <w:t>Policy guidance and development control</w:t>
      </w:r>
    </w:p>
    <w:p w14:paraId="11EA188E" w14:textId="77777777" w:rsidR="001B1A56" w:rsidRPr="006A2BB5" w:rsidRDefault="001B1A56" w:rsidP="00CA4AAD">
      <w:pPr>
        <w:numPr>
          <w:ilvl w:val="0"/>
          <w:numId w:val="5"/>
        </w:numPr>
      </w:pPr>
      <w:r w:rsidRPr="006A2BB5">
        <w:t>Promoting low emission transport</w:t>
      </w:r>
    </w:p>
    <w:p w14:paraId="5CBCB8FB" w14:textId="77777777" w:rsidR="001B1A56" w:rsidRPr="006A2BB5" w:rsidRDefault="001B1A56" w:rsidP="00CA4AAD">
      <w:pPr>
        <w:numPr>
          <w:ilvl w:val="0"/>
          <w:numId w:val="5"/>
        </w:numPr>
      </w:pPr>
      <w:r w:rsidRPr="006A2BB5">
        <w:t>Promoting travel alternatives</w:t>
      </w:r>
    </w:p>
    <w:p w14:paraId="4F115444" w14:textId="77777777" w:rsidR="001B1A56" w:rsidRPr="006A2BB5" w:rsidRDefault="001B1A56" w:rsidP="00CA4AAD">
      <w:pPr>
        <w:numPr>
          <w:ilvl w:val="0"/>
          <w:numId w:val="5"/>
        </w:numPr>
      </w:pPr>
      <w:r w:rsidRPr="006A2BB5">
        <w:t xml:space="preserve">Promoting low emission plant </w:t>
      </w:r>
    </w:p>
    <w:p w14:paraId="66DAA1CC" w14:textId="77777777" w:rsidR="001B1A56" w:rsidRPr="006A2BB5" w:rsidRDefault="001B1A56" w:rsidP="00CA4AAD">
      <w:pPr>
        <w:numPr>
          <w:ilvl w:val="0"/>
          <w:numId w:val="5"/>
        </w:numPr>
      </w:pPr>
      <w:r w:rsidRPr="006A2BB5">
        <w:t>Transport planning and infrastructure</w:t>
      </w:r>
    </w:p>
    <w:p w14:paraId="6C7DFAEE" w14:textId="77777777" w:rsidR="001B1A56" w:rsidRPr="006A2BB5" w:rsidRDefault="001B1A56" w:rsidP="00CA4AAD">
      <w:pPr>
        <w:numPr>
          <w:ilvl w:val="0"/>
          <w:numId w:val="5"/>
        </w:numPr>
      </w:pPr>
      <w:r w:rsidRPr="006A2BB5">
        <w:t>Traffic management</w:t>
      </w:r>
    </w:p>
    <w:p w14:paraId="1D59E65D" w14:textId="40BB4015" w:rsidR="00211D54" w:rsidRDefault="003861CA" w:rsidP="003861CA">
      <w:pPr>
        <w:pStyle w:val="Heading2"/>
        <w:numPr>
          <w:ilvl w:val="0"/>
          <w:numId w:val="0"/>
        </w:numPr>
        <w:ind w:left="570" w:hanging="567"/>
      </w:pPr>
      <w:bookmarkStart w:id="13" w:name="_Toc160129544"/>
      <w:r>
        <w:t xml:space="preserve">Scenario </w:t>
      </w:r>
      <w:r w:rsidR="00A1555E">
        <w:t>I</w:t>
      </w:r>
      <w:r>
        <w:t xml:space="preserve">mpact </w:t>
      </w:r>
      <w:r w:rsidR="00A1555E">
        <w:t>A</w:t>
      </w:r>
      <w:r>
        <w:t>ssessment</w:t>
      </w:r>
      <w:bookmarkEnd w:id="13"/>
      <w:r>
        <w:t xml:space="preserve"> </w:t>
      </w:r>
    </w:p>
    <w:p w14:paraId="7141D07E" w14:textId="2B9CF3FD" w:rsidR="00211D54" w:rsidRDefault="00211D54" w:rsidP="001B1A56">
      <w:r>
        <w:t xml:space="preserve">Following this exercise, the impact of five </w:t>
      </w:r>
      <w:r w:rsidR="0042592E">
        <w:t>measure</w:t>
      </w:r>
      <w:r w:rsidR="00EC6459">
        <w:t xml:space="preserve"> bundles </w:t>
      </w:r>
      <w:r>
        <w:t xml:space="preserve">were modelled to predict their impact on NOx concentrations. The top two </w:t>
      </w:r>
      <w:r w:rsidR="0042592E">
        <w:t>measure</w:t>
      </w:r>
      <w:r w:rsidR="00EC6459">
        <w:t xml:space="preserve"> bundles </w:t>
      </w:r>
      <w:r>
        <w:t>that had the biggest impact on NOx reduction were chosen to model PM</w:t>
      </w:r>
      <w:r w:rsidRPr="007D5CC7">
        <w:rPr>
          <w:vertAlign w:val="subscript"/>
        </w:rPr>
        <w:t>10</w:t>
      </w:r>
      <w:r>
        <w:t>, PM</w:t>
      </w:r>
      <w:r w:rsidRPr="007D5CC7">
        <w:rPr>
          <w:vertAlign w:val="subscript"/>
        </w:rPr>
        <w:t>2.5</w:t>
      </w:r>
      <w:r>
        <w:t xml:space="preserve"> and CO</w:t>
      </w:r>
      <w:r w:rsidRPr="007D5CC7">
        <w:rPr>
          <w:vertAlign w:val="subscript"/>
        </w:rPr>
        <w:t>2</w:t>
      </w:r>
      <w:r>
        <w:t xml:space="preserve"> impact, to ensure that measure delivery would </w:t>
      </w:r>
      <w:r w:rsidR="00EC6459">
        <w:t xml:space="preserve">support reductions for all pollutants. </w:t>
      </w:r>
    </w:p>
    <w:p w14:paraId="629649B1" w14:textId="555792D3" w:rsidR="00EC6459" w:rsidRDefault="00EC6459" w:rsidP="001B1A56">
      <w:r>
        <w:t xml:space="preserve">The </w:t>
      </w:r>
      <w:r w:rsidR="0042592E">
        <w:t>measure</w:t>
      </w:r>
      <w:r>
        <w:t xml:space="preserve"> bundles and the modelled concentration reductions are outlined below. Please refer to Table 5.</w:t>
      </w:r>
      <w:r w:rsidR="00AE2E6C">
        <w:t>3</w:t>
      </w:r>
      <w:r>
        <w:t xml:space="preserve"> for details on specific measures. </w:t>
      </w:r>
    </w:p>
    <w:p w14:paraId="3F2DE7A6" w14:textId="64B6DCDE" w:rsidR="00EC6459" w:rsidRDefault="00EC6459" w:rsidP="00767554">
      <w:pPr>
        <w:spacing w:before="0" w:after="0"/>
        <w:rPr>
          <w:b/>
          <w:bCs/>
        </w:rPr>
      </w:pPr>
      <w:r w:rsidRPr="00EC6459">
        <w:rPr>
          <w:b/>
          <w:bCs/>
        </w:rPr>
        <w:t>Scenario 1</w:t>
      </w:r>
      <w:r w:rsidR="003A6ECA">
        <w:rPr>
          <w:b/>
          <w:bCs/>
        </w:rPr>
        <w:t>a-1c</w:t>
      </w:r>
      <w:r w:rsidRPr="00EC6459">
        <w:rPr>
          <w:b/>
          <w:bCs/>
        </w:rPr>
        <w:t>: Modal shift to active travel and EV transition</w:t>
      </w:r>
    </w:p>
    <w:p w14:paraId="5D179CF0" w14:textId="2ED75815" w:rsidR="00CA4AAD" w:rsidRPr="00CA4AAD" w:rsidRDefault="00CA4AAD" w:rsidP="00767554">
      <w:pPr>
        <w:spacing w:before="0" w:after="0"/>
        <w:rPr>
          <w:i/>
          <w:iCs/>
        </w:rPr>
      </w:pPr>
      <w:r>
        <w:rPr>
          <w:i/>
          <w:iCs/>
        </w:rPr>
        <w:t xml:space="preserve">#1a 9.5% modal shift; #1b 9.5% modal shift + 5% BEV cars; #1c 9.5% modal shift + 10% BEV cars </w:t>
      </w:r>
    </w:p>
    <w:p w14:paraId="708085E2" w14:textId="03BD2E92" w:rsidR="00EC6459" w:rsidRDefault="00EC6459" w:rsidP="00CA4AAD">
      <w:pPr>
        <w:pStyle w:val="ListParagraph"/>
        <w:numPr>
          <w:ilvl w:val="0"/>
          <w:numId w:val="5"/>
        </w:numPr>
        <w:spacing w:before="0" w:after="0"/>
      </w:pPr>
      <w:r>
        <w:t xml:space="preserve">Measures HEA1, TM1, TM2, TM3, TM4, TM5, TM6, TM7, EM7, EM8, EM9, EM10 </w:t>
      </w:r>
    </w:p>
    <w:p w14:paraId="324D8A27" w14:textId="17E9DBFA" w:rsidR="00EC6459" w:rsidRDefault="00EC6459" w:rsidP="00CA4AAD">
      <w:pPr>
        <w:pStyle w:val="ListParagraph"/>
        <w:numPr>
          <w:ilvl w:val="0"/>
          <w:numId w:val="5"/>
        </w:numPr>
        <w:spacing w:before="0" w:after="0"/>
      </w:pPr>
      <w:r>
        <w:t>Pollutant reduction</w:t>
      </w:r>
      <w:r w:rsidR="00767554">
        <w:t xml:space="preserve"> on average across borough</w:t>
      </w:r>
      <w:r>
        <w:t>: NO</w:t>
      </w:r>
      <w:r w:rsidRPr="00503384">
        <w:rPr>
          <w:vertAlign w:val="subscript"/>
        </w:rPr>
        <w:t>2</w:t>
      </w:r>
      <w:r>
        <w:t xml:space="preserve">: </w:t>
      </w:r>
      <w:r w:rsidR="00CC1A1E">
        <w:t>-</w:t>
      </w:r>
      <w:r>
        <w:t>1.6</w:t>
      </w:r>
      <w:r w:rsidR="00D705F2">
        <w:rPr>
          <w:rFonts w:cs="Arial"/>
          <w:color w:val="0B0C0C"/>
        </w:rPr>
        <w:t>µ</w:t>
      </w:r>
      <w:r>
        <w:t>g/m</w:t>
      </w:r>
      <w:r w:rsidRPr="007B7676">
        <w:rPr>
          <w:vertAlign w:val="superscript"/>
        </w:rPr>
        <w:t>3</w:t>
      </w:r>
      <w:r>
        <w:t>; PM</w:t>
      </w:r>
      <w:r w:rsidRPr="007D5CC7">
        <w:rPr>
          <w:vertAlign w:val="subscript"/>
        </w:rPr>
        <w:t>10</w:t>
      </w:r>
      <w:r>
        <w:t xml:space="preserve">: </w:t>
      </w:r>
      <w:r w:rsidR="00CC1A1E">
        <w:t>-</w:t>
      </w:r>
      <w:r>
        <w:t>0.</w:t>
      </w:r>
      <w:r w:rsidR="003A6ECA">
        <w:t>2</w:t>
      </w:r>
      <w:r w:rsidR="00D705F2">
        <w:rPr>
          <w:rFonts w:cs="Arial"/>
          <w:color w:val="0B0C0C"/>
        </w:rPr>
        <w:t>µ</w:t>
      </w:r>
      <w:r>
        <w:t>g/m</w:t>
      </w:r>
      <w:r w:rsidRPr="007B7676">
        <w:rPr>
          <w:vertAlign w:val="superscript"/>
        </w:rPr>
        <w:t>3</w:t>
      </w:r>
      <w:r>
        <w:t>; PM</w:t>
      </w:r>
      <w:r w:rsidRPr="007D5CC7">
        <w:rPr>
          <w:vertAlign w:val="subscript"/>
        </w:rPr>
        <w:t>2.5</w:t>
      </w:r>
      <w:r>
        <w:t xml:space="preserve">: </w:t>
      </w:r>
      <w:r w:rsidR="00CC1A1E">
        <w:t>-</w:t>
      </w:r>
      <w:r>
        <w:t>0.1</w:t>
      </w:r>
      <w:r w:rsidR="00D705F2">
        <w:rPr>
          <w:rFonts w:cs="Arial"/>
          <w:color w:val="0B0C0C"/>
        </w:rPr>
        <w:t>µ</w:t>
      </w:r>
      <w:r>
        <w:t>g/m</w:t>
      </w:r>
      <w:r w:rsidRPr="007B7676">
        <w:rPr>
          <w:vertAlign w:val="superscript"/>
        </w:rPr>
        <w:t>3</w:t>
      </w:r>
      <w:r>
        <w:t>; CO</w:t>
      </w:r>
      <w:r w:rsidRPr="007B7676">
        <w:rPr>
          <w:vertAlign w:val="subscript"/>
        </w:rPr>
        <w:t>2</w:t>
      </w:r>
      <w:r>
        <w:t xml:space="preserve">: </w:t>
      </w:r>
      <w:r w:rsidR="00CC1A1E">
        <w:t>-</w:t>
      </w:r>
      <w:r>
        <w:t>102 kt (12.6%)</w:t>
      </w:r>
    </w:p>
    <w:p w14:paraId="4322E9E7" w14:textId="144F61DC" w:rsidR="00EC6459" w:rsidRDefault="00767554" w:rsidP="003A6ECA">
      <w:pPr>
        <w:spacing w:before="0" w:after="0"/>
        <w:rPr>
          <w:b/>
          <w:bCs/>
        </w:rPr>
      </w:pPr>
      <w:r>
        <w:rPr>
          <w:b/>
          <w:bCs/>
        </w:rPr>
        <w:lastRenderedPageBreak/>
        <w:t>Scenario 2</w:t>
      </w:r>
      <w:r w:rsidR="003A6ECA">
        <w:rPr>
          <w:b/>
          <w:bCs/>
        </w:rPr>
        <w:t>a-2c</w:t>
      </w:r>
      <w:r>
        <w:rPr>
          <w:b/>
          <w:bCs/>
        </w:rPr>
        <w:t xml:space="preserve">: Yew Tree Road (AQMA 4) </w:t>
      </w:r>
      <w:r w:rsidR="003A6ECA">
        <w:rPr>
          <w:b/>
          <w:bCs/>
        </w:rPr>
        <w:t xml:space="preserve">junction improvement </w:t>
      </w:r>
    </w:p>
    <w:p w14:paraId="567D07FD" w14:textId="07AC809A" w:rsidR="003A6ECA" w:rsidRDefault="003A6ECA" w:rsidP="00CA4AAD">
      <w:pPr>
        <w:pStyle w:val="ListParagraph"/>
        <w:numPr>
          <w:ilvl w:val="0"/>
          <w:numId w:val="5"/>
        </w:numPr>
        <w:spacing w:before="0" w:after="0"/>
      </w:pPr>
      <w:r>
        <w:t>Measure TM16</w:t>
      </w:r>
    </w:p>
    <w:p w14:paraId="783CBFA1" w14:textId="01A8C284" w:rsidR="003A6ECA" w:rsidRPr="003A6ECA" w:rsidRDefault="003A6ECA" w:rsidP="00CA4AAD">
      <w:pPr>
        <w:pStyle w:val="ListParagraph"/>
        <w:numPr>
          <w:ilvl w:val="0"/>
          <w:numId w:val="5"/>
        </w:numPr>
        <w:spacing w:before="0" w:after="0"/>
      </w:pPr>
      <w:r>
        <w:t>Pollutant reduction on average across Yew Tree Road area: NO</w:t>
      </w:r>
      <w:r w:rsidRPr="00503384">
        <w:rPr>
          <w:vertAlign w:val="subscript"/>
        </w:rPr>
        <w:t>2</w:t>
      </w:r>
      <w:r>
        <w:t xml:space="preserve">: </w:t>
      </w:r>
      <w:r w:rsidR="00CC1A1E">
        <w:t>-</w:t>
      </w:r>
      <w:r>
        <w:t>0.6</w:t>
      </w:r>
      <w:r w:rsidR="00D705F2">
        <w:rPr>
          <w:rFonts w:cs="Arial"/>
          <w:color w:val="0B0C0C"/>
        </w:rPr>
        <w:t>µ</w:t>
      </w:r>
      <w:r>
        <w:t>g/m</w:t>
      </w:r>
      <w:r w:rsidRPr="007B7676">
        <w:rPr>
          <w:vertAlign w:val="superscript"/>
        </w:rPr>
        <w:t>3</w:t>
      </w:r>
    </w:p>
    <w:p w14:paraId="53DF2712" w14:textId="6A58ADC0" w:rsidR="00EC6459" w:rsidRDefault="003A6ECA" w:rsidP="003A6ECA">
      <w:pPr>
        <w:spacing w:before="0" w:after="0"/>
        <w:rPr>
          <w:b/>
          <w:bCs/>
        </w:rPr>
      </w:pPr>
      <w:r>
        <w:rPr>
          <w:b/>
          <w:bCs/>
        </w:rPr>
        <w:t>Scenario 3: Minimum Euro VI HGVs and LGVs</w:t>
      </w:r>
    </w:p>
    <w:p w14:paraId="326E5C6F" w14:textId="3CC9CD8E" w:rsidR="003A6ECA" w:rsidRDefault="003A6ECA" w:rsidP="00CA4AAD">
      <w:pPr>
        <w:pStyle w:val="ListParagraph"/>
        <w:numPr>
          <w:ilvl w:val="0"/>
          <w:numId w:val="5"/>
        </w:numPr>
        <w:spacing w:before="0" w:after="0"/>
      </w:pPr>
      <w:r>
        <w:t>Measures EM3, EM4, EM5, EM6</w:t>
      </w:r>
    </w:p>
    <w:p w14:paraId="3179162B" w14:textId="65E990F7" w:rsidR="003A6ECA" w:rsidRDefault="0042592E" w:rsidP="00CA4AAD">
      <w:pPr>
        <w:pStyle w:val="ListParagraph"/>
        <w:numPr>
          <w:ilvl w:val="0"/>
          <w:numId w:val="5"/>
        </w:numPr>
        <w:spacing w:before="0" w:after="0"/>
      </w:pPr>
      <w:r>
        <w:t>NO</w:t>
      </w:r>
      <w:r w:rsidRPr="00503384">
        <w:rPr>
          <w:vertAlign w:val="subscript"/>
        </w:rPr>
        <w:t>2</w:t>
      </w:r>
      <w:r>
        <w:t xml:space="preserve"> </w:t>
      </w:r>
      <w:r w:rsidR="003A6ECA">
        <w:t xml:space="preserve">reduction on average across borough: </w:t>
      </w:r>
      <w:r w:rsidR="00CC1A1E">
        <w:t>-</w:t>
      </w:r>
      <w:r w:rsidR="003A6ECA">
        <w:t>0.5</w:t>
      </w:r>
      <w:r w:rsidR="00D705F2">
        <w:rPr>
          <w:rFonts w:cs="Arial"/>
          <w:color w:val="0B0C0C"/>
        </w:rPr>
        <w:t>µ</w:t>
      </w:r>
      <w:r w:rsidR="003A6ECA">
        <w:t>g/m</w:t>
      </w:r>
      <w:r w:rsidR="003A6ECA" w:rsidRPr="007B7676">
        <w:rPr>
          <w:vertAlign w:val="superscript"/>
        </w:rPr>
        <w:t>3</w:t>
      </w:r>
      <w:r w:rsidR="003A6ECA">
        <w:t xml:space="preserve"> </w:t>
      </w:r>
    </w:p>
    <w:p w14:paraId="0649F9DE" w14:textId="5D6C3277" w:rsidR="003A6ECA" w:rsidRPr="003A6ECA" w:rsidRDefault="003A6ECA" w:rsidP="003A6ECA">
      <w:pPr>
        <w:spacing w:after="0"/>
        <w:rPr>
          <w:b/>
          <w:bCs/>
        </w:rPr>
      </w:pPr>
      <w:r w:rsidRPr="003A6ECA">
        <w:rPr>
          <w:b/>
          <w:bCs/>
        </w:rPr>
        <w:t xml:space="preserve">Scenario 4: 100% zero emission vehicle (ZEV) buses </w:t>
      </w:r>
    </w:p>
    <w:p w14:paraId="5C2DCF79" w14:textId="1048C114" w:rsidR="00211D54" w:rsidRDefault="003A6ECA" w:rsidP="00CA4AAD">
      <w:pPr>
        <w:pStyle w:val="ListParagraph"/>
        <w:numPr>
          <w:ilvl w:val="0"/>
          <w:numId w:val="5"/>
        </w:numPr>
        <w:spacing w:before="0" w:after="0"/>
      </w:pPr>
      <w:r>
        <w:t>Measure TM13</w:t>
      </w:r>
    </w:p>
    <w:p w14:paraId="467A7471" w14:textId="3E38F6DD" w:rsidR="003A6ECA" w:rsidRDefault="0042592E" w:rsidP="00CA4AAD">
      <w:pPr>
        <w:pStyle w:val="ListParagraph"/>
        <w:numPr>
          <w:ilvl w:val="0"/>
          <w:numId w:val="5"/>
        </w:numPr>
        <w:spacing w:before="0" w:after="0"/>
      </w:pPr>
      <w:r>
        <w:t>NO</w:t>
      </w:r>
      <w:r w:rsidRPr="00503384">
        <w:rPr>
          <w:vertAlign w:val="subscript"/>
        </w:rPr>
        <w:t>2</w:t>
      </w:r>
      <w:r>
        <w:t xml:space="preserve"> </w:t>
      </w:r>
      <w:r w:rsidR="003A6ECA">
        <w:t xml:space="preserve">reduction on average across borough: </w:t>
      </w:r>
      <w:r w:rsidR="00CC1A1E">
        <w:t>-</w:t>
      </w:r>
      <w:r w:rsidR="003A6ECA">
        <w:t>0.4</w:t>
      </w:r>
      <w:r w:rsidR="00D705F2">
        <w:rPr>
          <w:rFonts w:cs="Arial"/>
          <w:color w:val="0B0C0C"/>
        </w:rPr>
        <w:t>µ</w:t>
      </w:r>
      <w:r w:rsidR="003A6ECA">
        <w:t>g/m</w:t>
      </w:r>
      <w:r w:rsidR="003A6ECA" w:rsidRPr="007D5CC7">
        <w:rPr>
          <w:vertAlign w:val="superscript"/>
        </w:rPr>
        <w:t>3</w:t>
      </w:r>
    </w:p>
    <w:p w14:paraId="31BC8FC3" w14:textId="1294022A" w:rsidR="003A6ECA" w:rsidRDefault="003A6ECA" w:rsidP="003A6ECA">
      <w:pPr>
        <w:spacing w:before="0" w:after="0"/>
        <w:rPr>
          <w:b/>
          <w:bCs/>
        </w:rPr>
      </w:pPr>
      <w:r>
        <w:rPr>
          <w:b/>
          <w:bCs/>
        </w:rPr>
        <w:t xml:space="preserve">Scenario 5: Combination of quantified AQAP borough-wide measures and 100% ZEV taxis </w:t>
      </w:r>
    </w:p>
    <w:p w14:paraId="382B46EB" w14:textId="046EA43F" w:rsidR="00CA4AAD" w:rsidRPr="00CA4AAD" w:rsidRDefault="00CA4AAD" w:rsidP="003A6ECA">
      <w:pPr>
        <w:spacing w:before="0" w:after="0"/>
        <w:rPr>
          <w:i/>
          <w:iCs/>
        </w:rPr>
      </w:pPr>
      <w:r>
        <w:rPr>
          <w:i/>
          <w:iCs/>
        </w:rPr>
        <w:t>Combination of measure #1c, #3, #4, + transition of taxi fleet to 100% ZEV</w:t>
      </w:r>
    </w:p>
    <w:p w14:paraId="1B8FC030" w14:textId="19F80AA7" w:rsidR="003A6ECA" w:rsidRDefault="0042592E" w:rsidP="00CA4AAD">
      <w:pPr>
        <w:pStyle w:val="ListParagraph"/>
        <w:numPr>
          <w:ilvl w:val="0"/>
          <w:numId w:val="5"/>
        </w:numPr>
        <w:spacing w:before="0" w:after="0"/>
      </w:pPr>
      <w:r>
        <w:t>All m</w:t>
      </w:r>
      <w:r w:rsidR="003A6ECA">
        <w:t>easures</w:t>
      </w:r>
      <w:r>
        <w:t xml:space="preserve"> </w:t>
      </w:r>
      <w:r w:rsidR="003A6ECA">
        <w:t>above (except TM16), plus EM11, EM12 and EM19</w:t>
      </w:r>
    </w:p>
    <w:p w14:paraId="14929A6B" w14:textId="5BEB22D6" w:rsidR="003A6ECA" w:rsidRDefault="003A6ECA" w:rsidP="00CA4AAD">
      <w:pPr>
        <w:pStyle w:val="ListParagraph"/>
        <w:numPr>
          <w:ilvl w:val="0"/>
          <w:numId w:val="5"/>
        </w:numPr>
        <w:spacing w:before="0" w:after="0"/>
      </w:pPr>
      <w:r>
        <w:t>Pollutant reduction on average across borough: NO</w:t>
      </w:r>
      <w:r w:rsidRPr="00503384">
        <w:rPr>
          <w:vertAlign w:val="subscript"/>
        </w:rPr>
        <w:t>2</w:t>
      </w:r>
      <w:r>
        <w:t xml:space="preserve">: </w:t>
      </w:r>
      <w:r w:rsidR="00CC1A1E">
        <w:t>-</w:t>
      </w:r>
      <w:r>
        <w:t>2.6</w:t>
      </w:r>
      <w:r w:rsidR="00D705F2">
        <w:rPr>
          <w:rFonts w:cs="Arial"/>
          <w:color w:val="0B0C0C"/>
        </w:rPr>
        <w:t>µ</w:t>
      </w:r>
      <w:r>
        <w:t>g/m</w:t>
      </w:r>
      <w:r w:rsidRPr="007B7676">
        <w:rPr>
          <w:vertAlign w:val="superscript"/>
        </w:rPr>
        <w:t>3</w:t>
      </w:r>
      <w:r>
        <w:t>; PM</w:t>
      </w:r>
      <w:r w:rsidRPr="007B7676">
        <w:rPr>
          <w:vertAlign w:val="subscript"/>
        </w:rPr>
        <w:t>10</w:t>
      </w:r>
      <w:r>
        <w:t xml:space="preserve">: </w:t>
      </w:r>
      <w:r w:rsidR="00CC1A1E">
        <w:t>-</w:t>
      </w:r>
      <w:r>
        <w:t>0.2</w:t>
      </w:r>
      <w:r w:rsidR="00D705F2">
        <w:rPr>
          <w:rFonts w:cs="Arial"/>
          <w:color w:val="0B0C0C"/>
        </w:rPr>
        <w:t>µ</w:t>
      </w:r>
      <w:r>
        <w:t>g/m</w:t>
      </w:r>
      <w:r w:rsidRPr="007B7676">
        <w:rPr>
          <w:vertAlign w:val="superscript"/>
        </w:rPr>
        <w:t>3</w:t>
      </w:r>
      <w:r>
        <w:t>; PM</w:t>
      </w:r>
      <w:r w:rsidRPr="00A23144">
        <w:rPr>
          <w:vertAlign w:val="subscript"/>
        </w:rPr>
        <w:t>2.5</w:t>
      </w:r>
      <w:r>
        <w:t xml:space="preserve">: </w:t>
      </w:r>
      <w:r w:rsidR="00CC1A1E">
        <w:t>-</w:t>
      </w:r>
      <w:r>
        <w:t>0.2</w:t>
      </w:r>
      <w:r w:rsidR="00D705F2">
        <w:rPr>
          <w:rFonts w:cs="Arial"/>
          <w:color w:val="0B0C0C"/>
        </w:rPr>
        <w:t>µ</w:t>
      </w:r>
      <w:r>
        <w:t>g/m</w:t>
      </w:r>
      <w:r w:rsidRPr="007B7676">
        <w:rPr>
          <w:vertAlign w:val="superscript"/>
        </w:rPr>
        <w:t>3</w:t>
      </w:r>
      <w:r>
        <w:t>; CO</w:t>
      </w:r>
      <w:r w:rsidRPr="007B7676">
        <w:rPr>
          <w:vertAlign w:val="subscript"/>
        </w:rPr>
        <w:t>2</w:t>
      </w:r>
      <w:r>
        <w:t xml:space="preserve">: </w:t>
      </w:r>
      <w:r w:rsidR="00CC1A1E">
        <w:t>-</w:t>
      </w:r>
      <w:r>
        <w:t>143kt (18.7%).</w:t>
      </w:r>
    </w:p>
    <w:p w14:paraId="53C56A62" w14:textId="77777777" w:rsidR="003A6ECA" w:rsidRDefault="003A6ECA" w:rsidP="003A6ECA">
      <w:pPr>
        <w:spacing w:before="0" w:after="0"/>
      </w:pPr>
    </w:p>
    <w:p w14:paraId="222B20EA" w14:textId="0FA4D217" w:rsidR="003A6ECA" w:rsidRDefault="003A6ECA" w:rsidP="003A6ECA">
      <w:pPr>
        <w:spacing w:before="0" w:after="0"/>
      </w:pPr>
      <w:r>
        <w:t>A summary of the NO</w:t>
      </w:r>
      <w:r w:rsidRPr="00503384">
        <w:rPr>
          <w:vertAlign w:val="subscript"/>
        </w:rPr>
        <w:t>2</w:t>
      </w:r>
      <w:r>
        <w:t xml:space="preserve"> reductions by AQMA (excluding </w:t>
      </w:r>
      <w:r w:rsidR="0042592E">
        <w:t>scenario</w:t>
      </w:r>
      <w:r>
        <w:t xml:space="preserve"> 2 which only affects AQMA 4) is presented in </w:t>
      </w:r>
      <w:r w:rsidR="00E34B3D">
        <w:t>Figure A</w:t>
      </w:r>
      <w:r>
        <w:t xml:space="preserve"> below. </w:t>
      </w:r>
      <w:r w:rsidR="0042592E">
        <w:t>Scenario</w:t>
      </w:r>
      <w:r>
        <w:t xml:space="preserve"> </w:t>
      </w:r>
      <w:r w:rsidR="003861CA">
        <w:t>#</w:t>
      </w:r>
      <w:r>
        <w:t xml:space="preserve">1c </w:t>
      </w:r>
      <w:r w:rsidR="00A70D86">
        <w:t xml:space="preserve">(9.5% modal shift and 10% BEVs) </w:t>
      </w:r>
      <w:r>
        <w:t xml:space="preserve">has the largest impact when compared to other </w:t>
      </w:r>
      <w:r w:rsidR="0042592E">
        <w:t>scenarios</w:t>
      </w:r>
      <w:r w:rsidR="003861CA">
        <w:t xml:space="preserve"> and is most effective on average at AQMA 2 (-2.7</w:t>
      </w:r>
      <w:r w:rsidR="00D705F2">
        <w:rPr>
          <w:rFonts w:cs="Arial"/>
          <w:color w:val="0B0C0C"/>
        </w:rPr>
        <w:t>µ</w:t>
      </w:r>
      <w:r w:rsidR="003861CA">
        <w:t>g/m</w:t>
      </w:r>
      <w:r w:rsidR="003861CA" w:rsidRPr="007B7676">
        <w:rPr>
          <w:vertAlign w:val="superscript"/>
        </w:rPr>
        <w:t>3</w:t>
      </w:r>
      <w:r w:rsidR="003861CA">
        <w:t xml:space="preserve"> NO</w:t>
      </w:r>
      <w:r w:rsidR="003861CA" w:rsidRPr="00503384">
        <w:rPr>
          <w:vertAlign w:val="subscript"/>
        </w:rPr>
        <w:t>2</w:t>
      </w:r>
      <w:r w:rsidR="003861CA">
        <w:t xml:space="preserve"> reduction)</w:t>
      </w:r>
      <w:r>
        <w:t>. Overall, the biggest improvement in emissions can be achieved through the implementation of all measures in combination</w:t>
      </w:r>
      <w:r w:rsidR="003861CA">
        <w:t xml:space="preserve"> (</w:t>
      </w:r>
      <w:r w:rsidR="0042592E">
        <w:t>scenario</w:t>
      </w:r>
      <w:r w:rsidR="003861CA">
        <w:t xml:space="preserve"> #5).</w:t>
      </w:r>
      <w:r>
        <w:t xml:space="preserve"> </w:t>
      </w:r>
    </w:p>
    <w:p w14:paraId="6A282FBB" w14:textId="7E73C25B" w:rsidR="00902898" w:rsidRPr="006132B8" w:rsidRDefault="00902898" w:rsidP="006132B8">
      <w:pPr>
        <w:pStyle w:val="Figures"/>
      </w:pPr>
      <w:bookmarkStart w:id="14" w:name="_Toc160129353"/>
      <w:r>
        <w:lastRenderedPageBreak/>
        <w:t xml:space="preserve">Figure </w:t>
      </w:r>
      <w:r w:rsidR="006132B8">
        <w:t>A</w:t>
      </w:r>
      <w:r>
        <w:t xml:space="preserve">: </w:t>
      </w:r>
      <w:r w:rsidR="006132B8">
        <w:t>Scenario impacts on NO</w:t>
      </w:r>
      <w:r w:rsidR="006132B8">
        <w:rPr>
          <w:vertAlign w:val="subscript"/>
        </w:rPr>
        <w:t>2</w:t>
      </w:r>
      <w:r w:rsidR="006132B8">
        <w:t xml:space="preserve"> at AQMAs and non-AQMA areas (industrial, kerbside/roadside, and suburban/urban background)</w:t>
      </w:r>
      <w:bookmarkEnd w:id="14"/>
    </w:p>
    <w:p w14:paraId="64AB72AA" w14:textId="6ADF331F" w:rsidR="00211D54" w:rsidRDefault="00767554" w:rsidP="001B1A56">
      <w:r>
        <w:rPr>
          <w:noProof/>
        </w:rPr>
        <w:drawing>
          <wp:inline distT="0" distB="0" distL="0" distR="0" wp14:anchorId="0FB90F18" wp14:editId="1343B40D">
            <wp:extent cx="5759450" cy="3383280"/>
            <wp:effectExtent l="0" t="0" r="12700" b="7620"/>
            <wp:docPr id="1671834816" name="Chart 1" descr="Figure A: A graph showing the impact of each measure on nitrogen dioxide concentrations. The most impactful measure is number 5, where all measures are combined. ">
              <a:extLst xmlns:a="http://schemas.openxmlformats.org/drawingml/2006/main">
                <a:ext uri="{FF2B5EF4-FFF2-40B4-BE49-F238E27FC236}">
                  <a16:creationId xmlns:a16="http://schemas.microsoft.com/office/drawing/2014/main" id="{498BB3B1-E4E9-80F1-A083-72FF7CA0B5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81064E9" w14:textId="0EF4C1BB" w:rsidR="001B1A56" w:rsidRDefault="001B1A56" w:rsidP="001B1A56">
      <w:r>
        <w:t>It should be noted however that although not all measures</w:t>
      </w:r>
      <w:r w:rsidR="003861CA">
        <w:t xml:space="preserve"> have been modelled or</w:t>
      </w:r>
      <w:r>
        <w:t xml:space="preserve"> feature within the</w:t>
      </w:r>
      <w:r w:rsidR="00FD11DA">
        <w:t xml:space="preserve"> shortlisted</w:t>
      </w:r>
      <w:r>
        <w:t xml:space="preserve"> core action plan, many of the actions shown in the long list of measures list (Appendix </w:t>
      </w:r>
      <w:r w:rsidR="00EB4D2B">
        <w:t>C</w:t>
      </w:r>
      <w:r>
        <w:t>) in combination contribute to air quality improvements, therefore the Council will endeavour to deliver all viable measures</w:t>
      </w:r>
      <w:r w:rsidR="00FD11DA">
        <w:t xml:space="preserve"> from 2024 to 2028</w:t>
      </w:r>
      <w:r w:rsidR="00A70D86">
        <w:t xml:space="preserve"> where funding and officer resource is available</w:t>
      </w:r>
      <w:r w:rsidR="00FD11DA">
        <w:t>.</w:t>
      </w:r>
      <w:r>
        <w:t xml:space="preserve"> In addition, should funding or resource become available that improves the viability of a measure, it shall be promoted to the core AQAP measures shortlist</w:t>
      </w:r>
      <w:r w:rsidR="003861CA">
        <w:t xml:space="preserve"> table</w:t>
      </w:r>
      <w:r>
        <w:t xml:space="preserve">. This shortlist shall be reviewed annually by the </w:t>
      </w:r>
      <w:r w:rsidR="00A70D86">
        <w:t>recently formed (February 2024) air quality, public health and active travel collaborative steering group ‘</w:t>
      </w:r>
      <w:r>
        <w:t>Sustainability and Health</w:t>
      </w:r>
      <w:r w:rsidR="00A70D86">
        <w:t>’</w:t>
      </w:r>
      <w:r w:rsidR="007B22AF">
        <w:t xml:space="preserve"> </w:t>
      </w:r>
      <w:r>
        <w:t>and presented within the A</w:t>
      </w:r>
      <w:r w:rsidR="00A70D86">
        <w:t>nnual Status Report (A</w:t>
      </w:r>
      <w:r>
        <w:t>SR</w:t>
      </w:r>
      <w:r w:rsidR="00A70D86">
        <w:t>)</w:t>
      </w:r>
      <w:r>
        <w:t xml:space="preserve">. </w:t>
      </w:r>
    </w:p>
    <w:p w14:paraId="638B5A86" w14:textId="741CB319" w:rsidR="00FD11DA" w:rsidRPr="00E3664B" w:rsidRDefault="001B1A56" w:rsidP="001B1A56">
      <w:r w:rsidRPr="00E3664B">
        <w:t>In this AQAP we outline how we plan to effectively tackle air quality issues within our control.</w:t>
      </w:r>
      <w:r>
        <w:t xml:space="preserve"> </w:t>
      </w:r>
      <w:r w:rsidRPr="00E3664B">
        <w:t xml:space="preserve">However, we recognise that there are a large number of air quality policy areas that are outside of our influence (such as </w:t>
      </w:r>
      <w:r>
        <w:t>vehicle emissions standards agreed in Europe), but for whi</w:t>
      </w:r>
      <w:r w:rsidRPr="00A335C4">
        <w:t>ch we may have useful evidence, and so we will continue to work with regional and central government on policies and issues beyond Slough Borough Council’s direct inf</w:t>
      </w:r>
      <w:r w:rsidRPr="00E3664B">
        <w:t>luence.</w:t>
      </w:r>
    </w:p>
    <w:p w14:paraId="4F0FFE6D" w14:textId="77777777" w:rsidR="001B1A56" w:rsidRPr="007944A9" w:rsidRDefault="001B1A56" w:rsidP="001B1A56">
      <w:pPr>
        <w:pStyle w:val="Heading2"/>
        <w:numPr>
          <w:ilvl w:val="0"/>
          <w:numId w:val="0"/>
        </w:numPr>
        <w:ind w:left="1134" w:hanging="1131"/>
      </w:pPr>
      <w:bookmarkStart w:id="15" w:name="_Toc88485992"/>
      <w:bookmarkStart w:id="16" w:name="_Toc160129545"/>
      <w:r w:rsidRPr="007944A9">
        <w:lastRenderedPageBreak/>
        <w:t>Responsibilities and Commitment</w:t>
      </w:r>
      <w:bookmarkEnd w:id="15"/>
      <w:bookmarkEnd w:id="16"/>
    </w:p>
    <w:p w14:paraId="33A06BEC" w14:textId="77777777" w:rsidR="001B1A56" w:rsidRDefault="001B1A56" w:rsidP="001B1A56">
      <w:r w:rsidRPr="00E3664B">
        <w:t>This AQAP was pre</w:t>
      </w:r>
      <w:r w:rsidRPr="00FD11DA">
        <w:t>pared by the Carbon and Sustainability Team of Slough Borough Council with the suppo</w:t>
      </w:r>
      <w:r w:rsidRPr="00E3664B">
        <w:t>rt and agreement of the following officers and departments:</w:t>
      </w:r>
    </w:p>
    <w:p w14:paraId="2C590BC9" w14:textId="77777777" w:rsidR="001B1A56" w:rsidRDefault="001B1A56" w:rsidP="00CA4AAD">
      <w:pPr>
        <w:pStyle w:val="ListParagraph"/>
        <w:numPr>
          <w:ilvl w:val="0"/>
          <w:numId w:val="8"/>
        </w:numPr>
        <w:spacing w:before="0" w:after="0"/>
      </w:pPr>
      <w:r>
        <w:t>Development Control</w:t>
      </w:r>
    </w:p>
    <w:p w14:paraId="6F25E9B2" w14:textId="77777777" w:rsidR="001B1A56" w:rsidRDefault="001B1A56" w:rsidP="00CA4AAD">
      <w:pPr>
        <w:pStyle w:val="ListParagraph"/>
        <w:numPr>
          <w:ilvl w:val="0"/>
          <w:numId w:val="8"/>
        </w:numPr>
      </w:pPr>
      <w:r>
        <w:t xml:space="preserve">Planning Policy </w:t>
      </w:r>
    </w:p>
    <w:p w14:paraId="45E6B02C" w14:textId="77777777" w:rsidR="00D428B7" w:rsidRDefault="001B1A56" w:rsidP="00CA4AAD">
      <w:pPr>
        <w:pStyle w:val="ListParagraph"/>
        <w:numPr>
          <w:ilvl w:val="0"/>
          <w:numId w:val="8"/>
        </w:numPr>
      </w:pPr>
      <w:r>
        <w:t xml:space="preserve">Transport </w:t>
      </w:r>
      <w:r w:rsidR="00D428B7">
        <w:t>Planning</w:t>
      </w:r>
    </w:p>
    <w:p w14:paraId="4820760E" w14:textId="77777777" w:rsidR="00D428B7" w:rsidRDefault="00D428B7" w:rsidP="00CA4AAD">
      <w:pPr>
        <w:pStyle w:val="ListParagraph"/>
        <w:numPr>
          <w:ilvl w:val="0"/>
          <w:numId w:val="8"/>
        </w:numPr>
      </w:pPr>
      <w:r>
        <w:t xml:space="preserve">Highways Development </w:t>
      </w:r>
    </w:p>
    <w:p w14:paraId="1C833D0A" w14:textId="1AD0303F" w:rsidR="001B1A56" w:rsidRDefault="00D428B7" w:rsidP="00CA4AAD">
      <w:pPr>
        <w:pStyle w:val="ListParagraph"/>
        <w:numPr>
          <w:ilvl w:val="0"/>
          <w:numId w:val="8"/>
        </w:numPr>
      </w:pPr>
      <w:r>
        <w:t>S</w:t>
      </w:r>
      <w:r w:rsidR="001B1A56">
        <w:t>ustainable Tra</w:t>
      </w:r>
      <w:r>
        <w:t xml:space="preserve">nsport </w:t>
      </w:r>
      <w:r w:rsidR="001B1A56">
        <w:t xml:space="preserve"> </w:t>
      </w:r>
    </w:p>
    <w:p w14:paraId="71C96758" w14:textId="77777777" w:rsidR="001B1A56" w:rsidRDefault="001B1A56" w:rsidP="00CA4AAD">
      <w:pPr>
        <w:pStyle w:val="ListParagraph"/>
        <w:numPr>
          <w:ilvl w:val="0"/>
          <w:numId w:val="8"/>
        </w:numPr>
      </w:pPr>
      <w:r>
        <w:t xml:space="preserve">Parking </w:t>
      </w:r>
    </w:p>
    <w:p w14:paraId="568E9C72" w14:textId="77777777" w:rsidR="001B1A56" w:rsidRDefault="001B1A56" w:rsidP="00CA4AAD">
      <w:pPr>
        <w:pStyle w:val="ListParagraph"/>
        <w:numPr>
          <w:ilvl w:val="0"/>
          <w:numId w:val="8"/>
        </w:numPr>
      </w:pPr>
      <w:r>
        <w:t xml:space="preserve">Carbon and Sustainability </w:t>
      </w:r>
    </w:p>
    <w:p w14:paraId="38149675" w14:textId="77777777" w:rsidR="001B1A56" w:rsidRPr="00F14047" w:rsidRDefault="001B1A56" w:rsidP="00CA4AAD">
      <w:pPr>
        <w:pStyle w:val="ListParagraph"/>
        <w:numPr>
          <w:ilvl w:val="0"/>
          <w:numId w:val="8"/>
        </w:numPr>
      </w:pPr>
      <w:r>
        <w:t>Pu</w:t>
      </w:r>
      <w:r w:rsidRPr="00F14047">
        <w:t xml:space="preserve">blic Health </w:t>
      </w:r>
    </w:p>
    <w:p w14:paraId="08DCE691" w14:textId="77777777" w:rsidR="001B1A56" w:rsidRPr="00F14047" w:rsidRDefault="001B1A56" w:rsidP="00CA4AAD">
      <w:pPr>
        <w:pStyle w:val="ListParagraph"/>
        <w:numPr>
          <w:ilvl w:val="0"/>
          <w:numId w:val="8"/>
        </w:numPr>
      </w:pPr>
      <w:r w:rsidRPr="00F14047">
        <w:t xml:space="preserve">Policy and Strategy </w:t>
      </w:r>
    </w:p>
    <w:p w14:paraId="1D85F6E9" w14:textId="50D0E191" w:rsidR="001B1A56" w:rsidRPr="00F14047" w:rsidRDefault="001B1A56" w:rsidP="001B1A56">
      <w:r w:rsidRPr="00F14047">
        <w:t>This AQAP has been approved by:</w:t>
      </w:r>
      <w:r w:rsidR="00FC2804">
        <w:t xml:space="preserve"> </w:t>
      </w:r>
      <w:r w:rsidR="00FC2804" w:rsidRPr="00FC2804">
        <w:rPr>
          <w:color w:val="FF0000"/>
        </w:rPr>
        <w:t>[to be signed off following consultation]</w:t>
      </w:r>
    </w:p>
    <w:p w14:paraId="2D98945D" w14:textId="77777777" w:rsidR="00FC2804" w:rsidRDefault="00FC2804" w:rsidP="00CA4AAD">
      <w:pPr>
        <w:pStyle w:val="ListParagraph"/>
        <w:numPr>
          <w:ilvl w:val="0"/>
          <w:numId w:val="8"/>
        </w:numPr>
        <w:rPr>
          <w:color w:val="FF0000"/>
        </w:rPr>
      </w:pPr>
      <w:r w:rsidRPr="00FC2804">
        <w:rPr>
          <w:color w:val="FF0000"/>
        </w:rPr>
        <w:t>Lead Member for the Environment, Environmental Services and Open Spaces</w:t>
      </w:r>
    </w:p>
    <w:p w14:paraId="2C085E26" w14:textId="12F72023" w:rsidR="001B1A56" w:rsidRPr="00FD11DA" w:rsidRDefault="00FC2804" w:rsidP="00CA4AAD">
      <w:pPr>
        <w:pStyle w:val="ListParagraph"/>
        <w:numPr>
          <w:ilvl w:val="0"/>
          <w:numId w:val="8"/>
        </w:numPr>
        <w:rPr>
          <w:color w:val="FF0000"/>
        </w:rPr>
      </w:pPr>
      <w:r>
        <w:rPr>
          <w:color w:val="FF0000"/>
        </w:rPr>
        <w:t xml:space="preserve">Executive Director of Housing and Property </w:t>
      </w:r>
      <w:r w:rsidR="001B1A56" w:rsidRPr="00FD11DA">
        <w:rPr>
          <w:color w:val="FF0000"/>
        </w:rPr>
        <w:t xml:space="preserve"> </w:t>
      </w:r>
    </w:p>
    <w:p w14:paraId="5810B22B" w14:textId="77777777" w:rsidR="001B1A56" w:rsidRPr="00FD11DA" w:rsidRDefault="001B1A56" w:rsidP="00CA4AAD">
      <w:pPr>
        <w:pStyle w:val="ListParagraph"/>
        <w:numPr>
          <w:ilvl w:val="0"/>
          <w:numId w:val="8"/>
        </w:numPr>
        <w:rPr>
          <w:color w:val="FF0000"/>
        </w:rPr>
      </w:pPr>
      <w:r w:rsidRPr="00FD11DA">
        <w:rPr>
          <w:color w:val="FF0000"/>
        </w:rPr>
        <w:t xml:space="preserve">Director of Public Health </w:t>
      </w:r>
    </w:p>
    <w:p w14:paraId="151EBDAA" w14:textId="77777777" w:rsidR="001B1A56" w:rsidRPr="00F14047" w:rsidRDefault="001B1A56" w:rsidP="001B1A56">
      <w:r w:rsidRPr="00F14047">
        <w:t>This AQAP will be subject to an annual review and appraisal of progress. Progress each year will be reported in the Annual Status Reports (ASRs) produced by Slough Borough Council, as part of our statutory Local Air Quality Management duties.</w:t>
      </w:r>
    </w:p>
    <w:p w14:paraId="575ECD3E" w14:textId="4631FE50" w:rsidR="001B1A56" w:rsidRPr="00F14047" w:rsidRDefault="001B1A56" w:rsidP="001B1A56">
      <w:r w:rsidRPr="00F14047">
        <w:t xml:space="preserve">If you have any comments on this AQAP please send them to </w:t>
      </w:r>
      <w:r w:rsidR="007B22AF">
        <w:t>Sophia Norfolk, Principal Environment Officer</w:t>
      </w:r>
      <w:r w:rsidRPr="00F14047">
        <w:t xml:space="preserve"> at:</w:t>
      </w:r>
    </w:p>
    <w:p w14:paraId="6AF49CFC" w14:textId="77777777" w:rsidR="001B1A56" w:rsidRPr="00F14047" w:rsidRDefault="001B1A56" w:rsidP="001B1A56">
      <w:r w:rsidRPr="00F14047">
        <w:t xml:space="preserve">Observatory House, 25 Windsor Road, Slough, SL1 2EL </w:t>
      </w:r>
    </w:p>
    <w:p w14:paraId="45376B1B" w14:textId="77777777" w:rsidR="001B1A56" w:rsidRPr="00F14047" w:rsidRDefault="001B1A56" w:rsidP="001B1A56">
      <w:r w:rsidRPr="00F14047">
        <w:t>01753 475111</w:t>
      </w:r>
    </w:p>
    <w:p w14:paraId="35FC71AA" w14:textId="21224BF0" w:rsidR="004B569D" w:rsidRDefault="001B1A56" w:rsidP="00FD11DA">
      <w:r w:rsidRPr="00F14047">
        <w:t xml:space="preserve">environmentalquality@slough.gov.uk </w:t>
      </w:r>
      <w:r w:rsidR="004B569D" w:rsidRPr="00E3664B">
        <w:br w:type="page"/>
      </w:r>
      <w:bookmarkEnd w:id="1"/>
      <w:r w:rsidR="004B569D" w:rsidRPr="00A1555E">
        <w:rPr>
          <w:b/>
          <w:bCs/>
          <w:color w:val="008938"/>
          <w:sz w:val="32"/>
          <w:szCs w:val="32"/>
        </w:rPr>
        <w:lastRenderedPageBreak/>
        <w:t xml:space="preserve">Table of </w:t>
      </w:r>
      <w:r w:rsidR="003D650D" w:rsidRPr="00A1555E">
        <w:rPr>
          <w:b/>
          <w:bCs/>
          <w:color w:val="008938"/>
          <w:sz w:val="32"/>
          <w:szCs w:val="32"/>
        </w:rPr>
        <w:t>C</w:t>
      </w:r>
      <w:r w:rsidR="004B569D" w:rsidRPr="00A1555E">
        <w:rPr>
          <w:b/>
          <w:bCs/>
          <w:color w:val="008938"/>
          <w:sz w:val="32"/>
          <w:szCs w:val="32"/>
        </w:rPr>
        <w:t>ontents</w:t>
      </w:r>
    </w:p>
    <w:p w14:paraId="00DACB34" w14:textId="60AFE88D" w:rsidR="00EB4D2B" w:rsidRDefault="00085ADD">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r w:rsidRPr="00C41398">
        <w:rPr>
          <w:rFonts w:cs="Arial"/>
          <w:sz w:val="22"/>
          <w:szCs w:val="22"/>
        </w:rPr>
        <w:fldChar w:fldCharType="begin"/>
      </w:r>
      <w:r w:rsidRPr="00C41398">
        <w:rPr>
          <w:rFonts w:cs="Arial"/>
          <w:sz w:val="22"/>
          <w:szCs w:val="22"/>
        </w:rPr>
        <w:instrText xml:space="preserve"> TOC \o "1-3" \h \z \u </w:instrText>
      </w:r>
      <w:r w:rsidRPr="00C41398">
        <w:rPr>
          <w:rFonts w:cs="Arial"/>
          <w:sz w:val="22"/>
          <w:szCs w:val="22"/>
        </w:rPr>
        <w:fldChar w:fldCharType="separate"/>
      </w:r>
      <w:hyperlink w:anchor="_Toc160129538" w:history="1">
        <w:r w:rsidR="00EB4D2B" w:rsidRPr="00A17801">
          <w:rPr>
            <w:rStyle w:val="Hyperlink"/>
            <w:noProof/>
          </w:rPr>
          <w:t>Executive Summary</w:t>
        </w:r>
        <w:r w:rsidR="00EB4D2B">
          <w:rPr>
            <w:noProof/>
            <w:webHidden/>
          </w:rPr>
          <w:tab/>
        </w:r>
        <w:r w:rsidR="00EB4D2B">
          <w:rPr>
            <w:noProof/>
            <w:webHidden/>
          </w:rPr>
          <w:fldChar w:fldCharType="begin"/>
        </w:r>
        <w:r w:rsidR="00EB4D2B">
          <w:rPr>
            <w:noProof/>
            <w:webHidden/>
          </w:rPr>
          <w:instrText xml:space="preserve"> PAGEREF _Toc160129538 \h </w:instrText>
        </w:r>
        <w:r w:rsidR="00EB4D2B">
          <w:rPr>
            <w:noProof/>
            <w:webHidden/>
          </w:rPr>
        </w:r>
        <w:r w:rsidR="00EB4D2B">
          <w:rPr>
            <w:noProof/>
            <w:webHidden/>
          </w:rPr>
          <w:fldChar w:fldCharType="separate"/>
        </w:r>
        <w:r w:rsidR="00EB4D2B">
          <w:rPr>
            <w:noProof/>
            <w:webHidden/>
          </w:rPr>
          <w:t>i</w:t>
        </w:r>
        <w:r w:rsidR="00EB4D2B">
          <w:rPr>
            <w:noProof/>
            <w:webHidden/>
          </w:rPr>
          <w:fldChar w:fldCharType="end"/>
        </w:r>
      </w:hyperlink>
    </w:p>
    <w:p w14:paraId="64B237F8" w14:textId="121B4ED4"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39" w:history="1">
        <w:r w:rsidR="00EB4D2B" w:rsidRPr="00AC7A3A">
          <w:rPr>
            <w:rStyle w:val="Hyperlink"/>
            <w:noProof/>
            <w:szCs w:val="22"/>
          </w:rPr>
          <w:t>Current Air Quality in Slough</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_Toc160129539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ii</w:t>
        </w:r>
        <w:r w:rsidR="00EB4D2B" w:rsidRPr="00AC7A3A">
          <w:rPr>
            <w:noProof/>
            <w:webHidden/>
            <w:szCs w:val="22"/>
          </w:rPr>
          <w:fldChar w:fldCharType="end"/>
        </w:r>
      </w:hyperlink>
    </w:p>
    <w:p w14:paraId="241A1A23" w14:textId="5428B2A2"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0" w:history="1">
        <w:r w:rsidR="00EB4D2B" w:rsidRPr="00AC7A3A">
          <w:rPr>
            <w:rStyle w:val="Hyperlink"/>
            <w:noProof/>
            <w:szCs w:val="22"/>
          </w:rPr>
          <w:t>AQMA Status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_Toc160129540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v</w:t>
        </w:r>
        <w:r w:rsidR="00EB4D2B" w:rsidRPr="00AC7A3A">
          <w:rPr>
            <w:noProof/>
            <w:webHidden/>
            <w:szCs w:val="22"/>
          </w:rPr>
          <w:fldChar w:fldCharType="end"/>
        </w:r>
      </w:hyperlink>
    </w:p>
    <w:p w14:paraId="18696504" w14:textId="3F483BF1"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1" w:history="1">
        <w:r w:rsidR="00EB4D2B" w:rsidRPr="00AC7A3A">
          <w:rPr>
            <w:rStyle w:val="Hyperlink"/>
            <w:noProof/>
            <w:szCs w:val="22"/>
          </w:rPr>
          <w:t>Sources of Poor Air Quality</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_Toc160129541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vi</w:t>
        </w:r>
        <w:r w:rsidR="00EB4D2B" w:rsidRPr="00AC7A3A">
          <w:rPr>
            <w:noProof/>
            <w:webHidden/>
            <w:szCs w:val="22"/>
          </w:rPr>
          <w:fldChar w:fldCharType="end"/>
        </w:r>
      </w:hyperlink>
    </w:p>
    <w:p w14:paraId="1E551C0D" w14:textId="5AA5F9CD"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2" w:history="1">
        <w:r w:rsidR="00EB4D2B" w:rsidRPr="00AC7A3A">
          <w:rPr>
            <w:rStyle w:val="Hyperlink"/>
            <w:noProof/>
            <w:szCs w:val="22"/>
          </w:rPr>
          <w:t>Air Quality Challenges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_Toc160129542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viii</w:t>
        </w:r>
        <w:r w:rsidR="00EB4D2B" w:rsidRPr="00AC7A3A">
          <w:rPr>
            <w:noProof/>
            <w:webHidden/>
            <w:szCs w:val="22"/>
          </w:rPr>
          <w:fldChar w:fldCharType="end"/>
        </w:r>
      </w:hyperlink>
    </w:p>
    <w:p w14:paraId="4221F125" w14:textId="14709BC4"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3" w:history="1">
        <w:r w:rsidR="00EB4D2B" w:rsidRPr="00AC7A3A">
          <w:rPr>
            <w:rStyle w:val="Hyperlink"/>
            <w:noProof/>
            <w:szCs w:val="22"/>
          </w:rPr>
          <w:t>Air Quality Measures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_Toc160129543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xi</w:t>
        </w:r>
        <w:r w:rsidR="00EB4D2B" w:rsidRPr="00AC7A3A">
          <w:rPr>
            <w:noProof/>
            <w:webHidden/>
            <w:szCs w:val="22"/>
          </w:rPr>
          <w:fldChar w:fldCharType="end"/>
        </w:r>
      </w:hyperlink>
    </w:p>
    <w:p w14:paraId="2B2CEACA" w14:textId="7485EEA6" w:rsidR="00EB4D2B" w:rsidRPr="00AC7A3A"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4" w:history="1">
        <w:r w:rsidR="00EB4D2B" w:rsidRPr="00AC7A3A">
          <w:rPr>
            <w:rStyle w:val="Hyperlink"/>
            <w:noProof/>
            <w:szCs w:val="22"/>
          </w:rPr>
          <w:t>Scenario Impact Assessment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_Toc160129544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xiii</w:t>
        </w:r>
        <w:r w:rsidR="00EB4D2B" w:rsidRPr="00AC7A3A">
          <w:rPr>
            <w:noProof/>
            <w:webHidden/>
            <w:szCs w:val="22"/>
          </w:rPr>
          <w:fldChar w:fldCharType="end"/>
        </w:r>
      </w:hyperlink>
    </w:p>
    <w:p w14:paraId="753812C2" w14:textId="41337069" w:rsidR="00EB4D2B" w:rsidRDefault="000F4CA1">
      <w:pPr>
        <w:pStyle w:val="TOC2"/>
        <w:tabs>
          <w:tab w:val="right" w:leader="dot" w:pos="9060"/>
        </w:tabs>
        <w:rPr>
          <w:rFonts w:asciiTheme="minorHAnsi" w:eastAsiaTheme="minorEastAsia" w:hAnsiTheme="minorHAnsi" w:cstheme="minorBidi"/>
          <w:noProof/>
          <w:kern w:val="2"/>
          <w:szCs w:val="22"/>
          <w:lang w:eastAsia="en-GB"/>
          <w14:ligatures w14:val="standardContextual"/>
        </w:rPr>
      </w:pPr>
      <w:hyperlink w:anchor="_Toc160129545" w:history="1">
        <w:r w:rsidR="00EB4D2B" w:rsidRPr="00AC7A3A">
          <w:rPr>
            <w:rStyle w:val="Hyperlink"/>
            <w:noProof/>
            <w:szCs w:val="22"/>
          </w:rPr>
          <w:t>Responsibilities and Commitment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_Toc160129545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xvi</w:t>
        </w:r>
        <w:r w:rsidR="00EB4D2B" w:rsidRPr="00AC7A3A">
          <w:rPr>
            <w:noProof/>
            <w:webHidden/>
            <w:szCs w:val="22"/>
          </w:rPr>
          <w:fldChar w:fldCharType="end"/>
        </w:r>
      </w:hyperlink>
    </w:p>
    <w:p w14:paraId="03349258" w14:textId="71AF7B65" w:rsidR="00EB4D2B" w:rsidRDefault="000F4CA1">
      <w:pPr>
        <w:pStyle w:val="TOC1"/>
        <w:tabs>
          <w:tab w:val="left" w:pos="567"/>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46" w:history="1">
        <w:r w:rsidR="00EB4D2B" w:rsidRPr="00A17801">
          <w:rPr>
            <w:rStyle w:val="Hyperlink"/>
            <w:noProof/>
          </w:rPr>
          <w:t>1</w:t>
        </w:r>
        <w:r w:rsidR="00EB4D2B">
          <w:rPr>
            <w:rFonts w:asciiTheme="minorHAnsi" w:eastAsiaTheme="minorEastAsia" w:hAnsiTheme="minorHAnsi" w:cstheme="minorBidi"/>
            <w:b w:val="0"/>
            <w:noProof/>
            <w:color w:val="auto"/>
            <w:kern w:val="2"/>
            <w:sz w:val="22"/>
            <w:szCs w:val="22"/>
            <w:lang w:eastAsia="en-GB"/>
            <w14:ligatures w14:val="standardContextual"/>
          </w:rPr>
          <w:tab/>
        </w:r>
        <w:r w:rsidR="00EB4D2B" w:rsidRPr="00A17801">
          <w:rPr>
            <w:rStyle w:val="Hyperlink"/>
            <w:noProof/>
          </w:rPr>
          <w:t>Introduction</w:t>
        </w:r>
        <w:r w:rsidR="00EB4D2B">
          <w:rPr>
            <w:noProof/>
            <w:webHidden/>
          </w:rPr>
          <w:tab/>
        </w:r>
        <w:r w:rsidR="00EB4D2B">
          <w:rPr>
            <w:noProof/>
            <w:webHidden/>
          </w:rPr>
          <w:fldChar w:fldCharType="begin"/>
        </w:r>
        <w:r w:rsidR="00EB4D2B">
          <w:rPr>
            <w:noProof/>
            <w:webHidden/>
          </w:rPr>
          <w:instrText xml:space="preserve"> PAGEREF _Toc160129546 \h </w:instrText>
        </w:r>
        <w:r w:rsidR="00EB4D2B">
          <w:rPr>
            <w:noProof/>
            <w:webHidden/>
          </w:rPr>
        </w:r>
        <w:r w:rsidR="00EB4D2B">
          <w:rPr>
            <w:noProof/>
            <w:webHidden/>
          </w:rPr>
          <w:fldChar w:fldCharType="separate"/>
        </w:r>
        <w:r w:rsidR="00EB4D2B">
          <w:rPr>
            <w:noProof/>
            <w:webHidden/>
          </w:rPr>
          <w:t>1</w:t>
        </w:r>
        <w:r w:rsidR="00EB4D2B">
          <w:rPr>
            <w:noProof/>
            <w:webHidden/>
          </w:rPr>
          <w:fldChar w:fldCharType="end"/>
        </w:r>
      </w:hyperlink>
    </w:p>
    <w:p w14:paraId="12DEE2CF" w14:textId="43DBB5BC" w:rsidR="00EB4D2B" w:rsidRDefault="000F4CA1">
      <w:pPr>
        <w:pStyle w:val="TOC1"/>
        <w:tabs>
          <w:tab w:val="left" w:pos="567"/>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47" w:history="1">
        <w:r w:rsidR="00EB4D2B" w:rsidRPr="00A17801">
          <w:rPr>
            <w:rStyle w:val="Hyperlink"/>
            <w:noProof/>
          </w:rPr>
          <w:t>2</w:t>
        </w:r>
        <w:r w:rsidR="00EB4D2B">
          <w:rPr>
            <w:rFonts w:asciiTheme="minorHAnsi" w:eastAsiaTheme="minorEastAsia" w:hAnsiTheme="minorHAnsi" w:cstheme="minorBidi"/>
            <w:b w:val="0"/>
            <w:noProof/>
            <w:color w:val="auto"/>
            <w:kern w:val="2"/>
            <w:sz w:val="22"/>
            <w:szCs w:val="22"/>
            <w:lang w:eastAsia="en-GB"/>
            <w14:ligatures w14:val="standardContextual"/>
          </w:rPr>
          <w:tab/>
        </w:r>
        <w:r w:rsidR="00EB4D2B" w:rsidRPr="00A17801">
          <w:rPr>
            <w:rStyle w:val="Hyperlink"/>
            <w:noProof/>
          </w:rPr>
          <w:t>Summary of Current Air Quality in Slough</w:t>
        </w:r>
        <w:r w:rsidR="00EB4D2B">
          <w:rPr>
            <w:noProof/>
            <w:webHidden/>
          </w:rPr>
          <w:tab/>
        </w:r>
        <w:r w:rsidR="00EB4D2B">
          <w:rPr>
            <w:noProof/>
            <w:webHidden/>
          </w:rPr>
          <w:fldChar w:fldCharType="begin"/>
        </w:r>
        <w:r w:rsidR="00EB4D2B">
          <w:rPr>
            <w:noProof/>
            <w:webHidden/>
          </w:rPr>
          <w:instrText xml:space="preserve"> PAGEREF _Toc160129547 \h </w:instrText>
        </w:r>
        <w:r w:rsidR="00EB4D2B">
          <w:rPr>
            <w:noProof/>
            <w:webHidden/>
          </w:rPr>
        </w:r>
        <w:r w:rsidR="00EB4D2B">
          <w:rPr>
            <w:noProof/>
            <w:webHidden/>
          </w:rPr>
          <w:fldChar w:fldCharType="separate"/>
        </w:r>
        <w:r w:rsidR="00EB4D2B">
          <w:rPr>
            <w:noProof/>
            <w:webHidden/>
          </w:rPr>
          <w:t>2</w:t>
        </w:r>
        <w:r w:rsidR="00EB4D2B">
          <w:rPr>
            <w:noProof/>
            <w:webHidden/>
          </w:rPr>
          <w:fldChar w:fldCharType="end"/>
        </w:r>
      </w:hyperlink>
    </w:p>
    <w:p w14:paraId="0BAFD275" w14:textId="789DC8C8"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48" w:history="1">
        <w:r w:rsidR="00EB4D2B" w:rsidRPr="00AC7A3A">
          <w:rPr>
            <w:rStyle w:val="Hyperlink"/>
            <w:noProof/>
            <w:szCs w:val="22"/>
          </w:rPr>
          <w:t>2.1</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Monitoring Network</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_Toc160129548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2</w:t>
        </w:r>
        <w:r w:rsidR="00EB4D2B" w:rsidRPr="00AC7A3A">
          <w:rPr>
            <w:noProof/>
            <w:webHidden/>
            <w:szCs w:val="22"/>
          </w:rPr>
          <w:fldChar w:fldCharType="end"/>
        </w:r>
      </w:hyperlink>
    </w:p>
    <w:p w14:paraId="73297FE8" w14:textId="7DAAAC87"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49" w:history="1">
        <w:r w:rsidR="00EB4D2B" w:rsidRPr="00AC7A3A">
          <w:rPr>
            <w:rStyle w:val="Hyperlink"/>
            <w:noProof/>
            <w:sz w:val="22"/>
            <w:szCs w:val="22"/>
          </w:rPr>
          <w:t>2.1.1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Automatic (continuous) monitoring</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_Toc160129549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w:t>
        </w:r>
        <w:r w:rsidR="00EB4D2B" w:rsidRPr="00AC7A3A">
          <w:rPr>
            <w:noProof/>
            <w:webHidden/>
            <w:sz w:val="22"/>
            <w:szCs w:val="22"/>
          </w:rPr>
          <w:fldChar w:fldCharType="end"/>
        </w:r>
      </w:hyperlink>
    </w:p>
    <w:p w14:paraId="1A1CEA55" w14:textId="2B87EE7D"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50" w:history="1">
        <w:r w:rsidR="00EB4D2B" w:rsidRPr="00AC7A3A">
          <w:rPr>
            <w:rStyle w:val="Hyperlink"/>
            <w:noProof/>
            <w:sz w:val="22"/>
            <w:szCs w:val="22"/>
          </w:rPr>
          <w:t>2.1.2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Non-automatic (passive) monitoring</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_Toc160129550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w:t>
        </w:r>
        <w:r w:rsidR="00EB4D2B" w:rsidRPr="00AC7A3A">
          <w:rPr>
            <w:noProof/>
            <w:webHidden/>
            <w:sz w:val="22"/>
            <w:szCs w:val="22"/>
          </w:rPr>
          <w:fldChar w:fldCharType="end"/>
        </w:r>
      </w:hyperlink>
    </w:p>
    <w:p w14:paraId="62568CE1" w14:textId="64F3247E"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51" w:history="1">
        <w:r w:rsidR="00EB4D2B" w:rsidRPr="00AC7A3A">
          <w:rPr>
            <w:rStyle w:val="Hyperlink"/>
            <w:noProof/>
            <w:szCs w:val="22"/>
          </w:rPr>
          <w:t>2.2</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Air Quality Management Areas (AQMAs)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_Toc160129551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5</w:t>
        </w:r>
        <w:r w:rsidR="00EB4D2B" w:rsidRPr="00AC7A3A">
          <w:rPr>
            <w:noProof/>
            <w:webHidden/>
            <w:szCs w:val="22"/>
          </w:rPr>
          <w:fldChar w:fldCharType="end"/>
        </w:r>
      </w:hyperlink>
    </w:p>
    <w:p w14:paraId="2D6770F3" w14:textId="313E76F9"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52" w:history="1">
        <w:r w:rsidR="00EB4D2B" w:rsidRPr="00AC7A3A">
          <w:rPr>
            <w:rStyle w:val="Hyperlink"/>
            <w:noProof/>
            <w:szCs w:val="22"/>
          </w:rPr>
          <w:t>2.3</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Air Quality Trends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_Toc160129552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6</w:t>
        </w:r>
        <w:r w:rsidR="00EB4D2B" w:rsidRPr="00AC7A3A">
          <w:rPr>
            <w:noProof/>
            <w:webHidden/>
            <w:szCs w:val="22"/>
          </w:rPr>
          <w:fldChar w:fldCharType="end"/>
        </w:r>
      </w:hyperlink>
    </w:p>
    <w:p w14:paraId="7464F29D" w14:textId="79CE09A3"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53" w:history="1">
        <w:r w:rsidR="00EB4D2B" w:rsidRPr="00AC7A3A">
          <w:rPr>
            <w:rStyle w:val="Hyperlink"/>
            <w:noProof/>
            <w:sz w:val="22"/>
            <w:szCs w:val="22"/>
          </w:rPr>
          <w:t>2.3.1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National Trends from 2018 to 2022</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_Toc160129553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6</w:t>
        </w:r>
        <w:r w:rsidR="00EB4D2B" w:rsidRPr="00AC7A3A">
          <w:rPr>
            <w:noProof/>
            <w:webHidden/>
            <w:sz w:val="22"/>
            <w:szCs w:val="22"/>
          </w:rPr>
          <w:fldChar w:fldCharType="end"/>
        </w:r>
      </w:hyperlink>
    </w:p>
    <w:p w14:paraId="5FBC7728" w14:textId="7685961D"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54" w:history="1">
        <w:r w:rsidR="00EB4D2B" w:rsidRPr="00AC7A3A">
          <w:rPr>
            <w:rStyle w:val="Hyperlink"/>
            <w:noProof/>
            <w:sz w:val="22"/>
            <w:szCs w:val="22"/>
          </w:rPr>
          <w:t>2.3.2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Local trends from 2018 to 2022</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_Toc160129554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8</w:t>
        </w:r>
        <w:r w:rsidR="00EB4D2B" w:rsidRPr="00AC7A3A">
          <w:rPr>
            <w:noProof/>
            <w:webHidden/>
            <w:sz w:val="22"/>
            <w:szCs w:val="22"/>
          </w:rPr>
          <w:fldChar w:fldCharType="end"/>
        </w:r>
      </w:hyperlink>
    </w:p>
    <w:p w14:paraId="5C3418C4" w14:textId="03796B06" w:rsidR="00EB4D2B"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55" w:history="1">
        <w:r w:rsidR="00EB4D2B" w:rsidRPr="00AC7A3A">
          <w:rPr>
            <w:rStyle w:val="Hyperlink"/>
            <w:noProof/>
            <w:szCs w:val="22"/>
          </w:rPr>
          <w:t>2.4</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Summary of air quality trends in Slough</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_Toc160129555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14</w:t>
        </w:r>
        <w:r w:rsidR="00EB4D2B" w:rsidRPr="00AC7A3A">
          <w:rPr>
            <w:noProof/>
            <w:webHidden/>
            <w:szCs w:val="22"/>
          </w:rPr>
          <w:fldChar w:fldCharType="end"/>
        </w:r>
      </w:hyperlink>
    </w:p>
    <w:p w14:paraId="55A6EBDF" w14:textId="672FC1A4" w:rsidR="00EB4D2B" w:rsidRDefault="000F4CA1">
      <w:pPr>
        <w:pStyle w:val="TOC1"/>
        <w:tabs>
          <w:tab w:val="left" w:pos="567"/>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56" w:history="1">
        <w:r w:rsidR="00EB4D2B" w:rsidRPr="00A17801">
          <w:rPr>
            <w:rStyle w:val="Hyperlink"/>
            <w:noProof/>
          </w:rPr>
          <w:t xml:space="preserve">3 </w:t>
        </w:r>
        <w:r w:rsidR="00EB4D2B">
          <w:rPr>
            <w:rFonts w:asciiTheme="minorHAnsi" w:eastAsiaTheme="minorEastAsia" w:hAnsiTheme="minorHAnsi" w:cstheme="minorBidi"/>
            <w:b w:val="0"/>
            <w:noProof/>
            <w:color w:val="auto"/>
            <w:kern w:val="2"/>
            <w:sz w:val="22"/>
            <w:szCs w:val="22"/>
            <w:lang w:eastAsia="en-GB"/>
            <w14:ligatures w14:val="standardContextual"/>
          </w:rPr>
          <w:tab/>
        </w:r>
        <w:r w:rsidR="00EB4D2B" w:rsidRPr="00A17801">
          <w:rPr>
            <w:rStyle w:val="Hyperlink"/>
            <w:noProof/>
          </w:rPr>
          <w:t>Slough Borough Council’s Air Quality Priorities</w:t>
        </w:r>
        <w:r w:rsidR="00EB4D2B">
          <w:rPr>
            <w:noProof/>
            <w:webHidden/>
          </w:rPr>
          <w:tab/>
        </w:r>
        <w:r w:rsidR="00EB4D2B">
          <w:rPr>
            <w:noProof/>
            <w:webHidden/>
          </w:rPr>
          <w:fldChar w:fldCharType="begin"/>
        </w:r>
        <w:r w:rsidR="00EB4D2B">
          <w:rPr>
            <w:noProof/>
            <w:webHidden/>
          </w:rPr>
          <w:instrText xml:space="preserve"> PAGEREF _Toc160129556 \h </w:instrText>
        </w:r>
        <w:r w:rsidR="00EB4D2B">
          <w:rPr>
            <w:noProof/>
            <w:webHidden/>
          </w:rPr>
        </w:r>
        <w:r w:rsidR="00EB4D2B">
          <w:rPr>
            <w:noProof/>
            <w:webHidden/>
          </w:rPr>
          <w:fldChar w:fldCharType="separate"/>
        </w:r>
        <w:r w:rsidR="00EB4D2B">
          <w:rPr>
            <w:noProof/>
            <w:webHidden/>
          </w:rPr>
          <w:t>16</w:t>
        </w:r>
        <w:r w:rsidR="00EB4D2B">
          <w:rPr>
            <w:noProof/>
            <w:webHidden/>
          </w:rPr>
          <w:fldChar w:fldCharType="end"/>
        </w:r>
      </w:hyperlink>
    </w:p>
    <w:p w14:paraId="7FB3AD96" w14:textId="5D8C5123"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57" w:history="1">
        <w:r w:rsidR="00EB4D2B" w:rsidRPr="00AC7A3A">
          <w:rPr>
            <w:rStyle w:val="Hyperlink"/>
            <w:noProof/>
            <w:szCs w:val="22"/>
          </w:rPr>
          <w:t>3.1</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Slough Context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_Toc160129557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16</w:t>
        </w:r>
        <w:r w:rsidR="00EB4D2B" w:rsidRPr="00AC7A3A">
          <w:rPr>
            <w:noProof/>
            <w:webHidden/>
            <w:szCs w:val="22"/>
          </w:rPr>
          <w:fldChar w:fldCharType="end"/>
        </w:r>
      </w:hyperlink>
    </w:p>
    <w:p w14:paraId="2B17630E" w14:textId="4A8596A7"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58" w:history="1">
        <w:r w:rsidR="00EB4D2B" w:rsidRPr="00AC7A3A">
          <w:rPr>
            <w:rStyle w:val="Hyperlink"/>
            <w:noProof/>
            <w:sz w:val="22"/>
            <w:szCs w:val="22"/>
          </w:rPr>
          <w:t>3.1.1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Population, Age and Ethnicity</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_Toc160129558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16</w:t>
        </w:r>
        <w:r w:rsidR="00EB4D2B" w:rsidRPr="00AC7A3A">
          <w:rPr>
            <w:noProof/>
            <w:webHidden/>
            <w:sz w:val="22"/>
            <w:szCs w:val="22"/>
          </w:rPr>
          <w:fldChar w:fldCharType="end"/>
        </w:r>
      </w:hyperlink>
    </w:p>
    <w:p w14:paraId="3B3FEAD3" w14:textId="7C5739BF"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59" w:history="1">
        <w:r w:rsidR="00EB4D2B" w:rsidRPr="00AC7A3A">
          <w:rPr>
            <w:rStyle w:val="Hyperlink"/>
            <w:noProof/>
            <w:sz w:val="22"/>
            <w:szCs w:val="22"/>
          </w:rPr>
          <w:t>3.1.2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Deprivation</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_Toc160129559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17</w:t>
        </w:r>
        <w:r w:rsidR="00EB4D2B" w:rsidRPr="00AC7A3A">
          <w:rPr>
            <w:noProof/>
            <w:webHidden/>
            <w:sz w:val="22"/>
            <w:szCs w:val="22"/>
          </w:rPr>
          <w:fldChar w:fldCharType="end"/>
        </w:r>
      </w:hyperlink>
    </w:p>
    <w:p w14:paraId="1E207938" w14:textId="3790FB87"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60" w:history="1">
        <w:r w:rsidR="00EB4D2B" w:rsidRPr="00AC7A3A">
          <w:rPr>
            <w:rStyle w:val="Hyperlink"/>
            <w:noProof/>
            <w:szCs w:val="22"/>
          </w:rPr>
          <w:t>3.2</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Public Health Context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_Toc160129560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19</w:t>
        </w:r>
        <w:r w:rsidR="00EB4D2B" w:rsidRPr="00AC7A3A">
          <w:rPr>
            <w:noProof/>
            <w:webHidden/>
            <w:szCs w:val="22"/>
          </w:rPr>
          <w:fldChar w:fldCharType="end"/>
        </w:r>
      </w:hyperlink>
    </w:p>
    <w:p w14:paraId="5ED727A4" w14:textId="021B951A"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1" w:history="1">
        <w:r w:rsidR="00EB4D2B" w:rsidRPr="00AC7A3A">
          <w:rPr>
            <w:rStyle w:val="Hyperlink"/>
            <w:noProof/>
            <w:sz w:val="22"/>
            <w:szCs w:val="22"/>
          </w:rPr>
          <w:t>3.2.1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Health in All Policies</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_Toc160129561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19</w:t>
        </w:r>
        <w:r w:rsidR="00EB4D2B" w:rsidRPr="00AC7A3A">
          <w:rPr>
            <w:noProof/>
            <w:webHidden/>
            <w:sz w:val="22"/>
            <w:szCs w:val="22"/>
          </w:rPr>
          <w:fldChar w:fldCharType="end"/>
        </w:r>
      </w:hyperlink>
    </w:p>
    <w:p w14:paraId="7F18B7A9" w14:textId="57B1EE06"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2" w:history="1">
        <w:r w:rsidR="00EB4D2B" w:rsidRPr="00AC7A3A">
          <w:rPr>
            <w:rStyle w:val="Hyperlink"/>
            <w:noProof/>
            <w:sz w:val="22"/>
            <w:szCs w:val="22"/>
          </w:rPr>
          <w:t>3.2.2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Additional air quality challenges</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_Toc160129562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23</w:t>
        </w:r>
        <w:r w:rsidR="00EB4D2B" w:rsidRPr="00AC7A3A">
          <w:rPr>
            <w:noProof/>
            <w:webHidden/>
            <w:sz w:val="22"/>
            <w:szCs w:val="22"/>
          </w:rPr>
          <w:fldChar w:fldCharType="end"/>
        </w:r>
      </w:hyperlink>
    </w:p>
    <w:p w14:paraId="724ABC9C" w14:textId="3EA73948"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63" w:history="1">
        <w:r w:rsidR="00EB4D2B" w:rsidRPr="00AC7A3A">
          <w:rPr>
            <w:rStyle w:val="Hyperlink"/>
            <w:noProof/>
            <w:szCs w:val="22"/>
          </w:rPr>
          <w:t>3.3</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Planning and Policy Context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_Toc160129563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26</w:t>
        </w:r>
        <w:r w:rsidR="00EB4D2B" w:rsidRPr="00AC7A3A">
          <w:rPr>
            <w:noProof/>
            <w:webHidden/>
            <w:szCs w:val="22"/>
          </w:rPr>
          <w:fldChar w:fldCharType="end"/>
        </w:r>
      </w:hyperlink>
    </w:p>
    <w:p w14:paraId="3832B45E" w14:textId="604F3275"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4" w:history="1">
        <w:r w:rsidR="00EB4D2B" w:rsidRPr="00AC7A3A">
          <w:rPr>
            <w:rStyle w:val="Hyperlink"/>
            <w:noProof/>
            <w:sz w:val="22"/>
            <w:szCs w:val="22"/>
          </w:rPr>
          <w:t>3.3.1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National Air Quality Management and Legislation</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_Toc160129564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26</w:t>
        </w:r>
        <w:r w:rsidR="00EB4D2B" w:rsidRPr="00AC7A3A">
          <w:rPr>
            <w:noProof/>
            <w:webHidden/>
            <w:sz w:val="22"/>
            <w:szCs w:val="22"/>
          </w:rPr>
          <w:fldChar w:fldCharType="end"/>
        </w:r>
      </w:hyperlink>
    </w:p>
    <w:p w14:paraId="0C3E5231" w14:textId="1B88B4CD"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5" w:history="1">
        <w:r w:rsidR="00EB4D2B" w:rsidRPr="00AC7A3A">
          <w:rPr>
            <w:rStyle w:val="Hyperlink"/>
            <w:noProof/>
            <w:sz w:val="22"/>
            <w:szCs w:val="22"/>
          </w:rPr>
          <w:t>3.3.2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Local Policy and Strategy</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_Toc160129565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31</w:t>
        </w:r>
        <w:r w:rsidR="00EB4D2B" w:rsidRPr="00AC7A3A">
          <w:rPr>
            <w:noProof/>
            <w:webHidden/>
            <w:sz w:val="22"/>
            <w:szCs w:val="22"/>
          </w:rPr>
          <w:fldChar w:fldCharType="end"/>
        </w:r>
      </w:hyperlink>
    </w:p>
    <w:p w14:paraId="4DE3E5AF" w14:textId="667716C2"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66" w:history="1">
        <w:r w:rsidR="00EB4D2B" w:rsidRPr="00AC7A3A">
          <w:rPr>
            <w:rStyle w:val="Hyperlink"/>
            <w:noProof/>
            <w:szCs w:val="22"/>
          </w:rPr>
          <w:t>3.4</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Source Apportionment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_Toc160129566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32</w:t>
        </w:r>
        <w:r w:rsidR="00EB4D2B" w:rsidRPr="00AC7A3A">
          <w:rPr>
            <w:noProof/>
            <w:webHidden/>
            <w:szCs w:val="22"/>
          </w:rPr>
          <w:fldChar w:fldCharType="end"/>
        </w:r>
      </w:hyperlink>
    </w:p>
    <w:p w14:paraId="3AEF5A25" w14:textId="6C9A4FE8"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7" w:history="1">
        <w:r w:rsidR="00EB4D2B" w:rsidRPr="00AC7A3A">
          <w:rPr>
            <w:rStyle w:val="Hyperlink"/>
            <w:noProof/>
            <w:sz w:val="22"/>
            <w:szCs w:val="22"/>
          </w:rPr>
          <w:t>3.4.1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NOx source apportionment</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_Toc160129567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33</w:t>
        </w:r>
        <w:r w:rsidR="00EB4D2B" w:rsidRPr="00AC7A3A">
          <w:rPr>
            <w:noProof/>
            <w:webHidden/>
            <w:sz w:val="22"/>
            <w:szCs w:val="22"/>
          </w:rPr>
          <w:fldChar w:fldCharType="end"/>
        </w:r>
      </w:hyperlink>
    </w:p>
    <w:p w14:paraId="0B6202AE" w14:textId="2DA2E08B"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68" w:history="1">
        <w:r w:rsidR="00EB4D2B" w:rsidRPr="00AC7A3A">
          <w:rPr>
            <w:rStyle w:val="Hyperlink"/>
            <w:noProof/>
            <w:sz w:val="22"/>
            <w:szCs w:val="22"/>
          </w:rPr>
          <w:t>3.4.2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PM</w:t>
        </w:r>
        <w:r w:rsidR="00EB4D2B" w:rsidRPr="00AC7A3A">
          <w:rPr>
            <w:rStyle w:val="Hyperlink"/>
            <w:noProof/>
            <w:sz w:val="22"/>
            <w:szCs w:val="22"/>
            <w:vertAlign w:val="subscript"/>
          </w:rPr>
          <w:t>10</w:t>
        </w:r>
        <w:r w:rsidR="00EB4D2B" w:rsidRPr="00AC7A3A">
          <w:rPr>
            <w:rStyle w:val="Hyperlink"/>
            <w:noProof/>
            <w:sz w:val="22"/>
            <w:szCs w:val="22"/>
          </w:rPr>
          <w:t xml:space="preserve"> and PM</w:t>
        </w:r>
        <w:r w:rsidR="00EB4D2B" w:rsidRPr="00AC7A3A">
          <w:rPr>
            <w:rStyle w:val="Hyperlink"/>
            <w:noProof/>
            <w:sz w:val="22"/>
            <w:szCs w:val="22"/>
            <w:vertAlign w:val="subscript"/>
          </w:rPr>
          <w:t>2.5</w:t>
        </w:r>
        <w:r w:rsidR="00EB4D2B" w:rsidRPr="00AC7A3A">
          <w:rPr>
            <w:rStyle w:val="Hyperlink"/>
            <w:noProof/>
            <w:sz w:val="22"/>
            <w:szCs w:val="22"/>
          </w:rPr>
          <w:t xml:space="preserve"> source apportionment</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_Toc160129568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35</w:t>
        </w:r>
        <w:r w:rsidR="00EB4D2B" w:rsidRPr="00AC7A3A">
          <w:rPr>
            <w:noProof/>
            <w:webHidden/>
            <w:sz w:val="22"/>
            <w:szCs w:val="22"/>
          </w:rPr>
          <w:fldChar w:fldCharType="end"/>
        </w:r>
      </w:hyperlink>
    </w:p>
    <w:p w14:paraId="4A0D7A64" w14:textId="6588B40D"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69" w:history="1">
        <w:r w:rsidR="00EB4D2B" w:rsidRPr="00AC7A3A">
          <w:rPr>
            <w:rStyle w:val="Hyperlink"/>
            <w:noProof/>
            <w:szCs w:val="22"/>
          </w:rPr>
          <w:t>3.5</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Required Reduction in Emissions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_Toc160129569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37</w:t>
        </w:r>
        <w:r w:rsidR="00EB4D2B" w:rsidRPr="00AC7A3A">
          <w:rPr>
            <w:noProof/>
            <w:webHidden/>
            <w:szCs w:val="22"/>
          </w:rPr>
          <w:fldChar w:fldCharType="end"/>
        </w:r>
      </w:hyperlink>
    </w:p>
    <w:p w14:paraId="021D3C7A" w14:textId="76BBCF44"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70" w:history="1">
        <w:r w:rsidR="00EB4D2B" w:rsidRPr="00AC7A3A">
          <w:rPr>
            <w:rStyle w:val="Hyperlink"/>
            <w:noProof/>
            <w:sz w:val="22"/>
            <w:szCs w:val="22"/>
          </w:rPr>
          <w:t>3.5.1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NOx and NO</w:t>
        </w:r>
        <w:r w:rsidR="00EB4D2B" w:rsidRPr="00AC7A3A">
          <w:rPr>
            <w:rStyle w:val="Hyperlink"/>
            <w:noProof/>
            <w:sz w:val="22"/>
            <w:szCs w:val="22"/>
            <w:vertAlign w:val="subscript"/>
          </w:rPr>
          <w:t>2</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_Toc160129570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37</w:t>
        </w:r>
        <w:r w:rsidR="00EB4D2B" w:rsidRPr="00AC7A3A">
          <w:rPr>
            <w:noProof/>
            <w:webHidden/>
            <w:sz w:val="22"/>
            <w:szCs w:val="22"/>
          </w:rPr>
          <w:fldChar w:fldCharType="end"/>
        </w:r>
      </w:hyperlink>
    </w:p>
    <w:p w14:paraId="36A5C83F" w14:textId="4A7D578A"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71" w:history="1">
        <w:r w:rsidR="00EB4D2B" w:rsidRPr="00AC7A3A">
          <w:rPr>
            <w:rStyle w:val="Hyperlink"/>
            <w:noProof/>
            <w:sz w:val="22"/>
            <w:szCs w:val="22"/>
          </w:rPr>
          <w:t>3.5.2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PM</w:t>
        </w:r>
        <w:r w:rsidR="00EB4D2B" w:rsidRPr="00AC7A3A">
          <w:rPr>
            <w:rStyle w:val="Hyperlink"/>
            <w:noProof/>
            <w:sz w:val="22"/>
            <w:szCs w:val="22"/>
            <w:vertAlign w:val="subscript"/>
          </w:rPr>
          <w:t>10</w:t>
        </w:r>
        <w:r w:rsidR="00EB4D2B" w:rsidRPr="00AC7A3A">
          <w:rPr>
            <w:rStyle w:val="Hyperlink"/>
            <w:noProof/>
            <w:sz w:val="22"/>
            <w:szCs w:val="22"/>
          </w:rPr>
          <w:t xml:space="preserve"> and PM</w:t>
        </w:r>
        <w:r w:rsidR="00EB4D2B" w:rsidRPr="00AC7A3A">
          <w:rPr>
            <w:rStyle w:val="Hyperlink"/>
            <w:noProof/>
            <w:sz w:val="22"/>
            <w:szCs w:val="22"/>
            <w:vertAlign w:val="subscript"/>
          </w:rPr>
          <w:t>2.5</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_Toc160129571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37</w:t>
        </w:r>
        <w:r w:rsidR="00EB4D2B" w:rsidRPr="00AC7A3A">
          <w:rPr>
            <w:noProof/>
            <w:webHidden/>
            <w:sz w:val="22"/>
            <w:szCs w:val="22"/>
          </w:rPr>
          <w:fldChar w:fldCharType="end"/>
        </w:r>
      </w:hyperlink>
    </w:p>
    <w:p w14:paraId="10FFEE03" w14:textId="0D13A1E8"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72" w:history="1">
        <w:r w:rsidR="00EB4D2B" w:rsidRPr="00AC7A3A">
          <w:rPr>
            <w:rStyle w:val="Hyperlink"/>
            <w:noProof/>
            <w:szCs w:val="22"/>
          </w:rPr>
          <w:t>3.6</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Key Priorities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_Toc160129572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38</w:t>
        </w:r>
        <w:r w:rsidR="00EB4D2B" w:rsidRPr="00AC7A3A">
          <w:rPr>
            <w:noProof/>
            <w:webHidden/>
            <w:szCs w:val="22"/>
          </w:rPr>
          <w:fldChar w:fldCharType="end"/>
        </w:r>
      </w:hyperlink>
    </w:p>
    <w:p w14:paraId="455A9A65" w14:textId="4D235ACC" w:rsidR="00EB4D2B" w:rsidRDefault="000F4CA1">
      <w:pPr>
        <w:pStyle w:val="TOC1"/>
        <w:tabs>
          <w:tab w:val="left" w:pos="567"/>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73" w:history="1">
        <w:r w:rsidR="00EB4D2B" w:rsidRPr="00A17801">
          <w:rPr>
            <w:rStyle w:val="Hyperlink"/>
            <w:noProof/>
          </w:rPr>
          <w:t>4</w:t>
        </w:r>
        <w:r w:rsidR="00EB4D2B">
          <w:rPr>
            <w:rFonts w:asciiTheme="minorHAnsi" w:eastAsiaTheme="minorEastAsia" w:hAnsiTheme="minorHAnsi" w:cstheme="minorBidi"/>
            <w:b w:val="0"/>
            <w:noProof/>
            <w:color w:val="auto"/>
            <w:kern w:val="2"/>
            <w:sz w:val="22"/>
            <w:szCs w:val="22"/>
            <w:lang w:eastAsia="en-GB"/>
            <w14:ligatures w14:val="standardContextual"/>
          </w:rPr>
          <w:tab/>
        </w:r>
        <w:r w:rsidR="00EB4D2B" w:rsidRPr="00A17801">
          <w:rPr>
            <w:rStyle w:val="Hyperlink"/>
            <w:noProof/>
          </w:rPr>
          <w:t>Development and Implementation of Slough Borough Council’s AQAP</w:t>
        </w:r>
        <w:r w:rsidR="00EB4D2B">
          <w:rPr>
            <w:noProof/>
            <w:webHidden/>
          </w:rPr>
          <w:tab/>
        </w:r>
        <w:r w:rsidR="00EB4D2B">
          <w:rPr>
            <w:noProof/>
            <w:webHidden/>
          </w:rPr>
          <w:fldChar w:fldCharType="begin"/>
        </w:r>
        <w:r w:rsidR="00EB4D2B">
          <w:rPr>
            <w:noProof/>
            <w:webHidden/>
          </w:rPr>
          <w:instrText xml:space="preserve"> PAGEREF _Toc160129573 \h </w:instrText>
        </w:r>
        <w:r w:rsidR="00EB4D2B">
          <w:rPr>
            <w:noProof/>
            <w:webHidden/>
          </w:rPr>
        </w:r>
        <w:r w:rsidR="00EB4D2B">
          <w:rPr>
            <w:noProof/>
            <w:webHidden/>
          </w:rPr>
          <w:fldChar w:fldCharType="separate"/>
        </w:r>
        <w:r w:rsidR="00EB4D2B">
          <w:rPr>
            <w:noProof/>
            <w:webHidden/>
          </w:rPr>
          <w:t>40</w:t>
        </w:r>
        <w:r w:rsidR="00EB4D2B">
          <w:rPr>
            <w:noProof/>
            <w:webHidden/>
          </w:rPr>
          <w:fldChar w:fldCharType="end"/>
        </w:r>
      </w:hyperlink>
    </w:p>
    <w:p w14:paraId="3FE1DC19" w14:textId="6286F0AB"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74" w:history="1">
        <w:r w:rsidR="00EB4D2B" w:rsidRPr="00AC7A3A">
          <w:rPr>
            <w:rStyle w:val="Hyperlink"/>
            <w:noProof/>
            <w:szCs w:val="22"/>
          </w:rPr>
          <w:t>4.1</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Consultation and Stakeholder Engagement</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_Toc160129574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40</w:t>
        </w:r>
        <w:r w:rsidR="00EB4D2B" w:rsidRPr="00AC7A3A">
          <w:rPr>
            <w:noProof/>
            <w:webHidden/>
            <w:szCs w:val="22"/>
          </w:rPr>
          <w:fldChar w:fldCharType="end"/>
        </w:r>
      </w:hyperlink>
    </w:p>
    <w:p w14:paraId="56C588E4" w14:textId="1723DD0F"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75" w:history="1">
        <w:r w:rsidR="00EB4D2B" w:rsidRPr="00AC7A3A">
          <w:rPr>
            <w:rStyle w:val="Hyperlink"/>
            <w:noProof/>
            <w:szCs w:val="22"/>
          </w:rPr>
          <w:t>4.2</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Steering Group</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_Toc160129575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41</w:t>
        </w:r>
        <w:r w:rsidR="00EB4D2B" w:rsidRPr="00AC7A3A">
          <w:rPr>
            <w:noProof/>
            <w:webHidden/>
            <w:szCs w:val="22"/>
          </w:rPr>
          <w:fldChar w:fldCharType="end"/>
        </w:r>
      </w:hyperlink>
    </w:p>
    <w:p w14:paraId="73217C8D" w14:textId="3C226583" w:rsidR="00EB4D2B" w:rsidRDefault="000F4CA1">
      <w:pPr>
        <w:pStyle w:val="TOC1"/>
        <w:tabs>
          <w:tab w:val="left" w:pos="567"/>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76" w:history="1">
        <w:r w:rsidR="00EB4D2B" w:rsidRPr="00A17801">
          <w:rPr>
            <w:rStyle w:val="Hyperlink"/>
            <w:noProof/>
          </w:rPr>
          <w:t>5</w:t>
        </w:r>
        <w:r w:rsidR="00EB4D2B">
          <w:rPr>
            <w:rFonts w:asciiTheme="minorHAnsi" w:eastAsiaTheme="minorEastAsia" w:hAnsiTheme="minorHAnsi" w:cstheme="minorBidi"/>
            <w:b w:val="0"/>
            <w:noProof/>
            <w:color w:val="auto"/>
            <w:kern w:val="2"/>
            <w:sz w:val="22"/>
            <w:szCs w:val="22"/>
            <w:lang w:eastAsia="en-GB"/>
            <w14:ligatures w14:val="standardContextual"/>
          </w:rPr>
          <w:tab/>
        </w:r>
        <w:r w:rsidR="00EB4D2B" w:rsidRPr="00A17801">
          <w:rPr>
            <w:rStyle w:val="Hyperlink"/>
            <w:noProof/>
          </w:rPr>
          <w:t>AQAP Measures</w:t>
        </w:r>
        <w:r w:rsidR="00EB4D2B">
          <w:rPr>
            <w:noProof/>
            <w:webHidden/>
          </w:rPr>
          <w:tab/>
        </w:r>
        <w:r w:rsidR="00EB4D2B">
          <w:rPr>
            <w:noProof/>
            <w:webHidden/>
          </w:rPr>
          <w:fldChar w:fldCharType="begin"/>
        </w:r>
        <w:r w:rsidR="00EB4D2B">
          <w:rPr>
            <w:noProof/>
            <w:webHidden/>
          </w:rPr>
          <w:instrText xml:space="preserve"> PAGEREF _Toc160129576 \h </w:instrText>
        </w:r>
        <w:r w:rsidR="00EB4D2B">
          <w:rPr>
            <w:noProof/>
            <w:webHidden/>
          </w:rPr>
        </w:r>
        <w:r w:rsidR="00EB4D2B">
          <w:rPr>
            <w:noProof/>
            <w:webHidden/>
          </w:rPr>
          <w:fldChar w:fldCharType="separate"/>
        </w:r>
        <w:r w:rsidR="00EB4D2B">
          <w:rPr>
            <w:noProof/>
            <w:webHidden/>
          </w:rPr>
          <w:t>42</w:t>
        </w:r>
        <w:r w:rsidR="00EB4D2B">
          <w:rPr>
            <w:noProof/>
            <w:webHidden/>
          </w:rPr>
          <w:fldChar w:fldCharType="end"/>
        </w:r>
      </w:hyperlink>
    </w:p>
    <w:p w14:paraId="66B41260" w14:textId="620314EE"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77" w:history="1">
        <w:r w:rsidR="00EB4D2B" w:rsidRPr="00AC7A3A">
          <w:rPr>
            <w:rStyle w:val="Hyperlink"/>
            <w:noProof/>
            <w:szCs w:val="22"/>
          </w:rPr>
          <w:t>5.1</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Measures selection process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_Toc160129577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42</w:t>
        </w:r>
        <w:r w:rsidR="00EB4D2B" w:rsidRPr="00AC7A3A">
          <w:rPr>
            <w:noProof/>
            <w:webHidden/>
            <w:szCs w:val="22"/>
          </w:rPr>
          <w:fldChar w:fldCharType="end"/>
        </w:r>
      </w:hyperlink>
    </w:p>
    <w:p w14:paraId="2531CF1C" w14:textId="709EBBBA" w:rsidR="00EB4D2B" w:rsidRPr="00AC7A3A" w:rsidRDefault="000F4CA1">
      <w:pPr>
        <w:pStyle w:val="TOC2"/>
        <w:tabs>
          <w:tab w:val="left" w:pos="1000"/>
          <w:tab w:val="right" w:leader="dot" w:pos="9060"/>
        </w:tabs>
        <w:rPr>
          <w:rFonts w:asciiTheme="minorHAnsi" w:eastAsiaTheme="minorEastAsia" w:hAnsiTheme="minorHAnsi" w:cstheme="minorBidi"/>
          <w:noProof/>
          <w:kern w:val="2"/>
          <w:szCs w:val="22"/>
          <w:lang w:eastAsia="en-GB"/>
          <w14:ligatures w14:val="standardContextual"/>
        </w:rPr>
      </w:pPr>
      <w:hyperlink w:anchor="_Toc160129578" w:history="1">
        <w:r w:rsidR="00EB4D2B" w:rsidRPr="00AC7A3A">
          <w:rPr>
            <w:rStyle w:val="Hyperlink"/>
            <w:noProof/>
            <w:szCs w:val="22"/>
          </w:rPr>
          <w:t>5.2</w:t>
        </w:r>
        <w:r w:rsidR="00EB4D2B" w:rsidRPr="00AC7A3A">
          <w:rPr>
            <w:rFonts w:asciiTheme="minorHAnsi" w:eastAsiaTheme="minorEastAsia" w:hAnsiTheme="minorHAnsi" w:cstheme="minorBidi"/>
            <w:noProof/>
            <w:kern w:val="2"/>
            <w:szCs w:val="22"/>
            <w:lang w:eastAsia="en-GB"/>
            <w14:ligatures w14:val="standardContextual"/>
          </w:rPr>
          <w:tab/>
        </w:r>
        <w:r w:rsidR="00EB4D2B" w:rsidRPr="00AC7A3A">
          <w:rPr>
            <w:rStyle w:val="Hyperlink"/>
            <w:noProof/>
            <w:szCs w:val="22"/>
          </w:rPr>
          <w:t>Summary of Measures</w:t>
        </w:r>
        <w:r w:rsidR="00EB4D2B" w:rsidRPr="00AC7A3A">
          <w:rPr>
            <w:noProof/>
            <w:webHidden/>
            <w:szCs w:val="22"/>
          </w:rPr>
          <w:tab/>
        </w:r>
        <w:r w:rsidR="00EB4D2B" w:rsidRPr="00AC7A3A">
          <w:rPr>
            <w:noProof/>
            <w:webHidden/>
            <w:szCs w:val="22"/>
          </w:rPr>
          <w:fldChar w:fldCharType="begin"/>
        </w:r>
        <w:r w:rsidR="00EB4D2B" w:rsidRPr="00AC7A3A">
          <w:rPr>
            <w:noProof/>
            <w:webHidden/>
            <w:szCs w:val="22"/>
          </w:rPr>
          <w:instrText xml:space="preserve"> PAGEREF _Toc160129578 \h </w:instrText>
        </w:r>
        <w:r w:rsidR="00EB4D2B" w:rsidRPr="00AC7A3A">
          <w:rPr>
            <w:noProof/>
            <w:webHidden/>
            <w:szCs w:val="22"/>
          </w:rPr>
        </w:r>
        <w:r w:rsidR="00EB4D2B" w:rsidRPr="00AC7A3A">
          <w:rPr>
            <w:noProof/>
            <w:webHidden/>
            <w:szCs w:val="22"/>
          </w:rPr>
          <w:fldChar w:fldCharType="separate"/>
        </w:r>
        <w:r w:rsidR="00EB4D2B" w:rsidRPr="00AC7A3A">
          <w:rPr>
            <w:noProof/>
            <w:webHidden/>
            <w:szCs w:val="22"/>
          </w:rPr>
          <w:t>45</w:t>
        </w:r>
        <w:r w:rsidR="00EB4D2B" w:rsidRPr="00AC7A3A">
          <w:rPr>
            <w:noProof/>
            <w:webHidden/>
            <w:szCs w:val="22"/>
          </w:rPr>
          <w:fldChar w:fldCharType="end"/>
        </w:r>
      </w:hyperlink>
    </w:p>
    <w:p w14:paraId="02E31DAC" w14:textId="3C359E1C"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79" w:history="1">
        <w:r w:rsidR="00EB4D2B" w:rsidRPr="00AC7A3A">
          <w:rPr>
            <w:rStyle w:val="Hyperlink"/>
            <w:noProof/>
            <w:sz w:val="22"/>
            <w:szCs w:val="22"/>
          </w:rPr>
          <w:t>5.2.1</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Environment</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_Toc160129579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45</w:t>
        </w:r>
        <w:r w:rsidR="00EB4D2B" w:rsidRPr="00AC7A3A">
          <w:rPr>
            <w:noProof/>
            <w:webHidden/>
            <w:sz w:val="22"/>
            <w:szCs w:val="22"/>
          </w:rPr>
          <w:fldChar w:fldCharType="end"/>
        </w:r>
      </w:hyperlink>
    </w:p>
    <w:p w14:paraId="5DF6014F" w14:textId="449B84E1"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80" w:history="1">
        <w:r w:rsidR="00EB4D2B" w:rsidRPr="00AC7A3A">
          <w:rPr>
            <w:rStyle w:val="Hyperlink"/>
            <w:noProof/>
            <w:sz w:val="22"/>
            <w:szCs w:val="22"/>
          </w:rPr>
          <w:t>5.2.2</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Transport</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_Toc160129580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47</w:t>
        </w:r>
        <w:r w:rsidR="00EB4D2B" w:rsidRPr="00AC7A3A">
          <w:rPr>
            <w:noProof/>
            <w:webHidden/>
            <w:sz w:val="22"/>
            <w:szCs w:val="22"/>
          </w:rPr>
          <w:fldChar w:fldCharType="end"/>
        </w:r>
      </w:hyperlink>
    </w:p>
    <w:p w14:paraId="419D2BE3" w14:textId="78FDB331" w:rsidR="00EB4D2B" w:rsidRPr="00AC7A3A" w:rsidRDefault="000F4CA1">
      <w:pPr>
        <w:pStyle w:val="TOC3"/>
        <w:tabs>
          <w:tab w:val="left" w:pos="1400"/>
          <w:tab w:val="right" w:leader="dot" w:pos="9060"/>
        </w:tabs>
        <w:rPr>
          <w:rFonts w:asciiTheme="minorHAnsi" w:eastAsiaTheme="minorEastAsia" w:hAnsiTheme="minorHAnsi" w:cstheme="minorBidi"/>
          <w:noProof/>
          <w:kern w:val="2"/>
          <w:sz w:val="22"/>
          <w:szCs w:val="22"/>
          <w:lang w:eastAsia="en-GB"/>
          <w14:ligatures w14:val="standardContextual"/>
        </w:rPr>
      </w:pPr>
      <w:hyperlink w:anchor="_Toc160129581" w:history="1">
        <w:r w:rsidR="00EB4D2B" w:rsidRPr="00AC7A3A">
          <w:rPr>
            <w:rStyle w:val="Hyperlink"/>
            <w:noProof/>
            <w:sz w:val="22"/>
            <w:szCs w:val="22"/>
          </w:rPr>
          <w:t>5.2.3</w:t>
        </w:r>
        <w:r w:rsidR="00EB4D2B" w:rsidRPr="00AC7A3A">
          <w:rPr>
            <w:rFonts w:asciiTheme="minorHAnsi" w:eastAsiaTheme="minorEastAsia" w:hAnsiTheme="minorHAnsi" w:cstheme="minorBidi"/>
            <w:noProof/>
            <w:kern w:val="2"/>
            <w:sz w:val="22"/>
            <w:szCs w:val="22"/>
            <w:lang w:eastAsia="en-GB"/>
            <w14:ligatures w14:val="standardContextual"/>
          </w:rPr>
          <w:tab/>
        </w:r>
        <w:r w:rsidR="00EB4D2B" w:rsidRPr="00AC7A3A">
          <w:rPr>
            <w:rStyle w:val="Hyperlink"/>
            <w:noProof/>
            <w:sz w:val="22"/>
            <w:szCs w:val="22"/>
          </w:rPr>
          <w:t>Health Education and Awareness</w:t>
        </w:r>
        <w:r w:rsidR="00EB4D2B" w:rsidRPr="00AC7A3A">
          <w:rPr>
            <w:noProof/>
            <w:webHidden/>
            <w:sz w:val="22"/>
            <w:szCs w:val="22"/>
          </w:rPr>
          <w:tab/>
        </w:r>
        <w:r w:rsidR="00EB4D2B" w:rsidRPr="00AC7A3A">
          <w:rPr>
            <w:noProof/>
            <w:webHidden/>
            <w:sz w:val="22"/>
            <w:szCs w:val="22"/>
          </w:rPr>
          <w:fldChar w:fldCharType="begin"/>
        </w:r>
        <w:r w:rsidR="00EB4D2B" w:rsidRPr="00AC7A3A">
          <w:rPr>
            <w:noProof/>
            <w:webHidden/>
            <w:sz w:val="22"/>
            <w:szCs w:val="22"/>
          </w:rPr>
          <w:instrText xml:space="preserve"> PAGEREF _Toc160129581 \h </w:instrText>
        </w:r>
        <w:r w:rsidR="00EB4D2B" w:rsidRPr="00AC7A3A">
          <w:rPr>
            <w:noProof/>
            <w:webHidden/>
            <w:sz w:val="22"/>
            <w:szCs w:val="22"/>
          </w:rPr>
        </w:r>
        <w:r w:rsidR="00EB4D2B" w:rsidRPr="00AC7A3A">
          <w:rPr>
            <w:noProof/>
            <w:webHidden/>
            <w:sz w:val="22"/>
            <w:szCs w:val="22"/>
          </w:rPr>
          <w:fldChar w:fldCharType="separate"/>
        </w:r>
        <w:r w:rsidR="00EB4D2B" w:rsidRPr="00AC7A3A">
          <w:rPr>
            <w:noProof/>
            <w:webHidden/>
            <w:sz w:val="22"/>
            <w:szCs w:val="22"/>
          </w:rPr>
          <w:t>50</w:t>
        </w:r>
        <w:r w:rsidR="00EB4D2B" w:rsidRPr="00AC7A3A">
          <w:rPr>
            <w:noProof/>
            <w:webHidden/>
            <w:sz w:val="22"/>
            <w:szCs w:val="22"/>
          </w:rPr>
          <w:fldChar w:fldCharType="end"/>
        </w:r>
      </w:hyperlink>
    </w:p>
    <w:p w14:paraId="45A97B6E" w14:textId="67B81A05"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82" w:history="1">
        <w:r w:rsidR="00EB4D2B" w:rsidRPr="00A17801">
          <w:rPr>
            <w:rStyle w:val="Hyperlink"/>
            <w:noProof/>
          </w:rPr>
          <w:t>Appendix A: Response to Consultation</w:t>
        </w:r>
        <w:r w:rsidR="00EB4D2B">
          <w:rPr>
            <w:noProof/>
            <w:webHidden/>
          </w:rPr>
          <w:tab/>
        </w:r>
        <w:r w:rsidR="00EB4D2B">
          <w:rPr>
            <w:noProof/>
            <w:webHidden/>
          </w:rPr>
          <w:fldChar w:fldCharType="begin"/>
        </w:r>
        <w:r w:rsidR="00EB4D2B">
          <w:rPr>
            <w:noProof/>
            <w:webHidden/>
          </w:rPr>
          <w:instrText xml:space="preserve"> PAGEREF _Toc160129582 \h </w:instrText>
        </w:r>
        <w:r w:rsidR="00EB4D2B">
          <w:rPr>
            <w:noProof/>
            <w:webHidden/>
          </w:rPr>
        </w:r>
        <w:r w:rsidR="00EB4D2B">
          <w:rPr>
            <w:noProof/>
            <w:webHidden/>
          </w:rPr>
          <w:fldChar w:fldCharType="separate"/>
        </w:r>
        <w:r w:rsidR="00EB4D2B">
          <w:rPr>
            <w:noProof/>
            <w:webHidden/>
          </w:rPr>
          <w:t>56</w:t>
        </w:r>
        <w:r w:rsidR="00EB4D2B">
          <w:rPr>
            <w:noProof/>
            <w:webHidden/>
          </w:rPr>
          <w:fldChar w:fldCharType="end"/>
        </w:r>
      </w:hyperlink>
    </w:p>
    <w:p w14:paraId="11F10E3E" w14:textId="0FDCF143"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83" w:history="1">
        <w:r w:rsidR="00EB4D2B" w:rsidRPr="00A17801">
          <w:rPr>
            <w:rStyle w:val="Hyperlink"/>
            <w:noProof/>
          </w:rPr>
          <w:t>Appendix B: Reasons for Not Pursuing Action Plan Measures</w:t>
        </w:r>
        <w:r w:rsidR="00EB4D2B">
          <w:rPr>
            <w:noProof/>
            <w:webHidden/>
          </w:rPr>
          <w:tab/>
        </w:r>
        <w:r w:rsidR="00EB4D2B">
          <w:rPr>
            <w:noProof/>
            <w:webHidden/>
          </w:rPr>
          <w:fldChar w:fldCharType="begin"/>
        </w:r>
        <w:r w:rsidR="00EB4D2B">
          <w:rPr>
            <w:noProof/>
            <w:webHidden/>
          </w:rPr>
          <w:instrText xml:space="preserve"> PAGEREF _Toc160129583 \h </w:instrText>
        </w:r>
        <w:r w:rsidR="00EB4D2B">
          <w:rPr>
            <w:noProof/>
            <w:webHidden/>
          </w:rPr>
        </w:r>
        <w:r w:rsidR="00EB4D2B">
          <w:rPr>
            <w:noProof/>
            <w:webHidden/>
          </w:rPr>
          <w:fldChar w:fldCharType="separate"/>
        </w:r>
        <w:r w:rsidR="00EB4D2B">
          <w:rPr>
            <w:noProof/>
            <w:webHidden/>
          </w:rPr>
          <w:t>57</w:t>
        </w:r>
        <w:r w:rsidR="00EB4D2B">
          <w:rPr>
            <w:noProof/>
            <w:webHidden/>
          </w:rPr>
          <w:fldChar w:fldCharType="end"/>
        </w:r>
      </w:hyperlink>
    </w:p>
    <w:p w14:paraId="67BC2DD9" w14:textId="785EF642"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84" w:history="1">
        <w:r w:rsidR="00EB4D2B" w:rsidRPr="00A17801">
          <w:rPr>
            <w:rStyle w:val="Hyperlink"/>
            <w:noProof/>
          </w:rPr>
          <w:t>Appendix C: Full Measures and Matrix Scoring</w:t>
        </w:r>
        <w:r w:rsidR="00EB4D2B">
          <w:rPr>
            <w:noProof/>
            <w:webHidden/>
          </w:rPr>
          <w:tab/>
        </w:r>
        <w:r w:rsidR="00EB4D2B">
          <w:rPr>
            <w:noProof/>
            <w:webHidden/>
          </w:rPr>
          <w:fldChar w:fldCharType="begin"/>
        </w:r>
        <w:r w:rsidR="00EB4D2B">
          <w:rPr>
            <w:noProof/>
            <w:webHidden/>
          </w:rPr>
          <w:instrText xml:space="preserve"> PAGEREF _Toc160129584 \h </w:instrText>
        </w:r>
        <w:r w:rsidR="00EB4D2B">
          <w:rPr>
            <w:noProof/>
            <w:webHidden/>
          </w:rPr>
        </w:r>
        <w:r w:rsidR="00EB4D2B">
          <w:rPr>
            <w:noProof/>
            <w:webHidden/>
          </w:rPr>
          <w:fldChar w:fldCharType="separate"/>
        </w:r>
        <w:r w:rsidR="00EB4D2B">
          <w:rPr>
            <w:noProof/>
            <w:webHidden/>
          </w:rPr>
          <w:t>60</w:t>
        </w:r>
        <w:r w:rsidR="00EB4D2B">
          <w:rPr>
            <w:noProof/>
            <w:webHidden/>
          </w:rPr>
          <w:fldChar w:fldCharType="end"/>
        </w:r>
      </w:hyperlink>
    </w:p>
    <w:p w14:paraId="3937C90E" w14:textId="5BBEA361"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585" w:history="1">
        <w:r w:rsidR="00EB4D2B" w:rsidRPr="00A17801">
          <w:rPr>
            <w:rStyle w:val="Hyperlink"/>
            <w:noProof/>
          </w:rPr>
          <w:t>Appendix D: 2022 Baseline Model, Source Apportionment and Scenario Modelling Study</w:t>
        </w:r>
        <w:r w:rsidR="00EB4D2B">
          <w:rPr>
            <w:noProof/>
            <w:webHidden/>
          </w:rPr>
          <w:tab/>
        </w:r>
        <w:r w:rsidR="00EB4D2B">
          <w:rPr>
            <w:noProof/>
            <w:webHidden/>
          </w:rPr>
          <w:fldChar w:fldCharType="begin"/>
        </w:r>
        <w:r w:rsidR="00EB4D2B">
          <w:rPr>
            <w:noProof/>
            <w:webHidden/>
          </w:rPr>
          <w:instrText xml:space="preserve"> PAGEREF _Toc160129585 \h </w:instrText>
        </w:r>
        <w:r w:rsidR="00EB4D2B">
          <w:rPr>
            <w:noProof/>
            <w:webHidden/>
          </w:rPr>
        </w:r>
        <w:r w:rsidR="00EB4D2B">
          <w:rPr>
            <w:noProof/>
            <w:webHidden/>
          </w:rPr>
          <w:fldChar w:fldCharType="separate"/>
        </w:r>
        <w:r w:rsidR="00EB4D2B">
          <w:rPr>
            <w:noProof/>
            <w:webHidden/>
          </w:rPr>
          <w:t>74</w:t>
        </w:r>
        <w:r w:rsidR="00EB4D2B">
          <w:rPr>
            <w:noProof/>
            <w:webHidden/>
          </w:rPr>
          <w:fldChar w:fldCharType="end"/>
        </w:r>
      </w:hyperlink>
    </w:p>
    <w:p w14:paraId="6B7681ED" w14:textId="188467E7"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12" w:history="1">
        <w:r w:rsidR="00EB4D2B" w:rsidRPr="00A17801">
          <w:rPr>
            <w:rStyle w:val="Hyperlink"/>
            <w:noProof/>
          </w:rPr>
          <w:t>Appendix E: Evidence Base</w:t>
        </w:r>
        <w:r w:rsidR="00EB4D2B">
          <w:rPr>
            <w:noProof/>
            <w:webHidden/>
          </w:rPr>
          <w:tab/>
        </w:r>
        <w:r w:rsidR="00EB4D2B">
          <w:rPr>
            <w:noProof/>
            <w:webHidden/>
          </w:rPr>
          <w:fldChar w:fldCharType="begin"/>
        </w:r>
        <w:r w:rsidR="00EB4D2B">
          <w:rPr>
            <w:noProof/>
            <w:webHidden/>
          </w:rPr>
          <w:instrText xml:space="preserve"> PAGEREF _Toc160129612 \h </w:instrText>
        </w:r>
        <w:r w:rsidR="00EB4D2B">
          <w:rPr>
            <w:noProof/>
            <w:webHidden/>
          </w:rPr>
        </w:r>
        <w:r w:rsidR="00EB4D2B">
          <w:rPr>
            <w:noProof/>
            <w:webHidden/>
          </w:rPr>
          <w:fldChar w:fldCharType="separate"/>
        </w:r>
        <w:r w:rsidR="00EB4D2B">
          <w:rPr>
            <w:noProof/>
            <w:webHidden/>
          </w:rPr>
          <w:t>109</w:t>
        </w:r>
        <w:r w:rsidR="00EB4D2B">
          <w:rPr>
            <w:noProof/>
            <w:webHidden/>
          </w:rPr>
          <w:fldChar w:fldCharType="end"/>
        </w:r>
      </w:hyperlink>
    </w:p>
    <w:p w14:paraId="3C634367" w14:textId="7A58BF70"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13" w:history="1">
        <w:r w:rsidR="00EB4D2B" w:rsidRPr="00A17801">
          <w:rPr>
            <w:rStyle w:val="Hyperlink"/>
            <w:noProof/>
          </w:rPr>
          <w:t>E.1 Local Policy Review</w:t>
        </w:r>
        <w:r w:rsidR="00EB4D2B">
          <w:rPr>
            <w:noProof/>
            <w:webHidden/>
          </w:rPr>
          <w:tab/>
        </w:r>
        <w:r w:rsidR="00EB4D2B">
          <w:rPr>
            <w:noProof/>
            <w:webHidden/>
          </w:rPr>
          <w:fldChar w:fldCharType="begin"/>
        </w:r>
        <w:r w:rsidR="00EB4D2B">
          <w:rPr>
            <w:noProof/>
            <w:webHidden/>
          </w:rPr>
          <w:instrText xml:space="preserve"> PAGEREF _Toc160129613 \h </w:instrText>
        </w:r>
        <w:r w:rsidR="00EB4D2B">
          <w:rPr>
            <w:noProof/>
            <w:webHidden/>
          </w:rPr>
        </w:r>
        <w:r w:rsidR="00EB4D2B">
          <w:rPr>
            <w:noProof/>
            <w:webHidden/>
          </w:rPr>
          <w:fldChar w:fldCharType="separate"/>
        </w:r>
        <w:r w:rsidR="00EB4D2B">
          <w:rPr>
            <w:noProof/>
            <w:webHidden/>
          </w:rPr>
          <w:t>109</w:t>
        </w:r>
        <w:r w:rsidR="00EB4D2B">
          <w:rPr>
            <w:noProof/>
            <w:webHidden/>
          </w:rPr>
          <w:fldChar w:fldCharType="end"/>
        </w:r>
      </w:hyperlink>
    </w:p>
    <w:p w14:paraId="55805515" w14:textId="715043C5"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26" w:history="1">
        <w:r w:rsidR="00EB4D2B" w:rsidRPr="00A17801">
          <w:rPr>
            <w:rStyle w:val="Hyperlink"/>
            <w:noProof/>
          </w:rPr>
          <w:t>E.2 Behaviours and Attitudes Towards Healthy Choices: Prior Consultation Review</w:t>
        </w:r>
        <w:r w:rsidR="00EB4D2B">
          <w:rPr>
            <w:noProof/>
            <w:webHidden/>
          </w:rPr>
          <w:tab/>
        </w:r>
        <w:r w:rsidR="00EB4D2B">
          <w:rPr>
            <w:noProof/>
            <w:webHidden/>
          </w:rPr>
          <w:fldChar w:fldCharType="begin"/>
        </w:r>
        <w:r w:rsidR="00EB4D2B">
          <w:rPr>
            <w:noProof/>
            <w:webHidden/>
          </w:rPr>
          <w:instrText xml:space="preserve"> PAGEREF _Toc160129626 \h </w:instrText>
        </w:r>
        <w:r w:rsidR="00EB4D2B">
          <w:rPr>
            <w:noProof/>
            <w:webHidden/>
          </w:rPr>
        </w:r>
        <w:r w:rsidR="00EB4D2B">
          <w:rPr>
            <w:noProof/>
            <w:webHidden/>
          </w:rPr>
          <w:fldChar w:fldCharType="separate"/>
        </w:r>
        <w:r w:rsidR="00EB4D2B">
          <w:rPr>
            <w:noProof/>
            <w:webHidden/>
          </w:rPr>
          <w:t>134</w:t>
        </w:r>
        <w:r w:rsidR="00EB4D2B">
          <w:rPr>
            <w:noProof/>
            <w:webHidden/>
          </w:rPr>
          <w:fldChar w:fldCharType="end"/>
        </w:r>
      </w:hyperlink>
    </w:p>
    <w:p w14:paraId="7C17F957" w14:textId="37289071"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50" w:history="1">
        <w:r w:rsidR="00EB4D2B" w:rsidRPr="00A17801">
          <w:rPr>
            <w:rStyle w:val="Hyperlink"/>
            <w:noProof/>
          </w:rPr>
          <w:t>E.3: Behaviours and Attitudes Towards Healthy Choices: Census Data</w:t>
        </w:r>
        <w:r w:rsidR="00EB4D2B">
          <w:rPr>
            <w:noProof/>
            <w:webHidden/>
          </w:rPr>
          <w:tab/>
        </w:r>
        <w:r w:rsidR="00EB4D2B">
          <w:rPr>
            <w:noProof/>
            <w:webHidden/>
          </w:rPr>
          <w:fldChar w:fldCharType="begin"/>
        </w:r>
        <w:r w:rsidR="00EB4D2B">
          <w:rPr>
            <w:noProof/>
            <w:webHidden/>
          </w:rPr>
          <w:instrText xml:space="preserve"> PAGEREF _Toc160129650 \h </w:instrText>
        </w:r>
        <w:r w:rsidR="00EB4D2B">
          <w:rPr>
            <w:noProof/>
            <w:webHidden/>
          </w:rPr>
        </w:r>
        <w:r w:rsidR="00EB4D2B">
          <w:rPr>
            <w:noProof/>
            <w:webHidden/>
          </w:rPr>
          <w:fldChar w:fldCharType="separate"/>
        </w:r>
        <w:r w:rsidR="00EB4D2B">
          <w:rPr>
            <w:noProof/>
            <w:webHidden/>
          </w:rPr>
          <w:t>173</w:t>
        </w:r>
        <w:r w:rsidR="00EB4D2B">
          <w:rPr>
            <w:noProof/>
            <w:webHidden/>
          </w:rPr>
          <w:fldChar w:fldCharType="end"/>
        </w:r>
      </w:hyperlink>
    </w:p>
    <w:p w14:paraId="6F6FFB69" w14:textId="3FEFED99"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54" w:history="1">
        <w:r w:rsidR="00EB4D2B" w:rsidRPr="00A17801">
          <w:rPr>
            <w:rStyle w:val="Hyperlink"/>
            <w:noProof/>
          </w:rPr>
          <w:t>Appendix F: Maps</w:t>
        </w:r>
        <w:r w:rsidR="00EB4D2B">
          <w:rPr>
            <w:noProof/>
            <w:webHidden/>
          </w:rPr>
          <w:tab/>
        </w:r>
        <w:r w:rsidR="00EB4D2B">
          <w:rPr>
            <w:noProof/>
            <w:webHidden/>
          </w:rPr>
          <w:fldChar w:fldCharType="begin"/>
        </w:r>
        <w:r w:rsidR="00EB4D2B">
          <w:rPr>
            <w:noProof/>
            <w:webHidden/>
          </w:rPr>
          <w:instrText xml:space="preserve"> PAGEREF _Toc160129654 \h </w:instrText>
        </w:r>
        <w:r w:rsidR="00EB4D2B">
          <w:rPr>
            <w:noProof/>
            <w:webHidden/>
          </w:rPr>
        </w:r>
        <w:r w:rsidR="00EB4D2B">
          <w:rPr>
            <w:noProof/>
            <w:webHidden/>
          </w:rPr>
          <w:fldChar w:fldCharType="separate"/>
        </w:r>
        <w:r w:rsidR="00EB4D2B">
          <w:rPr>
            <w:noProof/>
            <w:webHidden/>
          </w:rPr>
          <w:t>185</w:t>
        </w:r>
        <w:r w:rsidR="00EB4D2B">
          <w:rPr>
            <w:noProof/>
            <w:webHidden/>
          </w:rPr>
          <w:fldChar w:fldCharType="end"/>
        </w:r>
      </w:hyperlink>
    </w:p>
    <w:p w14:paraId="360CDDA3" w14:textId="0A20F456"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55" w:history="1">
        <w:r w:rsidR="00EB4D2B" w:rsidRPr="00A17801">
          <w:rPr>
            <w:rStyle w:val="Hyperlink"/>
            <w:noProof/>
          </w:rPr>
          <w:t>Appendix G: Air Quality Objectives</w:t>
        </w:r>
        <w:r w:rsidR="00EB4D2B">
          <w:rPr>
            <w:noProof/>
            <w:webHidden/>
          </w:rPr>
          <w:tab/>
        </w:r>
        <w:r w:rsidR="00EB4D2B">
          <w:rPr>
            <w:noProof/>
            <w:webHidden/>
          </w:rPr>
          <w:fldChar w:fldCharType="begin"/>
        </w:r>
        <w:r w:rsidR="00EB4D2B">
          <w:rPr>
            <w:noProof/>
            <w:webHidden/>
          </w:rPr>
          <w:instrText xml:space="preserve"> PAGEREF _Toc160129655 \h </w:instrText>
        </w:r>
        <w:r w:rsidR="00EB4D2B">
          <w:rPr>
            <w:noProof/>
            <w:webHidden/>
          </w:rPr>
        </w:r>
        <w:r w:rsidR="00EB4D2B">
          <w:rPr>
            <w:noProof/>
            <w:webHidden/>
          </w:rPr>
          <w:fldChar w:fldCharType="separate"/>
        </w:r>
        <w:r w:rsidR="00EB4D2B">
          <w:rPr>
            <w:noProof/>
            <w:webHidden/>
          </w:rPr>
          <w:t>188</w:t>
        </w:r>
        <w:r w:rsidR="00EB4D2B">
          <w:rPr>
            <w:noProof/>
            <w:webHidden/>
          </w:rPr>
          <w:fldChar w:fldCharType="end"/>
        </w:r>
      </w:hyperlink>
    </w:p>
    <w:p w14:paraId="269F7EAC" w14:textId="7A575576"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56" w:history="1">
        <w:r w:rsidR="00EB4D2B" w:rsidRPr="00A17801">
          <w:rPr>
            <w:rStyle w:val="Hyperlink"/>
            <w:noProof/>
          </w:rPr>
          <w:t>Glossary of Terms</w:t>
        </w:r>
        <w:r w:rsidR="00EB4D2B">
          <w:rPr>
            <w:noProof/>
            <w:webHidden/>
          </w:rPr>
          <w:tab/>
        </w:r>
        <w:r w:rsidR="00EB4D2B">
          <w:rPr>
            <w:noProof/>
            <w:webHidden/>
          </w:rPr>
          <w:fldChar w:fldCharType="begin"/>
        </w:r>
        <w:r w:rsidR="00EB4D2B">
          <w:rPr>
            <w:noProof/>
            <w:webHidden/>
          </w:rPr>
          <w:instrText xml:space="preserve"> PAGEREF _Toc160129656 \h </w:instrText>
        </w:r>
        <w:r w:rsidR="00EB4D2B">
          <w:rPr>
            <w:noProof/>
            <w:webHidden/>
          </w:rPr>
        </w:r>
        <w:r w:rsidR="00EB4D2B">
          <w:rPr>
            <w:noProof/>
            <w:webHidden/>
          </w:rPr>
          <w:fldChar w:fldCharType="separate"/>
        </w:r>
        <w:r w:rsidR="00EB4D2B">
          <w:rPr>
            <w:noProof/>
            <w:webHidden/>
          </w:rPr>
          <w:t>190</w:t>
        </w:r>
        <w:r w:rsidR="00EB4D2B">
          <w:rPr>
            <w:noProof/>
            <w:webHidden/>
          </w:rPr>
          <w:fldChar w:fldCharType="end"/>
        </w:r>
      </w:hyperlink>
    </w:p>
    <w:p w14:paraId="4FCB58C3" w14:textId="18E4CE97" w:rsidR="00EB4D2B" w:rsidRDefault="000F4CA1">
      <w:pPr>
        <w:pStyle w:val="TOC1"/>
        <w:tabs>
          <w:tab w:val="right" w:leader="dot" w:pos="9060"/>
        </w:tabs>
        <w:rPr>
          <w:rFonts w:asciiTheme="minorHAnsi" w:eastAsiaTheme="minorEastAsia" w:hAnsiTheme="minorHAnsi" w:cstheme="minorBidi"/>
          <w:b w:val="0"/>
          <w:noProof/>
          <w:color w:val="auto"/>
          <w:kern w:val="2"/>
          <w:sz w:val="22"/>
          <w:szCs w:val="22"/>
          <w:lang w:eastAsia="en-GB"/>
          <w14:ligatures w14:val="standardContextual"/>
        </w:rPr>
      </w:pPr>
      <w:hyperlink w:anchor="_Toc160129657" w:history="1">
        <w:r w:rsidR="00EB4D2B" w:rsidRPr="00A17801">
          <w:rPr>
            <w:rStyle w:val="Hyperlink"/>
            <w:noProof/>
          </w:rPr>
          <w:t>References</w:t>
        </w:r>
        <w:r w:rsidR="00EB4D2B">
          <w:rPr>
            <w:noProof/>
            <w:webHidden/>
          </w:rPr>
          <w:tab/>
        </w:r>
        <w:r w:rsidR="00EB4D2B">
          <w:rPr>
            <w:noProof/>
            <w:webHidden/>
          </w:rPr>
          <w:fldChar w:fldCharType="begin"/>
        </w:r>
        <w:r w:rsidR="00EB4D2B">
          <w:rPr>
            <w:noProof/>
            <w:webHidden/>
          </w:rPr>
          <w:instrText xml:space="preserve"> PAGEREF _Toc160129657 \h </w:instrText>
        </w:r>
        <w:r w:rsidR="00EB4D2B">
          <w:rPr>
            <w:noProof/>
            <w:webHidden/>
          </w:rPr>
        </w:r>
        <w:r w:rsidR="00EB4D2B">
          <w:rPr>
            <w:noProof/>
            <w:webHidden/>
          </w:rPr>
          <w:fldChar w:fldCharType="separate"/>
        </w:r>
        <w:r w:rsidR="00EB4D2B">
          <w:rPr>
            <w:noProof/>
            <w:webHidden/>
          </w:rPr>
          <w:t>191</w:t>
        </w:r>
        <w:r w:rsidR="00EB4D2B">
          <w:rPr>
            <w:noProof/>
            <w:webHidden/>
          </w:rPr>
          <w:fldChar w:fldCharType="end"/>
        </w:r>
      </w:hyperlink>
    </w:p>
    <w:p w14:paraId="0A002A83" w14:textId="4719073B" w:rsidR="00914C16" w:rsidRPr="00C41398" w:rsidRDefault="00085ADD">
      <w:pPr>
        <w:rPr>
          <w:rFonts w:cs="Arial"/>
          <w:b/>
          <w:bCs/>
          <w:noProof/>
          <w:sz w:val="22"/>
          <w:szCs w:val="22"/>
        </w:rPr>
        <w:sectPr w:rsidR="00914C16" w:rsidRPr="00C41398" w:rsidSect="00272BE7">
          <w:footerReference w:type="default" r:id="rId17"/>
          <w:pgSz w:w="11906" w:h="16838" w:code="9"/>
          <w:pgMar w:top="1474" w:right="1418" w:bottom="1134" w:left="1418" w:header="964" w:footer="454" w:gutter="0"/>
          <w:pgNumType w:fmt="lowerRoman" w:start="1"/>
          <w:cols w:space="708"/>
          <w:docGrid w:linePitch="360"/>
        </w:sectPr>
      </w:pPr>
      <w:r w:rsidRPr="00C41398">
        <w:rPr>
          <w:rFonts w:cs="Arial"/>
          <w:b/>
          <w:bCs/>
          <w:noProof/>
          <w:sz w:val="22"/>
          <w:szCs w:val="22"/>
        </w:rPr>
        <w:fldChar w:fldCharType="end"/>
      </w:r>
    </w:p>
    <w:p w14:paraId="414BE1B2" w14:textId="77777777" w:rsidR="00E80D30" w:rsidRDefault="00E80D30" w:rsidP="00914C16">
      <w:pPr>
        <w:pStyle w:val="Contents"/>
        <w:rPr>
          <w:sz w:val="22"/>
          <w:szCs w:val="22"/>
        </w:rPr>
      </w:pPr>
      <w:r w:rsidRPr="000420C9">
        <w:rPr>
          <w:sz w:val="22"/>
          <w:szCs w:val="22"/>
        </w:rPr>
        <w:lastRenderedPageBreak/>
        <w:t>List of Tables</w:t>
      </w:r>
    </w:p>
    <w:p w14:paraId="670692DE" w14:textId="11D168AD" w:rsidR="00683030" w:rsidRPr="00AC7A3A" w:rsidRDefault="006132B8">
      <w:pPr>
        <w:pStyle w:val="TableofFigures"/>
        <w:rPr>
          <w:rFonts w:asciiTheme="minorHAnsi" w:eastAsiaTheme="minorEastAsia" w:hAnsiTheme="minorHAnsi" w:cstheme="minorBidi"/>
          <w:noProof/>
          <w:kern w:val="2"/>
          <w:sz w:val="22"/>
          <w:szCs w:val="22"/>
          <w:lang w:eastAsia="en-GB"/>
          <w14:ligatures w14:val="standardContextual"/>
        </w:rPr>
      </w:pPr>
      <w:r w:rsidRPr="00AC7A3A">
        <w:rPr>
          <w:sz w:val="22"/>
          <w:szCs w:val="22"/>
        </w:rPr>
        <w:fldChar w:fldCharType="begin"/>
      </w:r>
      <w:r w:rsidRPr="00AC7A3A">
        <w:rPr>
          <w:sz w:val="22"/>
          <w:szCs w:val="22"/>
        </w:rPr>
        <w:instrText xml:space="preserve"> TOC \h \z \t "Tables" \c </w:instrText>
      </w:r>
      <w:r w:rsidRPr="00AC7A3A">
        <w:rPr>
          <w:sz w:val="22"/>
          <w:szCs w:val="22"/>
        </w:rPr>
        <w:fldChar w:fldCharType="separate"/>
      </w:r>
      <w:hyperlink w:anchor="_Toc160128549" w:history="1">
        <w:r w:rsidR="00683030" w:rsidRPr="00AC7A3A">
          <w:rPr>
            <w:rStyle w:val="Hyperlink"/>
            <w:noProof/>
            <w:sz w:val="22"/>
            <w:szCs w:val="22"/>
          </w:rPr>
          <w:t>Table A: Air Quality Objectives for Pollutants in Slough</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_Toc160128549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ii</w:t>
        </w:r>
        <w:r w:rsidR="00683030" w:rsidRPr="00AC7A3A">
          <w:rPr>
            <w:noProof/>
            <w:webHidden/>
            <w:sz w:val="22"/>
            <w:szCs w:val="22"/>
          </w:rPr>
          <w:fldChar w:fldCharType="end"/>
        </w:r>
      </w:hyperlink>
    </w:p>
    <w:p w14:paraId="023D299E" w14:textId="5340BAA5"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0" w:history="1">
        <w:r w:rsidR="00683030" w:rsidRPr="00AC7A3A">
          <w:rPr>
            <w:rStyle w:val="Hyperlink"/>
            <w:noProof/>
            <w:sz w:val="22"/>
            <w:szCs w:val="22"/>
          </w:rPr>
          <w:t>Table B: Source contributions by percentage for each AQMA and non-AQMA areas (industrial, kerbside and roadside)</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_Toc160128550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vii</w:t>
        </w:r>
        <w:r w:rsidR="00683030" w:rsidRPr="00AC7A3A">
          <w:rPr>
            <w:noProof/>
            <w:webHidden/>
            <w:sz w:val="22"/>
            <w:szCs w:val="22"/>
          </w:rPr>
          <w:fldChar w:fldCharType="end"/>
        </w:r>
      </w:hyperlink>
    </w:p>
    <w:p w14:paraId="7F723323" w14:textId="724525E8"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1" w:history="1">
        <w:r w:rsidR="00683030" w:rsidRPr="00AC7A3A">
          <w:rPr>
            <w:rStyle w:val="Hyperlink"/>
            <w:noProof/>
            <w:sz w:val="22"/>
            <w:szCs w:val="22"/>
          </w:rPr>
          <w:t>Table C: Air Quality Action Plan (AQAP) Objectives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_Toc160128551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xii</w:t>
        </w:r>
        <w:r w:rsidR="00683030" w:rsidRPr="00AC7A3A">
          <w:rPr>
            <w:noProof/>
            <w:webHidden/>
            <w:sz w:val="22"/>
            <w:szCs w:val="22"/>
          </w:rPr>
          <w:fldChar w:fldCharType="end"/>
        </w:r>
      </w:hyperlink>
    </w:p>
    <w:p w14:paraId="5B20D461" w14:textId="49ED8E62"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2" w:history="1">
        <w:r w:rsidR="00683030" w:rsidRPr="00AC7A3A">
          <w:rPr>
            <w:rStyle w:val="Hyperlink"/>
            <w:noProof/>
            <w:sz w:val="22"/>
            <w:szCs w:val="22"/>
          </w:rPr>
          <w:t>Table 3.1: Air Quality Objectives (AQOs) applicable to Slough</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_Toc160128552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27</w:t>
        </w:r>
        <w:r w:rsidR="00683030" w:rsidRPr="00AC7A3A">
          <w:rPr>
            <w:noProof/>
            <w:webHidden/>
            <w:sz w:val="22"/>
            <w:szCs w:val="22"/>
          </w:rPr>
          <w:fldChar w:fldCharType="end"/>
        </w:r>
      </w:hyperlink>
    </w:p>
    <w:p w14:paraId="1580782A" w14:textId="3F9D88FA"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3" w:history="1">
        <w:r w:rsidR="00683030" w:rsidRPr="00AC7A3A">
          <w:rPr>
            <w:rStyle w:val="Hyperlink"/>
            <w:noProof/>
            <w:sz w:val="22"/>
            <w:szCs w:val="22"/>
          </w:rPr>
          <w:t>Table 3.2 – Average split of source apportionment for NOx, PM</w:t>
        </w:r>
        <w:r w:rsidR="00683030" w:rsidRPr="00AC7A3A">
          <w:rPr>
            <w:rStyle w:val="Hyperlink"/>
            <w:noProof/>
            <w:sz w:val="22"/>
            <w:szCs w:val="22"/>
            <w:vertAlign w:val="subscript"/>
          </w:rPr>
          <w:t>10</w:t>
        </w:r>
        <w:r w:rsidR="00683030" w:rsidRPr="00AC7A3A">
          <w:rPr>
            <w:rStyle w:val="Hyperlink"/>
            <w:noProof/>
            <w:sz w:val="22"/>
            <w:szCs w:val="22"/>
          </w:rPr>
          <w:t xml:space="preserve"> and PM</w:t>
        </w:r>
        <w:r w:rsidR="00683030" w:rsidRPr="00AC7A3A">
          <w:rPr>
            <w:rStyle w:val="Hyperlink"/>
            <w:noProof/>
            <w:sz w:val="22"/>
            <w:szCs w:val="22"/>
            <w:vertAlign w:val="subscript"/>
          </w:rPr>
          <w:t>2.5</w:t>
        </w:r>
        <w:r w:rsidR="00683030" w:rsidRPr="00AC7A3A">
          <w:rPr>
            <w:rStyle w:val="Hyperlink"/>
            <w:noProof/>
            <w:sz w:val="22"/>
            <w:szCs w:val="22"/>
          </w:rPr>
          <w:t xml:space="preserve"> emissions across Slough</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_Toc160128553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34</w:t>
        </w:r>
        <w:r w:rsidR="00683030" w:rsidRPr="00AC7A3A">
          <w:rPr>
            <w:noProof/>
            <w:webHidden/>
            <w:sz w:val="22"/>
            <w:szCs w:val="22"/>
          </w:rPr>
          <w:fldChar w:fldCharType="end"/>
        </w:r>
      </w:hyperlink>
    </w:p>
    <w:p w14:paraId="7C8E9E73" w14:textId="3728304A"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4" w:history="1">
        <w:r w:rsidR="00683030" w:rsidRPr="00AC7A3A">
          <w:rPr>
            <w:rStyle w:val="Hyperlink"/>
            <w:noProof/>
            <w:sz w:val="22"/>
            <w:szCs w:val="22"/>
          </w:rPr>
          <w:t>Table 3.3: NOx source apportionment by AQMA and non-AQMA areas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_Toc160128554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35</w:t>
        </w:r>
        <w:r w:rsidR="00683030" w:rsidRPr="00AC7A3A">
          <w:rPr>
            <w:noProof/>
            <w:webHidden/>
            <w:sz w:val="22"/>
            <w:szCs w:val="22"/>
          </w:rPr>
          <w:fldChar w:fldCharType="end"/>
        </w:r>
      </w:hyperlink>
    </w:p>
    <w:p w14:paraId="06618EA7" w14:textId="2C7996AB"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5" w:history="1">
        <w:r w:rsidR="00683030" w:rsidRPr="00AC7A3A">
          <w:rPr>
            <w:rStyle w:val="Hyperlink"/>
            <w:noProof/>
            <w:sz w:val="22"/>
            <w:szCs w:val="22"/>
          </w:rPr>
          <w:t>Table 3.4: PM</w:t>
        </w:r>
        <w:r w:rsidR="00683030" w:rsidRPr="00AC7A3A">
          <w:rPr>
            <w:rStyle w:val="Hyperlink"/>
            <w:noProof/>
            <w:sz w:val="22"/>
            <w:szCs w:val="22"/>
            <w:vertAlign w:val="subscript"/>
          </w:rPr>
          <w:t>10</w:t>
        </w:r>
        <w:r w:rsidR="00683030" w:rsidRPr="00AC7A3A">
          <w:rPr>
            <w:rStyle w:val="Hyperlink"/>
            <w:noProof/>
            <w:sz w:val="22"/>
            <w:szCs w:val="22"/>
          </w:rPr>
          <w:t xml:space="preserve"> source apportionment by AQMA and non-AQMA areas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_Toc160128555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35</w:t>
        </w:r>
        <w:r w:rsidR="00683030" w:rsidRPr="00AC7A3A">
          <w:rPr>
            <w:noProof/>
            <w:webHidden/>
            <w:sz w:val="22"/>
            <w:szCs w:val="22"/>
          </w:rPr>
          <w:fldChar w:fldCharType="end"/>
        </w:r>
      </w:hyperlink>
    </w:p>
    <w:p w14:paraId="67AA4D4B" w14:textId="6146DFB4"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6" w:history="1">
        <w:r w:rsidR="00683030" w:rsidRPr="00AC7A3A">
          <w:rPr>
            <w:rStyle w:val="Hyperlink"/>
            <w:noProof/>
            <w:sz w:val="22"/>
            <w:szCs w:val="22"/>
          </w:rPr>
          <w:t>Table 3.5: PM</w:t>
        </w:r>
        <w:r w:rsidR="00683030" w:rsidRPr="00AC7A3A">
          <w:rPr>
            <w:rStyle w:val="Hyperlink"/>
            <w:noProof/>
            <w:sz w:val="22"/>
            <w:szCs w:val="22"/>
            <w:vertAlign w:val="subscript"/>
          </w:rPr>
          <w:t>2.5</w:t>
        </w:r>
        <w:r w:rsidR="00683030" w:rsidRPr="00AC7A3A">
          <w:rPr>
            <w:rStyle w:val="Hyperlink"/>
            <w:noProof/>
            <w:sz w:val="22"/>
            <w:szCs w:val="22"/>
          </w:rPr>
          <w:t xml:space="preserve"> source apportionment by AQMA and non-AQMA areas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_Toc160128556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36</w:t>
        </w:r>
        <w:r w:rsidR="00683030" w:rsidRPr="00AC7A3A">
          <w:rPr>
            <w:noProof/>
            <w:webHidden/>
            <w:sz w:val="22"/>
            <w:szCs w:val="22"/>
          </w:rPr>
          <w:fldChar w:fldCharType="end"/>
        </w:r>
      </w:hyperlink>
    </w:p>
    <w:p w14:paraId="0B643208" w14:textId="5E28DAAC"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7" w:history="1">
        <w:r w:rsidR="00683030" w:rsidRPr="00AC7A3A">
          <w:rPr>
            <w:rStyle w:val="Hyperlink"/>
            <w:noProof/>
            <w:sz w:val="22"/>
            <w:szCs w:val="22"/>
          </w:rPr>
          <w:t>Table 5.1: Scoring matrix for measures assessment</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_Toc160128557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43</w:t>
        </w:r>
        <w:r w:rsidR="00683030" w:rsidRPr="00AC7A3A">
          <w:rPr>
            <w:noProof/>
            <w:webHidden/>
            <w:sz w:val="22"/>
            <w:szCs w:val="22"/>
          </w:rPr>
          <w:fldChar w:fldCharType="end"/>
        </w:r>
      </w:hyperlink>
    </w:p>
    <w:p w14:paraId="1DE01315" w14:textId="6A93DFAE"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8" w:history="1">
        <w:r w:rsidR="00683030" w:rsidRPr="00AC7A3A">
          <w:rPr>
            <w:rStyle w:val="Hyperlink"/>
            <w:noProof/>
            <w:sz w:val="22"/>
            <w:szCs w:val="22"/>
          </w:rPr>
          <w:t>Table 5.2: Car ownership per dwelling in town centres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_Toc160128558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49</w:t>
        </w:r>
        <w:r w:rsidR="00683030" w:rsidRPr="00AC7A3A">
          <w:rPr>
            <w:noProof/>
            <w:webHidden/>
            <w:sz w:val="22"/>
            <w:szCs w:val="22"/>
          </w:rPr>
          <w:fldChar w:fldCharType="end"/>
        </w:r>
      </w:hyperlink>
    </w:p>
    <w:p w14:paraId="3848CC9E" w14:textId="4C77200E"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59" w:history="1">
        <w:r w:rsidR="00683030" w:rsidRPr="00AC7A3A">
          <w:rPr>
            <w:rStyle w:val="Hyperlink"/>
            <w:noProof/>
            <w:sz w:val="22"/>
            <w:szCs w:val="22"/>
          </w:rPr>
          <w:t>Table C.1: Full Short List of Measures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_Toc160128559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60</w:t>
        </w:r>
        <w:r w:rsidR="00683030" w:rsidRPr="00AC7A3A">
          <w:rPr>
            <w:noProof/>
            <w:webHidden/>
            <w:sz w:val="22"/>
            <w:szCs w:val="22"/>
          </w:rPr>
          <w:fldChar w:fldCharType="end"/>
        </w:r>
      </w:hyperlink>
    </w:p>
    <w:p w14:paraId="5BDEA7E2" w14:textId="7528E6A3"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0" w:history="1">
        <w:r w:rsidR="00683030" w:rsidRPr="00AC7A3A">
          <w:rPr>
            <w:rStyle w:val="Hyperlink"/>
            <w:noProof/>
            <w:sz w:val="22"/>
            <w:szCs w:val="22"/>
          </w:rPr>
          <w:t>Table C.2: Full Long List of Measures - Environment</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_Toc160128560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63</w:t>
        </w:r>
        <w:r w:rsidR="00683030" w:rsidRPr="00AC7A3A">
          <w:rPr>
            <w:noProof/>
            <w:webHidden/>
            <w:sz w:val="22"/>
            <w:szCs w:val="22"/>
          </w:rPr>
          <w:fldChar w:fldCharType="end"/>
        </w:r>
      </w:hyperlink>
    </w:p>
    <w:p w14:paraId="07DB64D1" w14:textId="45700D6F"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1" w:history="1">
        <w:r w:rsidR="00683030" w:rsidRPr="00AC7A3A">
          <w:rPr>
            <w:rStyle w:val="Hyperlink"/>
            <w:noProof/>
            <w:sz w:val="22"/>
            <w:szCs w:val="22"/>
          </w:rPr>
          <w:t>Table C.3: Full Long List of Measures – Transport</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_Toc160128561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68</w:t>
        </w:r>
        <w:r w:rsidR="00683030" w:rsidRPr="00AC7A3A">
          <w:rPr>
            <w:noProof/>
            <w:webHidden/>
            <w:sz w:val="22"/>
            <w:szCs w:val="22"/>
          </w:rPr>
          <w:fldChar w:fldCharType="end"/>
        </w:r>
      </w:hyperlink>
    </w:p>
    <w:p w14:paraId="06B765FE" w14:textId="17642095"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2" w:history="1">
        <w:r w:rsidR="00683030" w:rsidRPr="00AC7A3A">
          <w:rPr>
            <w:rStyle w:val="Hyperlink"/>
            <w:noProof/>
            <w:sz w:val="22"/>
            <w:szCs w:val="22"/>
          </w:rPr>
          <w:t>Table C.4: Full Long List of Measures – Heath Education &amp; Awareness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_Toc160128562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72</w:t>
        </w:r>
        <w:r w:rsidR="00683030" w:rsidRPr="00AC7A3A">
          <w:rPr>
            <w:noProof/>
            <w:webHidden/>
            <w:sz w:val="22"/>
            <w:szCs w:val="22"/>
          </w:rPr>
          <w:fldChar w:fldCharType="end"/>
        </w:r>
      </w:hyperlink>
    </w:p>
    <w:p w14:paraId="44D0805D" w14:textId="09920A32"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3" w:history="1">
        <w:r w:rsidR="00683030" w:rsidRPr="00AC7A3A">
          <w:rPr>
            <w:rStyle w:val="Hyperlink"/>
            <w:noProof/>
            <w:sz w:val="22"/>
            <w:szCs w:val="22"/>
          </w:rPr>
          <w:t>Figure 2</w:t>
        </w:r>
        <w:r w:rsidR="00683030" w:rsidRPr="00AC7A3A">
          <w:rPr>
            <w:rStyle w:val="Hyperlink"/>
            <w:noProof/>
            <w:sz w:val="22"/>
            <w:szCs w:val="22"/>
          </w:rPr>
          <w:noBreakHyphen/>
          <w:t>A – Model domain used for 2022 baseline model and source apportionment assessment; including measured NO</w:t>
        </w:r>
        <w:r w:rsidR="00683030" w:rsidRPr="00AC7A3A">
          <w:rPr>
            <w:rStyle w:val="Hyperlink"/>
            <w:noProof/>
            <w:sz w:val="22"/>
            <w:szCs w:val="22"/>
            <w:vertAlign w:val="subscript"/>
          </w:rPr>
          <w:t>2</w:t>
        </w:r>
        <w:r w:rsidR="00683030" w:rsidRPr="00AC7A3A">
          <w:rPr>
            <w:rStyle w:val="Hyperlink"/>
            <w:noProof/>
            <w:sz w:val="22"/>
            <w:szCs w:val="22"/>
          </w:rPr>
          <w:t xml:space="preserve"> concentrations in 2022</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_Toc160128563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76</w:t>
        </w:r>
        <w:r w:rsidR="00683030" w:rsidRPr="00AC7A3A">
          <w:rPr>
            <w:noProof/>
            <w:webHidden/>
            <w:sz w:val="22"/>
            <w:szCs w:val="22"/>
          </w:rPr>
          <w:fldChar w:fldCharType="end"/>
        </w:r>
      </w:hyperlink>
    </w:p>
    <w:p w14:paraId="0DD94761" w14:textId="7F3D3B28"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4" w:history="1">
        <w:r w:rsidR="00683030" w:rsidRPr="00AC7A3A">
          <w:rPr>
            <w:rStyle w:val="Hyperlink"/>
            <w:noProof/>
            <w:sz w:val="22"/>
            <w:szCs w:val="22"/>
          </w:rPr>
          <w:t>Table 2</w:t>
        </w:r>
        <w:r w:rsidR="00683030" w:rsidRPr="00AC7A3A">
          <w:rPr>
            <w:rStyle w:val="Hyperlink"/>
            <w:noProof/>
            <w:sz w:val="22"/>
            <w:szCs w:val="22"/>
          </w:rPr>
          <w:noBreakHyphen/>
          <w:t>1 - Statistics of meteorological parameters for Heathrow meteorological station</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_Toc160128564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78</w:t>
        </w:r>
        <w:r w:rsidR="00683030" w:rsidRPr="00AC7A3A">
          <w:rPr>
            <w:noProof/>
            <w:webHidden/>
            <w:sz w:val="22"/>
            <w:szCs w:val="22"/>
          </w:rPr>
          <w:fldChar w:fldCharType="end"/>
        </w:r>
      </w:hyperlink>
    </w:p>
    <w:p w14:paraId="639414AD" w14:textId="2051A4F5"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5" w:history="1">
        <w:r w:rsidR="00683030" w:rsidRPr="00AC7A3A">
          <w:rPr>
            <w:rStyle w:val="Hyperlink"/>
            <w:noProof/>
            <w:sz w:val="22"/>
            <w:szCs w:val="22"/>
          </w:rPr>
          <w:t>Table 2</w:t>
        </w:r>
        <w:r w:rsidR="00683030" w:rsidRPr="00AC7A3A">
          <w:rPr>
            <w:rStyle w:val="Hyperlink"/>
            <w:noProof/>
            <w:sz w:val="22"/>
            <w:szCs w:val="22"/>
          </w:rPr>
          <w:noBreakHyphen/>
          <w:t>2– Measured &amp; modelled annual mean NO2 concentrations for the 2022 base year scenario.</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_Toc160128565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86</w:t>
        </w:r>
        <w:r w:rsidR="00683030" w:rsidRPr="00AC7A3A">
          <w:rPr>
            <w:noProof/>
            <w:webHidden/>
            <w:sz w:val="22"/>
            <w:szCs w:val="22"/>
          </w:rPr>
          <w:fldChar w:fldCharType="end"/>
        </w:r>
      </w:hyperlink>
    </w:p>
    <w:p w14:paraId="42EA12C7" w14:textId="75EAA6FB"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6" w:history="1">
        <w:r w:rsidR="00683030" w:rsidRPr="00AC7A3A">
          <w:rPr>
            <w:rStyle w:val="Hyperlink"/>
            <w:noProof/>
            <w:sz w:val="22"/>
            <w:szCs w:val="22"/>
          </w:rPr>
          <w:t>Table 2</w:t>
        </w:r>
        <w:r w:rsidR="00683030" w:rsidRPr="00AC7A3A">
          <w:rPr>
            <w:rStyle w:val="Hyperlink"/>
            <w:noProof/>
            <w:sz w:val="22"/>
            <w:szCs w:val="22"/>
          </w:rPr>
          <w:noBreakHyphen/>
          <w:t>3– Modelled annual mean PM10 concentrations for the 2022 base year scenario</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_Toc160128566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89</w:t>
        </w:r>
        <w:r w:rsidR="00683030" w:rsidRPr="00AC7A3A">
          <w:rPr>
            <w:noProof/>
            <w:webHidden/>
            <w:sz w:val="22"/>
            <w:szCs w:val="22"/>
          </w:rPr>
          <w:fldChar w:fldCharType="end"/>
        </w:r>
      </w:hyperlink>
    </w:p>
    <w:p w14:paraId="28DF45A5" w14:textId="5A246D63"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7" w:history="1">
        <w:r w:rsidR="00683030" w:rsidRPr="00AC7A3A">
          <w:rPr>
            <w:rStyle w:val="Hyperlink"/>
            <w:noProof/>
            <w:sz w:val="22"/>
            <w:szCs w:val="22"/>
          </w:rPr>
          <w:t>Table 2</w:t>
        </w:r>
        <w:r w:rsidR="00683030" w:rsidRPr="00AC7A3A">
          <w:rPr>
            <w:rStyle w:val="Hyperlink"/>
            <w:noProof/>
            <w:sz w:val="22"/>
            <w:szCs w:val="22"/>
          </w:rPr>
          <w:noBreakHyphen/>
          <w:t>4 – Modelled annual mean PM</w:t>
        </w:r>
        <w:r w:rsidR="00683030" w:rsidRPr="00AC7A3A">
          <w:rPr>
            <w:rStyle w:val="Hyperlink"/>
            <w:noProof/>
            <w:sz w:val="22"/>
            <w:szCs w:val="22"/>
            <w:vertAlign w:val="subscript"/>
          </w:rPr>
          <w:t>2.5</w:t>
        </w:r>
        <w:r w:rsidR="00683030" w:rsidRPr="00AC7A3A">
          <w:rPr>
            <w:rStyle w:val="Hyperlink"/>
            <w:noProof/>
            <w:sz w:val="22"/>
            <w:szCs w:val="22"/>
          </w:rPr>
          <w:t xml:space="preserve"> concentrations for the 2022 base year scenario. Above the 2040 PM</w:t>
        </w:r>
        <w:r w:rsidR="00683030" w:rsidRPr="00AC7A3A">
          <w:rPr>
            <w:rStyle w:val="Hyperlink"/>
            <w:noProof/>
            <w:sz w:val="22"/>
            <w:szCs w:val="22"/>
            <w:vertAlign w:val="subscript"/>
          </w:rPr>
          <w:t>2.5</w:t>
        </w:r>
        <w:r w:rsidR="00683030" w:rsidRPr="00AC7A3A">
          <w:rPr>
            <w:rStyle w:val="Hyperlink"/>
            <w:noProof/>
            <w:sz w:val="22"/>
            <w:szCs w:val="22"/>
          </w:rPr>
          <w:t xml:space="preserve"> objective ( ≥10 </w:t>
        </w:r>
        <w:r w:rsidR="00683030" w:rsidRPr="00AC7A3A">
          <w:rPr>
            <w:rStyle w:val="Hyperlink"/>
            <w:noProof/>
            <w:sz w:val="22"/>
            <w:szCs w:val="22"/>
            <w:lang w:eastAsia="en-GB"/>
          </w:rPr>
          <w:t>µg/m</w:t>
        </w:r>
        <w:r w:rsidR="00683030" w:rsidRPr="00AC7A3A">
          <w:rPr>
            <w:rStyle w:val="Hyperlink"/>
            <w:noProof/>
            <w:sz w:val="22"/>
            <w:szCs w:val="22"/>
            <w:vertAlign w:val="superscript"/>
            <w:lang w:eastAsia="en-GB"/>
          </w:rPr>
          <w:t>3</w:t>
        </w:r>
        <w:r w:rsidR="00683030" w:rsidRPr="00AC7A3A">
          <w:rPr>
            <w:rStyle w:val="Hyperlink"/>
            <w:noProof/>
            <w:sz w:val="22"/>
            <w:szCs w:val="22"/>
            <w:lang w:eastAsia="en-GB"/>
          </w:rPr>
          <w:t xml:space="preserve"> and &lt;15</w:t>
        </w:r>
        <w:r w:rsidR="00683030" w:rsidRPr="00AC7A3A">
          <w:rPr>
            <w:rStyle w:val="Hyperlink"/>
            <w:noProof/>
            <w:sz w:val="22"/>
            <w:szCs w:val="22"/>
          </w:rPr>
          <w:t xml:space="preserve"> </w:t>
        </w:r>
        <w:r w:rsidR="00683030" w:rsidRPr="00AC7A3A">
          <w:rPr>
            <w:rStyle w:val="Hyperlink"/>
            <w:noProof/>
            <w:sz w:val="22"/>
            <w:szCs w:val="22"/>
            <w:lang w:eastAsia="en-GB"/>
          </w:rPr>
          <w:t>µg/m</w:t>
        </w:r>
        <w:r w:rsidR="00683030" w:rsidRPr="00AC7A3A">
          <w:rPr>
            <w:rStyle w:val="Hyperlink"/>
            <w:noProof/>
            <w:sz w:val="22"/>
            <w:szCs w:val="22"/>
            <w:vertAlign w:val="superscript"/>
            <w:lang w:eastAsia="en-GB"/>
          </w:rPr>
          <w:t>3</w:t>
        </w:r>
        <w:r w:rsidR="00683030" w:rsidRPr="00AC7A3A">
          <w:rPr>
            <w:rStyle w:val="Hyperlink"/>
            <w:noProof/>
            <w:sz w:val="22"/>
            <w:szCs w:val="22"/>
            <w:lang w:eastAsia="en-GB"/>
          </w:rPr>
          <w:t>)</w:t>
        </w:r>
        <w:r w:rsidR="00683030" w:rsidRPr="00AC7A3A">
          <w:rPr>
            <w:rStyle w:val="Hyperlink"/>
            <w:noProof/>
            <w:sz w:val="22"/>
            <w:szCs w:val="22"/>
          </w:rPr>
          <w:t xml:space="preserve"> but below the current PM</w:t>
        </w:r>
        <w:r w:rsidR="00683030" w:rsidRPr="00AC7A3A">
          <w:rPr>
            <w:rStyle w:val="Hyperlink"/>
            <w:noProof/>
            <w:sz w:val="22"/>
            <w:szCs w:val="22"/>
            <w:vertAlign w:val="subscript"/>
          </w:rPr>
          <w:t>2.5</w:t>
        </w:r>
        <w:r w:rsidR="00683030" w:rsidRPr="00AC7A3A">
          <w:rPr>
            <w:rStyle w:val="Hyperlink"/>
            <w:noProof/>
            <w:sz w:val="22"/>
            <w:szCs w:val="22"/>
          </w:rPr>
          <w:t xml:space="preserve"> objective = yellow.</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_Toc160128567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90</w:t>
        </w:r>
        <w:r w:rsidR="00683030" w:rsidRPr="00AC7A3A">
          <w:rPr>
            <w:noProof/>
            <w:webHidden/>
            <w:sz w:val="22"/>
            <w:szCs w:val="22"/>
          </w:rPr>
          <w:fldChar w:fldCharType="end"/>
        </w:r>
      </w:hyperlink>
    </w:p>
    <w:p w14:paraId="187F8D41" w14:textId="38C9DCD8"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8" w:history="1">
        <w:r w:rsidR="00683030" w:rsidRPr="00AC7A3A">
          <w:rPr>
            <w:rStyle w:val="Hyperlink"/>
            <w:noProof/>
            <w:sz w:val="22"/>
            <w:szCs w:val="22"/>
          </w:rPr>
          <w:t>Table 4</w:t>
        </w:r>
        <w:r w:rsidR="00683030" w:rsidRPr="00AC7A3A">
          <w:rPr>
            <w:rStyle w:val="Hyperlink"/>
            <w:noProof/>
            <w:sz w:val="22"/>
            <w:szCs w:val="22"/>
          </w:rPr>
          <w:noBreakHyphen/>
          <w:t>1 – measures included in scenario modelling</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_Toc160128568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97</w:t>
        </w:r>
        <w:r w:rsidR="00683030" w:rsidRPr="00AC7A3A">
          <w:rPr>
            <w:noProof/>
            <w:webHidden/>
            <w:sz w:val="22"/>
            <w:szCs w:val="22"/>
          </w:rPr>
          <w:fldChar w:fldCharType="end"/>
        </w:r>
      </w:hyperlink>
    </w:p>
    <w:p w14:paraId="705AC6EF" w14:textId="73B205F3"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69" w:history="1">
        <w:r w:rsidR="00683030" w:rsidRPr="00AC7A3A">
          <w:rPr>
            <w:rStyle w:val="Hyperlink"/>
            <w:noProof/>
            <w:sz w:val="22"/>
            <w:szCs w:val="22"/>
          </w:rPr>
          <w:t>Table 4</w:t>
        </w:r>
        <w:r w:rsidR="00683030" w:rsidRPr="00AC7A3A">
          <w:rPr>
            <w:rStyle w:val="Hyperlink"/>
            <w:noProof/>
            <w:sz w:val="22"/>
            <w:szCs w:val="22"/>
          </w:rPr>
          <w:noBreakHyphen/>
          <w:t>2– measures included in scenario modelling</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_Toc160128569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99</w:t>
        </w:r>
        <w:r w:rsidR="00683030" w:rsidRPr="00AC7A3A">
          <w:rPr>
            <w:noProof/>
            <w:webHidden/>
            <w:sz w:val="22"/>
            <w:szCs w:val="22"/>
          </w:rPr>
          <w:fldChar w:fldCharType="end"/>
        </w:r>
      </w:hyperlink>
    </w:p>
    <w:p w14:paraId="658EB43C" w14:textId="27183E80"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0" w:history="1">
        <w:r w:rsidR="00683030" w:rsidRPr="00AC7A3A">
          <w:rPr>
            <w:rStyle w:val="Hyperlink"/>
            <w:noProof/>
            <w:sz w:val="22"/>
            <w:szCs w:val="22"/>
          </w:rPr>
          <w:t>Table 4</w:t>
        </w:r>
        <w:r w:rsidR="00683030" w:rsidRPr="00AC7A3A">
          <w:rPr>
            <w:rStyle w:val="Hyperlink"/>
            <w:noProof/>
            <w:sz w:val="22"/>
            <w:szCs w:val="22"/>
          </w:rPr>
          <w:noBreakHyphen/>
          <w:t>3 - Scenario #2 average speed at Yew Tree Road junction</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_Toc160128570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99</w:t>
        </w:r>
        <w:r w:rsidR="00683030" w:rsidRPr="00AC7A3A">
          <w:rPr>
            <w:noProof/>
            <w:webHidden/>
            <w:sz w:val="22"/>
            <w:szCs w:val="22"/>
          </w:rPr>
          <w:fldChar w:fldCharType="end"/>
        </w:r>
      </w:hyperlink>
    </w:p>
    <w:p w14:paraId="2EA553EA" w14:textId="0A4BC915"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1" w:history="1">
        <w:r w:rsidR="00683030" w:rsidRPr="00AC7A3A">
          <w:rPr>
            <w:rStyle w:val="Hyperlink"/>
            <w:noProof/>
            <w:sz w:val="22"/>
            <w:szCs w:val="22"/>
          </w:rPr>
          <w:t>Table 4</w:t>
        </w:r>
        <w:r w:rsidR="00683030" w:rsidRPr="00AC7A3A">
          <w:rPr>
            <w:rStyle w:val="Hyperlink"/>
            <w:noProof/>
            <w:sz w:val="22"/>
            <w:szCs w:val="22"/>
          </w:rPr>
          <w:noBreakHyphen/>
          <w:t>4 – scenario modelling NO</w:t>
        </w:r>
        <w:r w:rsidR="00683030" w:rsidRPr="00AC7A3A">
          <w:rPr>
            <w:rStyle w:val="Hyperlink"/>
            <w:noProof/>
            <w:sz w:val="22"/>
            <w:szCs w:val="22"/>
            <w:vertAlign w:val="subscript"/>
          </w:rPr>
          <w:t xml:space="preserve">2 </w:t>
        </w:r>
        <w:r w:rsidR="00683030" w:rsidRPr="00AC7A3A">
          <w:rPr>
            <w:rStyle w:val="Hyperlink"/>
            <w:noProof/>
            <w:sz w:val="22"/>
            <w:szCs w:val="22"/>
          </w:rPr>
          <w:t>concentrations across Slough (using global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_Toc160128571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103</w:t>
        </w:r>
        <w:r w:rsidR="00683030" w:rsidRPr="00AC7A3A">
          <w:rPr>
            <w:noProof/>
            <w:webHidden/>
            <w:sz w:val="22"/>
            <w:szCs w:val="22"/>
          </w:rPr>
          <w:fldChar w:fldCharType="end"/>
        </w:r>
      </w:hyperlink>
    </w:p>
    <w:p w14:paraId="179103FD" w14:textId="69BF5490"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2" w:history="1">
        <w:r w:rsidR="00683030" w:rsidRPr="00AC7A3A">
          <w:rPr>
            <w:rStyle w:val="Hyperlink"/>
            <w:noProof/>
            <w:sz w:val="22"/>
            <w:szCs w:val="22"/>
          </w:rPr>
          <w:t>Table 4</w:t>
        </w:r>
        <w:r w:rsidR="00683030" w:rsidRPr="00AC7A3A">
          <w:rPr>
            <w:rStyle w:val="Hyperlink"/>
            <w:noProof/>
            <w:sz w:val="22"/>
            <w:szCs w:val="22"/>
          </w:rPr>
          <w:noBreakHyphen/>
          <w:t>5 - scenario modelling NO</w:t>
        </w:r>
        <w:r w:rsidR="00683030" w:rsidRPr="00AC7A3A">
          <w:rPr>
            <w:rStyle w:val="Hyperlink"/>
            <w:noProof/>
            <w:sz w:val="22"/>
            <w:szCs w:val="22"/>
            <w:vertAlign w:val="subscript"/>
          </w:rPr>
          <w:t xml:space="preserve">2 </w:t>
        </w:r>
        <w:r w:rsidR="00683030" w:rsidRPr="00AC7A3A">
          <w:rPr>
            <w:rStyle w:val="Hyperlink"/>
            <w:noProof/>
            <w:sz w:val="22"/>
            <w:szCs w:val="22"/>
          </w:rPr>
          <w:t>concentrations across Slough (using individual adjustment factors)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_Toc160128572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103</w:t>
        </w:r>
        <w:r w:rsidR="00683030" w:rsidRPr="00AC7A3A">
          <w:rPr>
            <w:noProof/>
            <w:webHidden/>
            <w:sz w:val="22"/>
            <w:szCs w:val="22"/>
          </w:rPr>
          <w:fldChar w:fldCharType="end"/>
        </w:r>
      </w:hyperlink>
    </w:p>
    <w:p w14:paraId="3152BB6E" w14:textId="2FD9DF06"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3" w:history="1">
        <w:r w:rsidR="00683030" w:rsidRPr="00AC7A3A">
          <w:rPr>
            <w:rStyle w:val="Hyperlink"/>
            <w:noProof/>
            <w:sz w:val="22"/>
            <w:szCs w:val="22"/>
          </w:rPr>
          <w:t>Table 4</w:t>
        </w:r>
        <w:r w:rsidR="00683030" w:rsidRPr="00AC7A3A">
          <w:rPr>
            <w:rStyle w:val="Hyperlink"/>
            <w:noProof/>
            <w:sz w:val="22"/>
            <w:szCs w:val="22"/>
          </w:rPr>
          <w:noBreakHyphen/>
          <w:t>6 - scenario modelling NO</w:t>
        </w:r>
        <w:r w:rsidR="00683030" w:rsidRPr="00AC7A3A">
          <w:rPr>
            <w:rStyle w:val="Hyperlink"/>
            <w:noProof/>
            <w:sz w:val="22"/>
            <w:szCs w:val="22"/>
            <w:vertAlign w:val="subscript"/>
          </w:rPr>
          <w:t xml:space="preserve">2 </w:t>
        </w:r>
        <w:r w:rsidR="00683030" w:rsidRPr="00AC7A3A">
          <w:rPr>
            <w:rStyle w:val="Hyperlink"/>
            <w:noProof/>
            <w:sz w:val="22"/>
            <w:szCs w:val="22"/>
          </w:rPr>
          <w:t>concentrations for sites SLO29, SLO40, SLO26, SLO5 and SLH10 (east AQMA 4) (using AQMA 4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_Toc160128573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103</w:t>
        </w:r>
        <w:r w:rsidR="00683030" w:rsidRPr="00AC7A3A">
          <w:rPr>
            <w:noProof/>
            <w:webHidden/>
            <w:sz w:val="22"/>
            <w:szCs w:val="22"/>
          </w:rPr>
          <w:fldChar w:fldCharType="end"/>
        </w:r>
      </w:hyperlink>
    </w:p>
    <w:p w14:paraId="4DED3F7B" w14:textId="60516748"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4" w:history="1">
        <w:r w:rsidR="00683030" w:rsidRPr="00AC7A3A">
          <w:rPr>
            <w:rStyle w:val="Hyperlink"/>
            <w:noProof/>
            <w:sz w:val="22"/>
            <w:szCs w:val="22"/>
          </w:rPr>
          <w:t>Table 4</w:t>
        </w:r>
        <w:r w:rsidR="00683030" w:rsidRPr="00AC7A3A">
          <w:rPr>
            <w:rStyle w:val="Hyperlink"/>
            <w:noProof/>
            <w:sz w:val="22"/>
            <w:szCs w:val="22"/>
          </w:rPr>
          <w:noBreakHyphen/>
          <w:t>7 – scenario modelling PM</w:t>
        </w:r>
        <w:r w:rsidR="00683030" w:rsidRPr="00AC7A3A">
          <w:rPr>
            <w:rStyle w:val="Hyperlink"/>
            <w:noProof/>
            <w:sz w:val="22"/>
            <w:szCs w:val="22"/>
            <w:vertAlign w:val="subscript"/>
          </w:rPr>
          <w:t>10</w:t>
        </w:r>
        <w:r w:rsidR="00683030" w:rsidRPr="00AC7A3A">
          <w:rPr>
            <w:rStyle w:val="Hyperlink"/>
            <w:noProof/>
            <w:sz w:val="22"/>
            <w:szCs w:val="22"/>
          </w:rPr>
          <w:t xml:space="preserve"> concentrations across Slough (using global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_Toc160128574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106</w:t>
        </w:r>
        <w:r w:rsidR="00683030" w:rsidRPr="00AC7A3A">
          <w:rPr>
            <w:noProof/>
            <w:webHidden/>
            <w:sz w:val="22"/>
            <w:szCs w:val="22"/>
          </w:rPr>
          <w:fldChar w:fldCharType="end"/>
        </w:r>
      </w:hyperlink>
    </w:p>
    <w:p w14:paraId="21A92754" w14:textId="3E967578"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5" w:history="1">
        <w:r w:rsidR="00683030" w:rsidRPr="00AC7A3A">
          <w:rPr>
            <w:rStyle w:val="Hyperlink"/>
            <w:noProof/>
            <w:sz w:val="22"/>
            <w:szCs w:val="22"/>
          </w:rPr>
          <w:t>Table 4</w:t>
        </w:r>
        <w:r w:rsidR="00683030" w:rsidRPr="00AC7A3A">
          <w:rPr>
            <w:rStyle w:val="Hyperlink"/>
            <w:noProof/>
            <w:sz w:val="22"/>
            <w:szCs w:val="22"/>
          </w:rPr>
          <w:noBreakHyphen/>
          <w:t>8 - scenario modelling PM</w:t>
        </w:r>
        <w:r w:rsidR="00683030" w:rsidRPr="00AC7A3A">
          <w:rPr>
            <w:rStyle w:val="Hyperlink"/>
            <w:noProof/>
            <w:sz w:val="22"/>
            <w:szCs w:val="22"/>
            <w:vertAlign w:val="subscript"/>
          </w:rPr>
          <w:t xml:space="preserve">10 </w:t>
        </w:r>
        <w:r w:rsidR="00683030" w:rsidRPr="00AC7A3A">
          <w:rPr>
            <w:rStyle w:val="Hyperlink"/>
            <w:noProof/>
            <w:sz w:val="22"/>
            <w:szCs w:val="22"/>
          </w:rPr>
          <w:t>concentrations across Slough (using individual adjustment factors)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_Toc160128575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106</w:t>
        </w:r>
        <w:r w:rsidR="00683030" w:rsidRPr="00AC7A3A">
          <w:rPr>
            <w:noProof/>
            <w:webHidden/>
            <w:sz w:val="22"/>
            <w:szCs w:val="22"/>
          </w:rPr>
          <w:fldChar w:fldCharType="end"/>
        </w:r>
      </w:hyperlink>
    </w:p>
    <w:p w14:paraId="71568C97" w14:textId="105AD4DC"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6" w:history="1">
        <w:r w:rsidR="00683030" w:rsidRPr="00AC7A3A">
          <w:rPr>
            <w:rStyle w:val="Hyperlink"/>
            <w:noProof/>
            <w:sz w:val="22"/>
            <w:szCs w:val="22"/>
          </w:rPr>
          <w:t>Table 4</w:t>
        </w:r>
        <w:r w:rsidR="00683030" w:rsidRPr="00AC7A3A">
          <w:rPr>
            <w:rStyle w:val="Hyperlink"/>
            <w:noProof/>
            <w:sz w:val="22"/>
            <w:szCs w:val="22"/>
          </w:rPr>
          <w:noBreakHyphen/>
          <w:t>9 - scenario modelling PM</w:t>
        </w:r>
        <w:r w:rsidR="00683030" w:rsidRPr="00AC7A3A">
          <w:rPr>
            <w:rStyle w:val="Hyperlink"/>
            <w:noProof/>
            <w:sz w:val="22"/>
            <w:szCs w:val="22"/>
            <w:vertAlign w:val="subscript"/>
          </w:rPr>
          <w:t xml:space="preserve">10 </w:t>
        </w:r>
        <w:r w:rsidR="00683030" w:rsidRPr="00AC7A3A">
          <w:rPr>
            <w:rStyle w:val="Hyperlink"/>
            <w:noProof/>
            <w:sz w:val="22"/>
            <w:szCs w:val="22"/>
          </w:rPr>
          <w:t>concentrations for sites SLO29, SLO40, SLO26, SLO5 and SLH10 (east AQMA 4) (using AQMA 4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_Toc160128576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106</w:t>
        </w:r>
        <w:r w:rsidR="00683030" w:rsidRPr="00AC7A3A">
          <w:rPr>
            <w:noProof/>
            <w:webHidden/>
            <w:sz w:val="22"/>
            <w:szCs w:val="22"/>
          </w:rPr>
          <w:fldChar w:fldCharType="end"/>
        </w:r>
      </w:hyperlink>
    </w:p>
    <w:p w14:paraId="205C7D36" w14:textId="4FFECC11"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7" w:history="1">
        <w:r w:rsidR="00683030" w:rsidRPr="00AC7A3A">
          <w:rPr>
            <w:rStyle w:val="Hyperlink"/>
            <w:noProof/>
            <w:sz w:val="22"/>
            <w:szCs w:val="22"/>
          </w:rPr>
          <w:t>Table 4</w:t>
        </w:r>
        <w:r w:rsidR="00683030" w:rsidRPr="00AC7A3A">
          <w:rPr>
            <w:rStyle w:val="Hyperlink"/>
            <w:noProof/>
            <w:sz w:val="22"/>
            <w:szCs w:val="22"/>
          </w:rPr>
          <w:noBreakHyphen/>
          <w:t>10 – scenario modelling PM</w:t>
        </w:r>
        <w:r w:rsidR="00683030" w:rsidRPr="00AC7A3A">
          <w:rPr>
            <w:rStyle w:val="Hyperlink"/>
            <w:noProof/>
            <w:sz w:val="22"/>
            <w:szCs w:val="22"/>
            <w:vertAlign w:val="subscript"/>
          </w:rPr>
          <w:t>2.5</w:t>
        </w:r>
        <w:r w:rsidR="00683030" w:rsidRPr="00AC7A3A">
          <w:rPr>
            <w:rStyle w:val="Hyperlink"/>
            <w:noProof/>
            <w:sz w:val="22"/>
            <w:szCs w:val="22"/>
          </w:rPr>
          <w:t xml:space="preserve"> concentrations across Slough (using global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_Toc160128577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106</w:t>
        </w:r>
        <w:r w:rsidR="00683030" w:rsidRPr="00AC7A3A">
          <w:rPr>
            <w:noProof/>
            <w:webHidden/>
            <w:sz w:val="22"/>
            <w:szCs w:val="22"/>
          </w:rPr>
          <w:fldChar w:fldCharType="end"/>
        </w:r>
      </w:hyperlink>
    </w:p>
    <w:p w14:paraId="173C39F1" w14:textId="2ACA4382"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8" w:history="1">
        <w:r w:rsidR="00683030" w:rsidRPr="00AC7A3A">
          <w:rPr>
            <w:rStyle w:val="Hyperlink"/>
            <w:noProof/>
            <w:sz w:val="22"/>
            <w:szCs w:val="22"/>
          </w:rPr>
          <w:t>Table 4</w:t>
        </w:r>
        <w:r w:rsidR="00683030" w:rsidRPr="00AC7A3A">
          <w:rPr>
            <w:rStyle w:val="Hyperlink"/>
            <w:noProof/>
            <w:sz w:val="22"/>
            <w:szCs w:val="22"/>
          </w:rPr>
          <w:noBreakHyphen/>
          <w:t>11 - scenario modelling PM</w:t>
        </w:r>
        <w:r w:rsidR="00683030" w:rsidRPr="00AC7A3A">
          <w:rPr>
            <w:rStyle w:val="Hyperlink"/>
            <w:noProof/>
            <w:sz w:val="22"/>
            <w:szCs w:val="22"/>
            <w:vertAlign w:val="subscript"/>
          </w:rPr>
          <w:t>2.5</w:t>
        </w:r>
        <w:r w:rsidR="00683030" w:rsidRPr="00AC7A3A">
          <w:rPr>
            <w:rStyle w:val="Hyperlink"/>
            <w:noProof/>
            <w:sz w:val="22"/>
            <w:szCs w:val="22"/>
          </w:rPr>
          <w:t xml:space="preserve"> concentrations across Slough (using individual adjustment factors)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_Toc160128578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106</w:t>
        </w:r>
        <w:r w:rsidR="00683030" w:rsidRPr="00AC7A3A">
          <w:rPr>
            <w:noProof/>
            <w:webHidden/>
            <w:sz w:val="22"/>
            <w:szCs w:val="22"/>
          </w:rPr>
          <w:fldChar w:fldCharType="end"/>
        </w:r>
      </w:hyperlink>
    </w:p>
    <w:p w14:paraId="7C87844D" w14:textId="08DBB91B"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79" w:history="1">
        <w:r w:rsidR="00683030" w:rsidRPr="00AC7A3A">
          <w:rPr>
            <w:rStyle w:val="Hyperlink"/>
            <w:noProof/>
            <w:sz w:val="22"/>
            <w:szCs w:val="22"/>
          </w:rPr>
          <w:t>Table 4</w:t>
        </w:r>
        <w:r w:rsidR="00683030" w:rsidRPr="00AC7A3A">
          <w:rPr>
            <w:rStyle w:val="Hyperlink"/>
            <w:noProof/>
            <w:sz w:val="22"/>
            <w:szCs w:val="22"/>
          </w:rPr>
          <w:noBreakHyphen/>
          <w:t>12 - scenario modelling PM</w:t>
        </w:r>
        <w:r w:rsidR="00683030" w:rsidRPr="00AC7A3A">
          <w:rPr>
            <w:rStyle w:val="Hyperlink"/>
            <w:noProof/>
            <w:sz w:val="22"/>
            <w:szCs w:val="22"/>
            <w:vertAlign w:val="subscript"/>
          </w:rPr>
          <w:t>2.5</w:t>
        </w:r>
        <w:r w:rsidR="00683030" w:rsidRPr="00AC7A3A">
          <w:rPr>
            <w:rStyle w:val="Hyperlink"/>
            <w:noProof/>
            <w:sz w:val="22"/>
            <w:szCs w:val="22"/>
          </w:rPr>
          <w:t xml:space="preserve"> concentrations for sites SLO29, SLO40, SLO26, SLO5 and SLH10 (east AQMA 4) (using AQMA 4 adjustment factor)</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_Toc160128579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107</w:t>
        </w:r>
        <w:r w:rsidR="00683030" w:rsidRPr="00AC7A3A">
          <w:rPr>
            <w:noProof/>
            <w:webHidden/>
            <w:sz w:val="22"/>
            <w:szCs w:val="22"/>
          </w:rPr>
          <w:fldChar w:fldCharType="end"/>
        </w:r>
      </w:hyperlink>
    </w:p>
    <w:p w14:paraId="75EB6F30" w14:textId="10A5179B"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80" w:history="1">
        <w:r w:rsidR="00683030" w:rsidRPr="00AC7A3A">
          <w:rPr>
            <w:rStyle w:val="Hyperlink"/>
            <w:noProof/>
            <w:sz w:val="22"/>
            <w:szCs w:val="22"/>
          </w:rPr>
          <w:t>Table 4</w:t>
        </w:r>
        <w:r w:rsidR="00683030" w:rsidRPr="00AC7A3A">
          <w:rPr>
            <w:rStyle w:val="Hyperlink"/>
            <w:noProof/>
            <w:sz w:val="22"/>
            <w:szCs w:val="22"/>
          </w:rPr>
          <w:noBreakHyphen/>
          <w:t>13 - scenario modelling CO</w:t>
        </w:r>
        <w:r w:rsidR="00683030" w:rsidRPr="00AC7A3A">
          <w:rPr>
            <w:rStyle w:val="Hyperlink"/>
            <w:noProof/>
            <w:sz w:val="22"/>
            <w:szCs w:val="22"/>
            <w:vertAlign w:val="subscript"/>
          </w:rPr>
          <w:t>2</w:t>
        </w:r>
        <w:r w:rsidR="00683030" w:rsidRPr="00AC7A3A">
          <w:rPr>
            <w:rStyle w:val="Hyperlink"/>
            <w:noProof/>
            <w:sz w:val="22"/>
            <w:szCs w:val="22"/>
          </w:rPr>
          <w:t xml:space="preserve"> emissions for all vehicles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_Toc160128580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107</w:t>
        </w:r>
        <w:r w:rsidR="00683030" w:rsidRPr="00AC7A3A">
          <w:rPr>
            <w:noProof/>
            <w:webHidden/>
            <w:sz w:val="22"/>
            <w:szCs w:val="22"/>
          </w:rPr>
          <w:fldChar w:fldCharType="end"/>
        </w:r>
      </w:hyperlink>
    </w:p>
    <w:p w14:paraId="64156FF5" w14:textId="40116CAB"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81" w:history="1">
        <w:r w:rsidR="00683030" w:rsidRPr="00AC7A3A">
          <w:rPr>
            <w:rStyle w:val="Hyperlink"/>
            <w:noProof/>
            <w:sz w:val="22"/>
            <w:szCs w:val="22"/>
          </w:rPr>
          <w:t>Table 4</w:t>
        </w:r>
        <w:r w:rsidR="00683030" w:rsidRPr="00AC7A3A">
          <w:rPr>
            <w:rStyle w:val="Hyperlink"/>
            <w:noProof/>
            <w:sz w:val="22"/>
            <w:szCs w:val="22"/>
          </w:rPr>
          <w:noBreakHyphen/>
          <w:t>14 - scenario modelling CO</w:t>
        </w:r>
        <w:r w:rsidR="00683030" w:rsidRPr="00AC7A3A">
          <w:rPr>
            <w:rStyle w:val="Hyperlink"/>
            <w:noProof/>
            <w:sz w:val="22"/>
            <w:szCs w:val="22"/>
            <w:vertAlign w:val="subscript"/>
          </w:rPr>
          <w:t>2</w:t>
        </w:r>
        <w:r w:rsidR="00683030" w:rsidRPr="00AC7A3A">
          <w:rPr>
            <w:rStyle w:val="Hyperlink"/>
            <w:noProof/>
            <w:sz w:val="22"/>
            <w:szCs w:val="22"/>
          </w:rPr>
          <w:t xml:space="preserve"> emissions for light vehicles (cars, taxis and HGVs)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_Toc160128581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107</w:t>
        </w:r>
        <w:r w:rsidR="00683030" w:rsidRPr="00AC7A3A">
          <w:rPr>
            <w:noProof/>
            <w:webHidden/>
            <w:sz w:val="22"/>
            <w:szCs w:val="22"/>
          </w:rPr>
          <w:fldChar w:fldCharType="end"/>
        </w:r>
      </w:hyperlink>
    </w:p>
    <w:p w14:paraId="2574FD05" w14:textId="7EF2250D" w:rsidR="00683030"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8582" w:history="1">
        <w:r w:rsidR="00683030" w:rsidRPr="00AC7A3A">
          <w:rPr>
            <w:rStyle w:val="Hyperlink"/>
            <w:noProof/>
            <w:sz w:val="22"/>
            <w:szCs w:val="22"/>
          </w:rPr>
          <w:t>Table 4</w:t>
        </w:r>
        <w:r w:rsidR="00683030" w:rsidRPr="00AC7A3A">
          <w:rPr>
            <w:rStyle w:val="Hyperlink"/>
            <w:noProof/>
            <w:sz w:val="22"/>
            <w:szCs w:val="22"/>
          </w:rPr>
          <w:noBreakHyphen/>
          <w:t>15 - scenario modelling CO</w:t>
        </w:r>
        <w:r w:rsidR="00683030" w:rsidRPr="00AC7A3A">
          <w:rPr>
            <w:rStyle w:val="Hyperlink"/>
            <w:noProof/>
            <w:sz w:val="22"/>
            <w:szCs w:val="22"/>
            <w:vertAlign w:val="subscript"/>
          </w:rPr>
          <w:t>2</w:t>
        </w:r>
        <w:r w:rsidR="00683030" w:rsidRPr="00AC7A3A">
          <w:rPr>
            <w:rStyle w:val="Hyperlink"/>
            <w:noProof/>
            <w:sz w:val="22"/>
            <w:szCs w:val="22"/>
          </w:rPr>
          <w:t xml:space="preserve"> emissions for heavy vehicles (HGVs and buses)</w:t>
        </w:r>
        <w:r w:rsidR="00683030" w:rsidRPr="00AC7A3A">
          <w:rPr>
            <w:noProof/>
            <w:webHidden/>
            <w:sz w:val="22"/>
            <w:szCs w:val="22"/>
          </w:rPr>
          <w:tab/>
        </w:r>
        <w:r w:rsidR="00683030" w:rsidRPr="00AC7A3A">
          <w:rPr>
            <w:noProof/>
            <w:webHidden/>
            <w:sz w:val="22"/>
            <w:szCs w:val="22"/>
          </w:rPr>
          <w:fldChar w:fldCharType="begin"/>
        </w:r>
        <w:r w:rsidR="00683030" w:rsidRPr="00AC7A3A">
          <w:rPr>
            <w:noProof/>
            <w:webHidden/>
            <w:sz w:val="22"/>
            <w:szCs w:val="22"/>
          </w:rPr>
          <w:instrText xml:space="preserve"> PAGEREF _Toc160128582 \h </w:instrText>
        </w:r>
        <w:r w:rsidR="00683030" w:rsidRPr="00AC7A3A">
          <w:rPr>
            <w:noProof/>
            <w:webHidden/>
            <w:sz w:val="22"/>
            <w:szCs w:val="22"/>
          </w:rPr>
        </w:r>
        <w:r w:rsidR="00683030" w:rsidRPr="00AC7A3A">
          <w:rPr>
            <w:noProof/>
            <w:webHidden/>
            <w:sz w:val="22"/>
            <w:szCs w:val="22"/>
          </w:rPr>
          <w:fldChar w:fldCharType="separate"/>
        </w:r>
        <w:r w:rsidR="00683030" w:rsidRPr="00AC7A3A">
          <w:rPr>
            <w:noProof/>
            <w:webHidden/>
            <w:sz w:val="22"/>
            <w:szCs w:val="22"/>
          </w:rPr>
          <w:t>108</w:t>
        </w:r>
        <w:r w:rsidR="00683030" w:rsidRPr="00AC7A3A">
          <w:rPr>
            <w:noProof/>
            <w:webHidden/>
            <w:sz w:val="22"/>
            <w:szCs w:val="22"/>
          </w:rPr>
          <w:fldChar w:fldCharType="end"/>
        </w:r>
      </w:hyperlink>
    </w:p>
    <w:p w14:paraId="5E3CA490" w14:textId="045698AA" w:rsidR="00A94121" w:rsidRPr="006132B8" w:rsidRDefault="006132B8" w:rsidP="006132B8">
      <w:r w:rsidRPr="00AC7A3A">
        <w:rPr>
          <w:sz w:val="22"/>
          <w:szCs w:val="22"/>
        </w:rPr>
        <w:fldChar w:fldCharType="end"/>
      </w:r>
    </w:p>
    <w:p w14:paraId="5E989A55" w14:textId="77777777" w:rsidR="00AC7A3A" w:rsidRDefault="00AC7A3A">
      <w:pPr>
        <w:spacing w:before="0" w:after="0" w:line="240" w:lineRule="auto"/>
        <w:rPr>
          <w:b/>
          <w:color w:val="008938"/>
          <w:sz w:val="22"/>
          <w:szCs w:val="22"/>
        </w:rPr>
      </w:pPr>
      <w:r>
        <w:rPr>
          <w:sz w:val="22"/>
          <w:szCs w:val="22"/>
        </w:rPr>
        <w:br w:type="page"/>
      </w:r>
    </w:p>
    <w:p w14:paraId="29F05EDB" w14:textId="092B5640" w:rsidR="00E80D30" w:rsidRPr="000420C9" w:rsidRDefault="00E80D30" w:rsidP="00914C16">
      <w:pPr>
        <w:pStyle w:val="Contents"/>
        <w:rPr>
          <w:sz w:val="22"/>
          <w:szCs w:val="22"/>
        </w:rPr>
      </w:pPr>
      <w:r w:rsidRPr="000420C9">
        <w:rPr>
          <w:sz w:val="22"/>
          <w:szCs w:val="22"/>
        </w:rPr>
        <w:lastRenderedPageBreak/>
        <w:t>List of Figures</w:t>
      </w:r>
    </w:p>
    <w:p w14:paraId="20954EE8" w14:textId="0EB19D0E" w:rsidR="00183E02" w:rsidRPr="00AC7A3A" w:rsidRDefault="006132B8">
      <w:pPr>
        <w:pStyle w:val="TableofFigures"/>
        <w:rPr>
          <w:rFonts w:asciiTheme="minorHAnsi" w:eastAsiaTheme="minorEastAsia" w:hAnsiTheme="minorHAnsi" w:cstheme="minorBidi"/>
          <w:noProof/>
          <w:kern w:val="2"/>
          <w:sz w:val="22"/>
          <w:szCs w:val="22"/>
          <w:lang w:eastAsia="en-GB"/>
          <w14:ligatures w14:val="standardContextual"/>
        </w:rPr>
      </w:pPr>
      <w:r w:rsidRPr="00AC7A3A">
        <w:rPr>
          <w:sz w:val="22"/>
          <w:szCs w:val="22"/>
        </w:rPr>
        <w:fldChar w:fldCharType="begin"/>
      </w:r>
      <w:r w:rsidRPr="00AC7A3A">
        <w:rPr>
          <w:sz w:val="22"/>
          <w:szCs w:val="22"/>
        </w:rPr>
        <w:instrText xml:space="preserve"> TOC \h \z \t "Figures" \c </w:instrText>
      </w:r>
      <w:r w:rsidRPr="00AC7A3A">
        <w:rPr>
          <w:sz w:val="22"/>
          <w:szCs w:val="22"/>
        </w:rPr>
        <w:fldChar w:fldCharType="separate"/>
      </w:r>
      <w:hyperlink w:anchor="_Toc160129353" w:history="1">
        <w:r w:rsidR="00183E02" w:rsidRPr="00AC7A3A">
          <w:rPr>
            <w:rStyle w:val="Hyperlink"/>
            <w:noProof/>
            <w:sz w:val="22"/>
            <w:szCs w:val="22"/>
          </w:rPr>
          <w:t>Figure A: Scenario impacts on NO</w:t>
        </w:r>
        <w:r w:rsidR="00183E02" w:rsidRPr="00AC7A3A">
          <w:rPr>
            <w:rStyle w:val="Hyperlink"/>
            <w:noProof/>
            <w:sz w:val="22"/>
            <w:szCs w:val="22"/>
            <w:vertAlign w:val="subscript"/>
          </w:rPr>
          <w:t>2</w:t>
        </w:r>
        <w:r w:rsidR="00183E02" w:rsidRPr="00AC7A3A">
          <w:rPr>
            <w:rStyle w:val="Hyperlink"/>
            <w:noProof/>
            <w:sz w:val="22"/>
            <w:szCs w:val="22"/>
          </w:rPr>
          <w:t xml:space="preserve"> at AQMAs and non-AQMA areas (industrial, kerbside/roadside, and suburban/urban background)</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xv</w:t>
        </w:r>
        <w:r w:rsidR="00183E02" w:rsidRPr="00AC7A3A">
          <w:rPr>
            <w:noProof/>
            <w:webHidden/>
            <w:sz w:val="22"/>
            <w:szCs w:val="22"/>
          </w:rPr>
          <w:fldChar w:fldCharType="end"/>
        </w:r>
      </w:hyperlink>
    </w:p>
    <w:p w14:paraId="1B00DCF8" w14:textId="070042BB"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4" w:history="1">
        <w:r w:rsidR="00183E02" w:rsidRPr="00AC7A3A">
          <w:rPr>
            <w:rStyle w:val="Hyperlink"/>
            <w:noProof/>
            <w:sz w:val="22"/>
            <w:szCs w:val="22"/>
          </w:rPr>
          <w:t>Figure 3.1: Age distribution of Slough’s population</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_Toc160129354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w:t>
        </w:r>
        <w:r w:rsidR="00183E02" w:rsidRPr="00AC7A3A">
          <w:rPr>
            <w:noProof/>
            <w:webHidden/>
            <w:sz w:val="22"/>
            <w:szCs w:val="22"/>
          </w:rPr>
          <w:fldChar w:fldCharType="end"/>
        </w:r>
      </w:hyperlink>
    </w:p>
    <w:p w14:paraId="0B29E2E6" w14:textId="17674313"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5" w:history="1">
        <w:r w:rsidR="00183E02" w:rsidRPr="00AC7A3A">
          <w:rPr>
            <w:rStyle w:val="Hyperlink"/>
            <w:noProof/>
            <w:sz w:val="22"/>
            <w:szCs w:val="22"/>
          </w:rPr>
          <w:t>Figure 3.2: Distribution of areas of deprivation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_Toc160129355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w:t>
        </w:r>
        <w:r w:rsidR="00183E02" w:rsidRPr="00AC7A3A">
          <w:rPr>
            <w:noProof/>
            <w:webHidden/>
            <w:sz w:val="22"/>
            <w:szCs w:val="22"/>
          </w:rPr>
          <w:fldChar w:fldCharType="end"/>
        </w:r>
      </w:hyperlink>
    </w:p>
    <w:p w14:paraId="60F24BFF" w14:textId="6240D89F"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6" w:history="1">
        <w:r w:rsidR="00183E02" w:rsidRPr="00AC7A3A">
          <w:rPr>
            <w:rStyle w:val="Hyperlink"/>
            <w:noProof/>
            <w:sz w:val="22"/>
            <w:szCs w:val="22"/>
          </w:rPr>
          <w:t>Figure 3.3: The wider determinants of Health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_Toc160129356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19</w:t>
        </w:r>
        <w:r w:rsidR="00183E02" w:rsidRPr="00AC7A3A">
          <w:rPr>
            <w:noProof/>
            <w:webHidden/>
            <w:sz w:val="22"/>
            <w:szCs w:val="22"/>
          </w:rPr>
          <w:fldChar w:fldCharType="end"/>
        </w:r>
      </w:hyperlink>
    </w:p>
    <w:p w14:paraId="4A5A698D" w14:textId="64F3FDCC"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7" w:history="1">
        <w:r w:rsidR="00183E02" w:rsidRPr="00AC7A3A">
          <w:rPr>
            <w:rStyle w:val="Hyperlink"/>
            <w:noProof/>
            <w:sz w:val="22"/>
            <w:szCs w:val="22"/>
          </w:rPr>
          <w:t>Figure 3.4: Health statistics in Slough compared with the Royal Borough of Windsor and Maidenhead and the average for the South East</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_Toc160129357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21</w:t>
        </w:r>
        <w:r w:rsidR="00183E02" w:rsidRPr="00AC7A3A">
          <w:rPr>
            <w:noProof/>
            <w:webHidden/>
            <w:sz w:val="22"/>
            <w:szCs w:val="22"/>
          </w:rPr>
          <w:fldChar w:fldCharType="end"/>
        </w:r>
      </w:hyperlink>
    </w:p>
    <w:p w14:paraId="09901FFE" w14:textId="6905C62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8" w:history="1">
        <w:r w:rsidR="00183E02" w:rsidRPr="00AC7A3A">
          <w:rPr>
            <w:rStyle w:val="Hyperlink"/>
            <w:noProof/>
            <w:sz w:val="22"/>
            <w:szCs w:val="22"/>
          </w:rPr>
          <w:t>Figure 2</w:t>
        </w:r>
        <w:r w:rsidR="00183E02" w:rsidRPr="00AC7A3A">
          <w:rPr>
            <w:rStyle w:val="Hyperlink"/>
            <w:noProof/>
            <w:sz w:val="22"/>
            <w:szCs w:val="22"/>
          </w:rPr>
          <w:noBreakHyphen/>
          <w:t>B - 2022 wind rose for Heathrow meteorological station</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_Toc160129358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77</w:t>
        </w:r>
        <w:r w:rsidR="00183E02" w:rsidRPr="00AC7A3A">
          <w:rPr>
            <w:noProof/>
            <w:webHidden/>
            <w:sz w:val="22"/>
            <w:szCs w:val="22"/>
          </w:rPr>
          <w:fldChar w:fldCharType="end"/>
        </w:r>
      </w:hyperlink>
    </w:p>
    <w:p w14:paraId="7927F79C" w14:textId="766EB818"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59" w:history="1">
        <w:r w:rsidR="00183E02" w:rsidRPr="00AC7A3A">
          <w:rPr>
            <w:rStyle w:val="Hyperlink"/>
            <w:noProof/>
            <w:sz w:val="22"/>
            <w:szCs w:val="22"/>
          </w:rPr>
          <w:t>Figure 2</w:t>
        </w:r>
        <w:r w:rsidR="00183E02" w:rsidRPr="00AC7A3A">
          <w:rPr>
            <w:rStyle w:val="Hyperlink"/>
            <w:noProof/>
            <w:sz w:val="22"/>
            <w:szCs w:val="22"/>
          </w:rPr>
          <w:noBreakHyphen/>
          <w:t>C - Modelled road links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_Toc160129359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79</w:t>
        </w:r>
        <w:r w:rsidR="00183E02" w:rsidRPr="00AC7A3A">
          <w:rPr>
            <w:noProof/>
            <w:webHidden/>
            <w:sz w:val="22"/>
            <w:szCs w:val="22"/>
          </w:rPr>
          <w:fldChar w:fldCharType="end"/>
        </w:r>
      </w:hyperlink>
    </w:p>
    <w:p w14:paraId="0D531F8D" w14:textId="1A8EEBAA"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0" w:history="1">
        <w:r w:rsidR="00183E02" w:rsidRPr="00AC7A3A">
          <w:rPr>
            <w:rStyle w:val="Hyperlink"/>
            <w:noProof/>
            <w:sz w:val="22"/>
            <w:szCs w:val="22"/>
          </w:rPr>
          <w:t>Figure 2</w:t>
        </w:r>
        <w:r w:rsidR="00183E02" w:rsidRPr="00AC7A3A">
          <w:rPr>
            <w:rStyle w:val="Hyperlink"/>
            <w:noProof/>
            <w:sz w:val="22"/>
            <w:szCs w:val="22"/>
          </w:rPr>
          <w:noBreakHyphen/>
          <w:t>D - Modelled street canyons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_Toc160129360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80</w:t>
        </w:r>
        <w:r w:rsidR="00183E02" w:rsidRPr="00AC7A3A">
          <w:rPr>
            <w:noProof/>
            <w:webHidden/>
            <w:sz w:val="22"/>
            <w:szCs w:val="22"/>
          </w:rPr>
          <w:fldChar w:fldCharType="end"/>
        </w:r>
      </w:hyperlink>
    </w:p>
    <w:p w14:paraId="48EE0BB6" w14:textId="3A38A718"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1" w:history="1">
        <w:r w:rsidR="00183E02" w:rsidRPr="00AC7A3A">
          <w:rPr>
            <w:rStyle w:val="Hyperlink"/>
            <w:noProof/>
            <w:sz w:val="22"/>
            <w:szCs w:val="22"/>
          </w:rPr>
          <w:t>Figure 2</w:t>
        </w:r>
        <w:r w:rsidR="00183E02" w:rsidRPr="00AC7A3A">
          <w:rPr>
            <w:rStyle w:val="Hyperlink"/>
            <w:noProof/>
            <w:sz w:val="22"/>
            <w:szCs w:val="22"/>
          </w:rPr>
          <w:noBreakHyphen/>
          <w:t xml:space="preserve">E – </w:t>
        </w:r>
        <w:r w:rsidR="00183E02" w:rsidRPr="00AC7A3A">
          <w:rPr>
            <w:rStyle w:val="Hyperlink"/>
            <w:noProof/>
            <w:sz w:val="22"/>
            <w:szCs w:val="22"/>
            <w:lang w:eastAsia="en-GB"/>
          </w:rPr>
          <w:t>Modelled NO</w:t>
        </w:r>
        <w:r w:rsidR="00183E02" w:rsidRPr="00AC7A3A">
          <w:rPr>
            <w:rStyle w:val="Hyperlink"/>
            <w:noProof/>
            <w:sz w:val="22"/>
            <w:szCs w:val="22"/>
            <w:vertAlign w:val="subscript"/>
            <w:lang w:eastAsia="en-GB"/>
          </w:rPr>
          <w:t>2</w:t>
        </w:r>
        <w:r w:rsidR="00183E02" w:rsidRPr="00AC7A3A">
          <w:rPr>
            <w:rStyle w:val="Hyperlink"/>
            <w:noProof/>
            <w:sz w:val="22"/>
            <w:szCs w:val="22"/>
            <w:lang w:eastAsia="en-GB"/>
          </w:rPr>
          <w:t xml:space="preserve"> annual mean concentrations (2022 baseline)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_Toc160129361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85</w:t>
        </w:r>
        <w:r w:rsidR="00183E02" w:rsidRPr="00AC7A3A">
          <w:rPr>
            <w:noProof/>
            <w:webHidden/>
            <w:sz w:val="22"/>
            <w:szCs w:val="22"/>
          </w:rPr>
          <w:fldChar w:fldCharType="end"/>
        </w:r>
      </w:hyperlink>
    </w:p>
    <w:p w14:paraId="6F441464" w14:textId="16FE9790"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2" w:history="1">
        <w:r w:rsidR="00183E02" w:rsidRPr="00AC7A3A">
          <w:rPr>
            <w:rStyle w:val="Hyperlink"/>
            <w:noProof/>
            <w:sz w:val="22"/>
            <w:szCs w:val="22"/>
          </w:rPr>
          <w:t>Figure 2</w:t>
        </w:r>
        <w:r w:rsidR="00183E02" w:rsidRPr="00AC7A3A">
          <w:rPr>
            <w:rStyle w:val="Hyperlink"/>
            <w:noProof/>
            <w:sz w:val="22"/>
            <w:szCs w:val="22"/>
          </w:rPr>
          <w:noBreakHyphen/>
          <w:t xml:space="preserve">F – </w:t>
        </w:r>
        <w:r w:rsidR="00183E02" w:rsidRPr="00AC7A3A">
          <w:rPr>
            <w:rStyle w:val="Hyperlink"/>
            <w:noProof/>
            <w:sz w:val="22"/>
            <w:szCs w:val="22"/>
            <w:lang w:eastAsia="en-GB"/>
          </w:rPr>
          <w:t>Modelled PM</w:t>
        </w:r>
        <w:r w:rsidR="00183E02" w:rsidRPr="00AC7A3A">
          <w:rPr>
            <w:rStyle w:val="Hyperlink"/>
            <w:noProof/>
            <w:sz w:val="22"/>
            <w:szCs w:val="22"/>
            <w:vertAlign w:val="subscript"/>
            <w:lang w:eastAsia="en-GB"/>
          </w:rPr>
          <w:t>10</w:t>
        </w:r>
        <w:r w:rsidR="00183E02" w:rsidRPr="00AC7A3A">
          <w:rPr>
            <w:rStyle w:val="Hyperlink"/>
            <w:noProof/>
            <w:sz w:val="22"/>
            <w:szCs w:val="22"/>
            <w:lang w:eastAsia="en-GB"/>
          </w:rPr>
          <w:t xml:space="preserve"> annual mean concentrations (2022 baseline)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_Toc160129362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87</w:t>
        </w:r>
        <w:r w:rsidR="00183E02" w:rsidRPr="00AC7A3A">
          <w:rPr>
            <w:noProof/>
            <w:webHidden/>
            <w:sz w:val="22"/>
            <w:szCs w:val="22"/>
          </w:rPr>
          <w:fldChar w:fldCharType="end"/>
        </w:r>
      </w:hyperlink>
    </w:p>
    <w:p w14:paraId="21CF20EA" w14:textId="7B282EF4"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3" w:history="1">
        <w:r w:rsidR="00183E02" w:rsidRPr="00AC7A3A">
          <w:rPr>
            <w:rStyle w:val="Hyperlink"/>
            <w:noProof/>
            <w:sz w:val="22"/>
            <w:szCs w:val="22"/>
          </w:rPr>
          <w:t>Figure 2</w:t>
        </w:r>
        <w:r w:rsidR="00183E02" w:rsidRPr="00AC7A3A">
          <w:rPr>
            <w:rStyle w:val="Hyperlink"/>
            <w:noProof/>
            <w:sz w:val="22"/>
            <w:szCs w:val="22"/>
          </w:rPr>
          <w:noBreakHyphen/>
          <w:t xml:space="preserve">G – </w:t>
        </w:r>
        <w:r w:rsidR="00183E02" w:rsidRPr="00AC7A3A">
          <w:rPr>
            <w:rStyle w:val="Hyperlink"/>
            <w:noProof/>
            <w:sz w:val="22"/>
            <w:szCs w:val="22"/>
            <w:lang w:eastAsia="en-GB"/>
          </w:rPr>
          <w:t>Modelled PM</w:t>
        </w:r>
        <w:r w:rsidR="00183E02" w:rsidRPr="00AC7A3A">
          <w:rPr>
            <w:rStyle w:val="Hyperlink"/>
            <w:noProof/>
            <w:sz w:val="22"/>
            <w:szCs w:val="22"/>
            <w:vertAlign w:val="subscript"/>
            <w:lang w:eastAsia="en-GB"/>
          </w:rPr>
          <w:t>2.5</w:t>
        </w:r>
        <w:r w:rsidR="00183E02" w:rsidRPr="00AC7A3A">
          <w:rPr>
            <w:rStyle w:val="Hyperlink"/>
            <w:noProof/>
            <w:sz w:val="22"/>
            <w:szCs w:val="22"/>
            <w:lang w:eastAsia="en-GB"/>
          </w:rPr>
          <w:t xml:space="preserve"> annual mean concentrations (2022 baseline)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88</w:t>
        </w:r>
        <w:r w:rsidR="00183E02" w:rsidRPr="00AC7A3A">
          <w:rPr>
            <w:noProof/>
            <w:webHidden/>
            <w:sz w:val="22"/>
            <w:szCs w:val="22"/>
          </w:rPr>
          <w:fldChar w:fldCharType="end"/>
        </w:r>
      </w:hyperlink>
    </w:p>
    <w:p w14:paraId="222E69BB" w14:textId="1CEE3781"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4" w:history="1">
        <w:r w:rsidR="00183E02" w:rsidRPr="00AC7A3A">
          <w:rPr>
            <w:rStyle w:val="Hyperlink"/>
            <w:noProof/>
            <w:sz w:val="22"/>
            <w:szCs w:val="22"/>
          </w:rPr>
          <w:t>Figure 3</w:t>
        </w:r>
        <w:r w:rsidR="00183E02" w:rsidRPr="00AC7A3A">
          <w:rPr>
            <w:rStyle w:val="Hyperlink"/>
            <w:noProof/>
            <w:sz w:val="22"/>
            <w:szCs w:val="22"/>
          </w:rPr>
          <w:noBreakHyphen/>
          <w:t>A - workflow and data used to calculate source apportionment</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_Toc160129364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92</w:t>
        </w:r>
        <w:r w:rsidR="00183E02" w:rsidRPr="00AC7A3A">
          <w:rPr>
            <w:noProof/>
            <w:webHidden/>
            <w:sz w:val="22"/>
            <w:szCs w:val="22"/>
          </w:rPr>
          <w:fldChar w:fldCharType="end"/>
        </w:r>
      </w:hyperlink>
    </w:p>
    <w:p w14:paraId="699AF1AA" w14:textId="61DF4215"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5" w:history="1">
        <w:r w:rsidR="00183E02" w:rsidRPr="00AC7A3A">
          <w:rPr>
            <w:rStyle w:val="Hyperlink"/>
            <w:noProof/>
            <w:sz w:val="22"/>
            <w:szCs w:val="22"/>
          </w:rPr>
          <w:t>Figure 3</w:t>
        </w:r>
        <w:r w:rsidR="00183E02" w:rsidRPr="00AC7A3A">
          <w:rPr>
            <w:rStyle w:val="Hyperlink"/>
            <w:noProof/>
            <w:sz w:val="22"/>
            <w:szCs w:val="22"/>
          </w:rPr>
          <w:noBreakHyphen/>
          <w:t>B - NOx source apportionment for the 2022 Baseline scenario at monitoring locations, broken down by road and background sources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_Toc160129365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94</w:t>
        </w:r>
        <w:r w:rsidR="00183E02" w:rsidRPr="00AC7A3A">
          <w:rPr>
            <w:noProof/>
            <w:webHidden/>
            <w:sz w:val="22"/>
            <w:szCs w:val="22"/>
          </w:rPr>
          <w:fldChar w:fldCharType="end"/>
        </w:r>
      </w:hyperlink>
    </w:p>
    <w:p w14:paraId="7835F294" w14:textId="4EFE1C76"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6" w:history="1">
        <w:r w:rsidR="00183E02" w:rsidRPr="00AC7A3A">
          <w:rPr>
            <w:rStyle w:val="Hyperlink"/>
            <w:noProof/>
            <w:sz w:val="22"/>
            <w:szCs w:val="22"/>
          </w:rPr>
          <w:t>Figure 3</w:t>
        </w:r>
        <w:r w:rsidR="00183E02" w:rsidRPr="00AC7A3A">
          <w:rPr>
            <w:rStyle w:val="Hyperlink"/>
            <w:noProof/>
            <w:sz w:val="22"/>
            <w:szCs w:val="22"/>
          </w:rPr>
          <w:noBreakHyphen/>
          <w:t>C – PM</w:t>
        </w:r>
        <w:r w:rsidR="00183E02" w:rsidRPr="00AC7A3A">
          <w:rPr>
            <w:rStyle w:val="Hyperlink"/>
            <w:noProof/>
            <w:sz w:val="22"/>
            <w:szCs w:val="22"/>
            <w:vertAlign w:val="subscript"/>
          </w:rPr>
          <w:t>10</w:t>
        </w:r>
        <w:r w:rsidR="00183E02" w:rsidRPr="00AC7A3A">
          <w:rPr>
            <w:rStyle w:val="Hyperlink"/>
            <w:noProof/>
            <w:sz w:val="22"/>
            <w:szCs w:val="22"/>
          </w:rPr>
          <w:t xml:space="preserve"> source apportionment for the 2022 Baseline scenario at monitoring locations, broken down by road and background sources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_Toc160129366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95</w:t>
        </w:r>
        <w:r w:rsidR="00183E02" w:rsidRPr="00AC7A3A">
          <w:rPr>
            <w:noProof/>
            <w:webHidden/>
            <w:sz w:val="22"/>
            <w:szCs w:val="22"/>
          </w:rPr>
          <w:fldChar w:fldCharType="end"/>
        </w:r>
      </w:hyperlink>
    </w:p>
    <w:p w14:paraId="48A80037" w14:textId="2905DCBF"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7" w:history="1">
        <w:r w:rsidR="00183E02" w:rsidRPr="00AC7A3A">
          <w:rPr>
            <w:rStyle w:val="Hyperlink"/>
            <w:noProof/>
            <w:sz w:val="22"/>
            <w:szCs w:val="22"/>
          </w:rPr>
          <w:t>Figure 3</w:t>
        </w:r>
        <w:r w:rsidR="00183E02" w:rsidRPr="00AC7A3A">
          <w:rPr>
            <w:rStyle w:val="Hyperlink"/>
            <w:noProof/>
            <w:sz w:val="22"/>
            <w:szCs w:val="22"/>
          </w:rPr>
          <w:noBreakHyphen/>
          <w:t>D – PM</w:t>
        </w:r>
        <w:r w:rsidR="00183E02" w:rsidRPr="00AC7A3A">
          <w:rPr>
            <w:rStyle w:val="Hyperlink"/>
            <w:noProof/>
            <w:sz w:val="22"/>
            <w:szCs w:val="22"/>
            <w:vertAlign w:val="subscript"/>
          </w:rPr>
          <w:t>2.5</w:t>
        </w:r>
        <w:r w:rsidR="00183E02" w:rsidRPr="00AC7A3A">
          <w:rPr>
            <w:rStyle w:val="Hyperlink"/>
            <w:noProof/>
            <w:sz w:val="22"/>
            <w:szCs w:val="22"/>
          </w:rPr>
          <w:t xml:space="preserve"> source apportionment for the 2022 Baseline scenario at monitoring locations, broken down by road and background sources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_Toc160129367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96</w:t>
        </w:r>
        <w:r w:rsidR="00183E02" w:rsidRPr="00AC7A3A">
          <w:rPr>
            <w:noProof/>
            <w:webHidden/>
            <w:sz w:val="22"/>
            <w:szCs w:val="22"/>
          </w:rPr>
          <w:fldChar w:fldCharType="end"/>
        </w:r>
      </w:hyperlink>
    </w:p>
    <w:p w14:paraId="701D1FE9" w14:textId="44EA2C1B"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8" w:history="1">
        <w:r w:rsidR="00183E02" w:rsidRPr="00AC7A3A">
          <w:rPr>
            <w:rStyle w:val="Hyperlink"/>
            <w:noProof/>
            <w:sz w:val="22"/>
            <w:szCs w:val="22"/>
          </w:rPr>
          <w:t>Figure 4</w:t>
        </w:r>
        <w:r w:rsidR="00183E02" w:rsidRPr="00AC7A3A">
          <w:rPr>
            <w:rStyle w:val="Hyperlink"/>
            <w:noProof/>
            <w:sz w:val="22"/>
            <w:szCs w:val="22"/>
          </w:rPr>
          <w:noBreakHyphen/>
          <w:t>A – scenario modelling NO</w:t>
        </w:r>
        <w:r w:rsidR="00183E02" w:rsidRPr="00AC7A3A">
          <w:rPr>
            <w:rStyle w:val="Hyperlink"/>
            <w:noProof/>
            <w:sz w:val="22"/>
            <w:szCs w:val="22"/>
            <w:vertAlign w:val="subscript"/>
          </w:rPr>
          <w:t>2</w:t>
        </w:r>
        <w:r w:rsidR="00183E02" w:rsidRPr="00AC7A3A">
          <w:rPr>
            <w:rStyle w:val="Hyperlink"/>
            <w:noProof/>
            <w:sz w:val="22"/>
            <w:szCs w:val="22"/>
          </w:rPr>
          <w:t xml:space="preserve"> concentrations across AQMA 4 monitoring sites using individual adjustment factors.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_Toc160129368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104</w:t>
        </w:r>
        <w:r w:rsidR="00183E02" w:rsidRPr="00AC7A3A">
          <w:rPr>
            <w:noProof/>
            <w:webHidden/>
            <w:sz w:val="22"/>
            <w:szCs w:val="22"/>
          </w:rPr>
          <w:fldChar w:fldCharType="end"/>
        </w:r>
      </w:hyperlink>
    </w:p>
    <w:p w14:paraId="285E16FF" w14:textId="18161EAD"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69" w:history="1">
        <w:r w:rsidR="00183E02" w:rsidRPr="00AC7A3A">
          <w:rPr>
            <w:rStyle w:val="Hyperlink"/>
            <w:noProof/>
            <w:sz w:val="22"/>
            <w:szCs w:val="22"/>
          </w:rPr>
          <w:t>Figure E.1: Distribution of unhealthy behaviour concerns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_Toc160129369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140</w:t>
        </w:r>
        <w:r w:rsidR="00183E02" w:rsidRPr="00AC7A3A">
          <w:rPr>
            <w:noProof/>
            <w:webHidden/>
            <w:sz w:val="22"/>
            <w:szCs w:val="22"/>
          </w:rPr>
          <w:fldChar w:fldCharType="end"/>
        </w:r>
      </w:hyperlink>
    </w:p>
    <w:p w14:paraId="3CA4F719" w14:textId="2E8EF85A"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0" w:history="1">
        <w:r w:rsidR="00183E02" w:rsidRPr="00AC7A3A">
          <w:rPr>
            <w:rStyle w:val="Hyperlink"/>
            <w:noProof/>
            <w:sz w:val="22"/>
            <w:szCs w:val="22"/>
          </w:rPr>
          <w:t>Figure E.2: Distribution of healthy changes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_Toc160129370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141</w:t>
        </w:r>
        <w:r w:rsidR="00183E02" w:rsidRPr="00AC7A3A">
          <w:rPr>
            <w:noProof/>
            <w:webHidden/>
            <w:sz w:val="22"/>
            <w:szCs w:val="22"/>
          </w:rPr>
          <w:fldChar w:fldCharType="end"/>
        </w:r>
      </w:hyperlink>
    </w:p>
    <w:p w14:paraId="1FA85858" w14:textId="613E68DE"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1" w:history="1">
        <w:r w:rsidR="00183E02" w:rsidRPr="00AC7A3A">
          <w:rPr>
            <w:rStyle w:val="Hyperlink"/>
            <w:noProof/>
            <w:sz w:val="22"/>
            <w:szCs w:val="22"/>
          </w:rPr>
          <w:t>Figure E.3: Distribution of transport modes via the A4</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_Toc160129371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144</w:t>
        </w:r>
        <w:r w:rsidR="00183E02" w:rsidRPr="00AC7A3A">
          <w:rPr>
            <w:noProof/>
            <w:webHidden/>
            <w:sz w:val="22"/>
            <w:szCs w:val="22"/>
          </w:rPr>
          <w:fldChar w:fldCharType="end"/>
        </w:r>
      </w:hyperlink>
    </w:p>
    <w:p w14:paraId="1851EEC7" w14:textId="73DA1610"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2" w:history="1">
        <w:r w:rsidR="00183E02" w:rsidRPr="00AC7A3A">
          <w:rPr>
            <w:rStyle w:val="Hyperlink"/>
            <w:noProof/>
            <w:sz w:val="22"/>
            <w:szCs w:val="22"/>
          </w:rPr>
          <w:t>Figure E.4: Distribution of journey destinations via the A4</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_Toc160129372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144</w:t>
        </w:r>
        <w:r w:rsidR="00183E02" w:rsidRPr="00AC7A3A">
          <w:rPr>
            <w:noProof/>
            <w:webHidden/>
            <w:sz w:val="22"/>
            <w:szCs w:val="22"/>
          </w:rPr>
          <w:fldChar w:fldCharType="end"/>
        </w:r>
      </w:hyperlink>
    </w:p>
    <w:p w14:paraId="1A4214B9" w14:textId="479AF2DC"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3" w:history="1">
        <w:r w:rsidR="00183E02" w:rsidRPr="00AC7A3A">
          <w:rPr>
            <w:rStyle w:val="Hyperlink"/>
            <w:noProof/>
            <w:sz w:val="22"/>
            <w:szCs w:val="22"/>
          </w:rPr>
          <w:t>Figure E.5: Mode change as a result of the A4 scheme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145</w:t>
        </w:r>
        <w:r w:rsidR="00183E02" w:rsidRPr="00AC7A3A">
          <w:rPr>
            <w:noProof/>
            <w:webHidden/>
            <w:sz w:val="22"/>
            <w:szCs w:val="22"/>
          </w:rPr>
          <w:fldChar w:fldCharType="end"/>
        </w:r>
      </w:hyperlink>
    </w:p>
    <w:p w14:paraId="7421BB2B" w14:textId="427773CE"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4" w:history="1">
        <w:r w:rsidR="00183E02" w:rsidRPr="00AC7A3A">
          <w:rPr>
            <w:rStyle w:val="Hyperlink"/>
            <w:noProof/>
            <w:sz w:val="22"/>
            <w:szCs w:val="22"/>
          </w:rPr>
          <w:t>Figure E.6: Distribution and theme of positive and negative comments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_Toc160129374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147</w:t>
        </w:r>
        <w:r w:rsidR="00183E02" w:rsidRPr="00AC7A3A">
          <w:rPr>
            <w:noProof/>
            <w:webHidden/>
            <w:sz w:val="22"/>
            <w:szCs w:val="22"/>
          </w:rPr>
          <w:fldChar w:fldCharType="end"/>
        </w:r>
      </w:hyperlink>
    </w:p>
    <w:p w14:paraId="4D166924" w14:textId="0B1D6F9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5" w:history="1">
        <w:r w:rsidR="00183E02" w:rsidRPr="00AC7A3A">
          <w:rPr>
            <w:rStyle w:val="Hyperlink"/>
            <w:noProof/>
            <w:sz w:val="22"/>
            <w:szCs w:val="22"/>
          </w:rPr>
          <w:t>Figure E.7: Distribution of journey destinations for car users only</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_Toc160129375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148</w:t>
        </w:r>
        <w:r w:rsidR="00183E02" w:rsidRPr="00AC7A3A">
          <w:rPr>
            <w:noProof/>
            <w:webHidden/>
            <w:sz w:val="22"/>
            <w:szCs w:val="22"/>
          </w:rPr>
          <w:fldChar w:fldCharType="end"/>
        </w:r>
      </w:hyperlink>
    </w:p>
    <w:p w14:paraId="6FCC621E" w14:textId="494191FC"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6" w:history="1">
        <w:r w:rsidR="00183E02" w:rsidRPr="00AC7A3A">
          <w:rPr>
            <w:rStyle w:val="Hyperlink"/>
            <w:noProof/>
            <w:sz w:val="22"/>
            <w:szCs w:val="22"/>
          </w:rPr>
          <w:t>Figure E.8: Mode change as a result of the A4 scheme for car users only</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_Toc160129376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148</w:t>
        </w:r>
        <w:r w:rsidR="00183E02" w:rsidRPr="00AC7A3A">
          <w:rPr>
            <w:noProof/>
            <w:webHidden/>
            <w:sz w:val="22"/>
            <w:szCs w:val="22"/>
          </w:rPr>
          <w:fldChar w:fldCharType="end"/>
        </w:r>
      </w:hyperlink>
    </w:p>
    <w:p w14:paraId="0EDD0326" w14:textId="3640DF55"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7" w:history="1">
        <w:r w:rsidR="00183E02" w:rsidRPr="00AC7A3A">
          <w:rPr>
            <w:rStyle w:val="Hyperlink"/>
            <w:noProof/>
            <w:sz w:val="22"/>
            <w:szCs w:val="22"/>
          </w:rPr>
          <w:t>Figure E.9: Mode change as a result of the scheme (excluding car only users)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_Toc160129377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149</w:t>
        </w:r>
        <w:r w:rsidR="00183E02" w:rsidRPr="00AC7A3A">
          <w:rPr>
            <w:noProof/>
            <w:webHidden/>
            <w:sz w:val="22"/>
            <w:szCs w:val="22"/>
          </w:rPr>
          <w:fldChar w:fldCharType="end"/>
        </w:r>
      </w:hyperlink>
    </w:p>
    <w:p w14:paraId="4FCE9229" w14:textId="5DFB8BF6"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8" w:history="1">
        <w:r w:rsidR="00183E02" w:rsidRPr="00AC7A3A">
          <w:rPr>
            <w:rStyle w:val="Hyperlink"/>
            <w:noProof/>
            <w:sz w:val="22"/>
            <w:szCs w:val="22"/>
          </w:rPr>
          <w:t>Figure E:10: School attitudes towards health, active travel and air quality</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_Toc160129378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152</w:t>
        </w:r>
        <w:r w:rsidR="00183E02" w:rsidRPr="00AC7A3A">
          <w:rPr>
            <w:noProof/>
            <w:webHidden/>
            <w:sz w:val="22"/>
            <w:szCs w:val="22"/>
          </w:rPr>
          <w:fldChar w:fldCharType="end"/>
        </w:r>
      </w:hyperlink>
    </w:p>
    <w:p w14:paraId="42CA0211" w14:textId="440DAC0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79" w:history="1">
        <w:r w:rsidR="00183E02" w:rsidRPr="00AC7A3A">
          <w:rPr>
            <w:rStyle w:val="Hyperlink"/>
            <w:noProof/>
            <w:sz w:val="22"/>
            <w:szCs w:val="22"/>
          </w:rPr>
          <w:t>Figure E.11: Annual school travel mode proportions from 2018/19 to 2022/23</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_Toc160129379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157</w:t>
        </w:r>
        <w:r w:rsidR="00183E02" w:rsidRPr="00AC7A3A">
          <w:rPr>
            <w:noProof/>
            <w:webHidden/>
            <w:sz w:val="22"/>
            <w:szCs w:val="22"/>
          </w:rPr>
          <w:fldChar w:fldCharType="end"/>
        </w:r>
      </w:hyperlink>
    </w:p>
    <w:p w14:paraId="5ABE117A" w14:textId="7F65813E"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0" w:history="1">
        <w:r w:rsidR="00183E02" w:rsidRPr="00AC7A3A">
          <w:rPr>
            <w:rStyle w:val="Hyperlink"/>
            <w:noProof/>
            <w:sz w:val="22"/>
            <w:szCs w:val="22"/>
          </w:rPr>
          <w:t>Figure E.12: Comparison of usual travel modes between School A - C</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_Toc160129380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159</w:t>
        </w:r>
        <w:r w:rsidR="00183E02" w:rsidRPr="00AC7A3A">
          <w:rPr>
            <w:noProof/>
            <w:webHidden/>
            <w:sz w:val="22"/>
            <w:szCs w:val="22"/>
          </w:rPr>
          <w:fldChar w:fldCharType="end"/>
        </w:r>
      </w:hyperlink>
    </w:p>
    <w:p w14:paraId="48B16437" w14:textId="0CCB9459"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1" w:history="1">
        <w:r w:rsidR="00183E02" w:rsidRPr="00AC7A3A">
          <w:rPr>
            <w:rStyle w:val="Hyperlink"/>
            <w:noProof/>
            <w:sz w:val="22"/>
            <w:szCs w:val="22"/>
          </w:rPr>
          <w:t>Figure E.13: Comparison of preferred travel modes between School A - C</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_Toc160129381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159</w:t>
        </w:r>
        <w:r w:rsidR="00183E02" w:rsidRPr="00AC7A3A">
          <w:rPr>
            <w:noProof/>
            <w:webHidden/>
            <w:sz w:val="22"/>
            <w:szCs w:val="22"/>
          </w:rPr>
          <w:fldChar w:fldCharType="end"/>
        </w:r>
      </w:hyperlink>
    </w:p>
    <w:p w14:paraId="585E653A" w14:textId="395D4B4E"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2" w:history="1">
        <w:r w:rsidR="00183E02" w:rsidRPr="00AC7A3A">
          <w:rPr>
            <w:rStyle w:val="Hyperlink"/>
            <w:noProof/>
            <w:sz w:val="22"/>
            <w:szCs w:val="22"/>
          </w:rPr>
          <w:t>Figure E.14: Distribution of school travel modes by age group for School A</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_Toc160129382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164</w:t>
        </w:r>
        <w:r w:rsidR="00183E02" w:rsidRPr="00AC7A3A">
          <w:rPr>
            <w:noProof/>
            <w:webHidden/>
            <w:sz w:val="22"/>
            <w:szCs w:val="22"/>
          </w:rPr>
          <w:fldChar w:fldCharType="end"/>
        </w:r>
      </w:hyperlink>
    </w:p>
    <w:p w14:paraId="385E3458" w14:textId="0CD4679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3" w:history="1">
        <w:r w:rsidR="00183E02" w:rsidRPr="00AC7A3A">
          <w:rPr>
            <w:rStyle w:val="Hyperlink"/>
            <w:noProof/>
            <w:sz w:val="22"/>
            <w:szCs w:val="22"/>
          </w:rPr>
          <w:t>Figure E.15: Distribution of school travel modes by age group for School B</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165</w:t>
        </w:r>
        <w:r w:rsidR="00183E02" w:rsidRPr="00AC7A3A">
          <w:rPr>
            <w:noProof/>
            <w:webHidden/>
            <w:sz w:val="22"/>
            <w:szCs w:val="22"/>
          </w:rPr>
          <w:fldChar w:fldCharType="end"/>
        </w:r>
      </w:hyperlink>
    </w:p>
    <w:p w14:paraId="110AD862" w14:textId="05BDE547"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4" w:history="1">
        <w:r w:rsidR="00183E02" w:rsidRPr="00AC7A3A">
          <w:rPr>
            <w:rStyle w:val="Hyperlink"/>
            <w:noProof/>
            <w:sz w:val="22"/>
            <w:szCs w:val="22"/>
          </w:rPr>
          <w:t>Figure E.16: Geographic distribution of respondents by zone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_Toc160129384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167</w:t>
        </w:r>
        <w:r w:rsidR="00183E02" w:rsidRPr="00AC7A3A">
          <w:rPr>
            <w:noProof/>
            <w:webHidden/>
            <w:sz w:val="22"/>
            <w:szCs w:val="22"/>
          </w:rPr>
          <w:fldChar w:fldCharType="end"/>
        </w:r>
      </w:hyperlink>
    </w:p>
    <w:p w14:paraId="681BD4DB" w14:textId="0E752BC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5" w:history="1">
        <w:r w:rsidR="00183E02" w:rsidRPr="00AC7A3A">
          <w:rPr>
            <w:rStyle w:val="Hyperlink"/>
            <w:noProof/>
            <w:sz w:val="22"/>
            <w:szCs w:val="22"/>
          </w:rPr>
          <w:t>Figure E.17: Distribution of responses regarding sustainable transport modes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_Toc160129385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168</w:t>
        </w:r>
        <w:r w:rsidR="00183E02" w:rsidRPr="00AC7A3A">
          <w:rPr>
            <w:noProof/>
            <w:webHidden/>
            <w:sz w:val="22"/>
            <w:szCs w:val="22"/>
          </w:rPr>
          <w:fldChar w:fldCharType="end"/>
        </w:r>
      </w:hyperlink>
    </w:p>
    <w:p w14:paraId="0EC1CAAD" w14:textId="0B8019B4"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6" w:history="1">
        <w:r w:rsidR="00183E02" w:rsidRPr="00AC7A3A">
          <w:rPr>
            <w:rStyle w:val="Hyperlink"/>
            <w:noProof/>
            <w:sz w:val="22"/>
            <w:szCs w:val="22"/>
          </w:rPr>
          <w:t>Figure E.18: Distribution of voted pollutant sources</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_Toc160129386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169</w:t>
        </w:r>
        <w:r w:rsidR="00183E02" w:rsidRPr="00AC7A3A">
          <w:rPr>
            <w:noProof/>
            <w:webHidden/>
            <w:sz w:val="22"/>
            <w:szCs w:val="22"/>
          </w:rPr>
          <w:fldChar w:fldCharType="end"/>
        </w:r>
      </w:hyperlink>
    </w:p>
    <w:p w14:paraId="3B88FEA7" w14:textId="10740F64"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7" w:history="1">
        <w:r w:rsidR="00183E02" w:rsidRPr="00AC7A3A">
          <w:rPr>
            <w:rStyle w:val="Hyperlink"/>
            <w:noProof/>
            <w:sz w:val="22"/>
            <w:szCs w:val="22"/>
          </w:rPr>
          <w:t>Figure E.19: Respondent awareness of Heathrow Airwatch website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_Toc160129387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170</w:t>
        </w:r>
        <w:r w:rsidR="00183E02" w:rsidRPr="00AC7A3A">
          <w:rPr>
            <w:noProof/>
            <w:webHidden/>
            <w:sz w:val="22"/>
            <w:szCs w:val="22"/>
          </w:rPr>
          <w:fldChar w:fldCharType="end"/>
        </w:r>
      </w:hyperlink>
    </w:p>
    <w:p w14:paraId="119E222A" w14:textId="487D0B95"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8" w:history="1">
        <w:r w:rsidR="00183E02" w:rsidRPr="00AC7A3A">
          <w:rPr>
            <w:rStyle w:val="Hyperlink"/>
            <w:noProof/>
            <w:sz w:val="22"/>
            <w:szCs w:val="22"/>
          </w:rPr>
          <w:t>Figure E.20: Likelihood of visiting Heathrow Airwatch website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_Toc160129388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170</w:t>
        </w:r>
        <w:r w:rsidR="00183E02" w:rsidRPr="00AC7A3A">
          <w:rPr>
            <w:noProof/>
            <w:webHidden/>
            <w:sz w:val="22"/>
            <w:szCs w:val="22"/>
          </w:rPr>
          <w:fldChar w:fldCharType="end"/>
        </w:r>
      </w:hyperlink>
    </w:p>
    <w:p w14:paraId="7A916265" w14:textId="18E10764"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89" w:history="1">
        <w:r w:rsidR="00183E02" w:rsidRPr="00AC7A3A">
          <w:rPr>
            <w:rStyle w:val="Hyperlink"/>
            <w:noProof/>
            <w:sz w:val="22"/>
            <w:szCs w:val="22"/>
          </w:rPr>
          <w:t>Figure E.21: Vehicle ownership per household in Slough compared to other local authorities and the England and South East average</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_Toc160129389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174</w:t>
        </w:r>
        <w:r w:rsidR="00183E02" w:rsidRPr="00AC7A3A">
          <w:rPr>
            <w:noProof/>
            <w:webHidden/>
            <w:sz w:val="22"/>
            <w:szCs w:val="22"/>
          </w:rPr>
          <w:fldChar w:fldCharType="end"/>
        </w:r>
      </w:hyperlink>
    </w:p>
    <w:p w14:paraId="3678C549" w14:textId="25094791"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0" w:history="1">
        <w:r w:rsidR="00183E02" w:rsidRPr="00AC7A3A">
          <w:rPr>
            <w:rStyle w:val="Hyperlink"/>
            <w:noProof/>
            <w:sz w:val="22"/>
            <w:szCs w:val="22"/>
          </w:rPr>
          <w:t>Figure E.22: Correlation between percentage of households with three or more cars or vans and population density</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_Toc160129390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175</w:t>
        </w:r>
        <w:r w:rsidR="00183E02" w:rsidRPr="00AC7A3A">
          <w:rPr>
            <w:noProof/>
            <w:webHidden/>
            <w:sz w:val="22"/>
            <w:szCs w:val="22"/>
          </w:rPr>
          <w:fldChar w:fldCharType="end"/>
        </w:r>
      </w:hyperlink>
    </w:p>
    <w:p w14:paraId="52356074" w14:textId="3D7F5109"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1" w:history="1">
        <w:r w:rsidR="00183E02" w:rsidRPr="00AC7A3A">
          <w:rPr>
            <w:rStyle w:val="Hyperlink"/>
            <w:noProof/>
            <w:sz w:val="22"/>
            <w:szCs w:val="22"/>
          </w:rPr>
          <w:t>Figure E.23: Breakdown of economic activity by group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_Toc160129391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176</w:t>
        </w:r>
        <w:r w:rsidR="00183E02" w:rsidRPr="00AC7A3A">
          <w:rPr>
            <w:noProof/>
            <w:webHidden/>
            <w:sz w:val="22"/>
            <w:szCs w:val="22"/>
          </w:rPr>
          <w:fldChar w:fldCharType="end"/>
        </w:r>
      </w:hyperlink>
    </w:p>
    <w:p w14:paraId="64C2214C" w14:textId="742C2B5B"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2" w:history="1">
        <w:r w:rsidR="00183E02" w:rsidRPr="00AC7A3A">
          <w:rPr>
            <w:rStyle w:val="Hyperlink"/>
            <w:noProof/>
            <w:sz w:val="22"/>
            <w:szCs w:val="22"/>
          </w:rPr>
          <w:t>Figure E.24: Mode choice distribution for Slough residents who are employed and travel to work</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_Toc160129392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177</w:t>
        </w:r>
        <w:r w:rsidR="00183E02" w:rsidRPr="00AC7A3A">
          <w:rPr>
            <w:noProof/>
            <w:webHidden/>
            <w:sz w:val="22"/>
            <w:szCs w:val="22"/>
          </w:rPr>
          <w:fldChar w:fldCharType="end"/>
        </w:r>
      </w:hyperlink>
    </w:p>
    <w:p w14:paraId="068454AD" w14:textId="45191BEF"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3" w:history="1">
        <w:r w:rsidR="00183E02" w:rsidRPr="00AC7A3A">
          <w:rPr>
            <w:rStyle w:val="Hyperlink"/>
            <w:noProof/>
            <w:sz w:val="22"/>
            <w:szCs w:val="22"/>
          </w:rPr>
          <w:t>Figure E.25: Detailed mode choice distribution for Slough residents who are employed and travel to work</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177</w:t>
        </w:r>
        <w:r w:rsidR="00183E02" w:rsidRPr="00AC7A3A">
          <w:rPr>
            <w:noProof/>
            <w:webHidden/>
            <w:sz w:val="22"/>
            <w:szCs w:val="22"/>
          </w:rPr>
          <w:fldChar w:fldCharType="end"/>
        </w:r>
      </w:hyperlink>
    </w:p>
    <w:p w14:paraId="1DB13230" w14:textId="7BB3CF90"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4" w:history="1">
        <w:r w:rsidR="00183E02" w:rsidRPr="00AC7A3A">
          <w:rPr>
            <w:rStyle w:val="Hyperlink"/>
            <w:noProof/>
            <w:sz w:val="22"/>
            <w:szCs w:val="22"/>
          </w:rPr>
          <w:t>Figure E:26: Distance travelled for Slough residents who are employed and travel to work</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_Toc160129394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178</w:t>
        </w:r>
        <w:r w:rsidR="00183E02" w:rsidRPr="00AC7A3A">
          <w:rPr>
            <w:noProof/>
            <w:webHidden/>
            <w:sz w:val="22"/>
            <w:szCs w:val="22"/>
          </w:rPr>
          <w:fldChar w:fldCharType="end"/>
        </w:r>
      </w:hyperlink>
    </w:p>
    <w:p w14:paraId="31DF1DE6" w14:textId="58C6354A"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5" w:history="1">
        <w:r w:rsidR="00183E02" w:rsidRPr="00AC7A3A">
          <w:rPr>
            <w:rStyle w:val="Hyperlink"/>
            <w:noProof/>
            <w:sz w:val="22"/>
            <w:szCs w:val="22"/>
          </w:rPr>
          <w:t>Figure E.27: Distances travelled by mode category</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_Toc160129395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179</w:t>
        </w:r>
        <w:r w:rsidR="00183E02" w:rsidRPr="00AC7A3A">
          <w:rPr>
            <w:noProof/>
            <w:webHidden/>
            <w:sz w:val="22"/>
            <w:szCs w:val="22"/>
          </w:rPr>
          <w:fldChar w:fldCharType="end"/>
        </w:r>
      </w:hyperlink>
    </w:p>
    <w:p w14:paraId="578ADED0" w14:textId="3F1EB55C"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6" w:history="1">
        <w:r w:rsidR="00183E02" w:rsidRPr="00AC7A3A">
          <w:rPr>
            <w:rStyle w:val="Hyperlink"/>
            <w:noProof/>
            <w:sz w:val="22"/>
            <w:szCs w:val="22"/>
          </w:rPr>
          <w:t>Figure E.28: Mode choices for Slough residents who travel &lt;10km to get to work</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_Toc160129396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180</w:t>
        </w:r>
        <w:r w:rsidR="00183E02" w:rsidRPr="00AC7A3A">
          <w:rPr>
            <w:noProof/>
            <w:webHidden/>
            <w:sz w:val="22"/>
            <w:szCs w:val="22"/>
          </w:rPr>
          <w:fldChar w:fldCharType="end"/>
        </w:r>
      </w:hyperlink>
    </w:p>
    <w:p w14:paraId="0592BEBD" w14:textId="4C7DF586"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7" w:history="1">
        <w:r w:rsidR="00183E02" w:rsidRPr="00AC7A3A">
          <w:rPr>
            <w:rStyle w:val="Hyperlink"/>
            <w:noProof/>
            <w:sz w:val="22"/>
            <w:szCs w:val="22"/>
          </w:rPr>
          <w:t>Figure E.29: percentage of Slough residents who travel less than 10km to work by location</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_Toc160129397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181</w:t>
        </w:r>
        <w:r w:rsidR="00183E02" w:rsidRPr="00AC7A3A">
          <w:rPr>
            <w:noProof/>
            <w:webHidden/>
            <w:sz w:val="22"/>
            <w:szCs w:val="22"/>
          </w:rPr>
          <w:fldChar w:fldCharType="end"/>
        </w:r>
      </w:hyperlink>
    </w:p>
    <w:p w14:paraId="69ABFEB9" w14:textId="152B957C"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8" w:history="1">
        <w:r w:rsidR="00183E02" w:rsidRPr="00AC7A3A">
          <w:rPr>
            <w:rStyle w:val="Hyperlink"/>
            <w:rFonts w:eastAsiaTheme="minorHAnsi" w:cs="Arial"/>
            <w:noProof/>
            <w:sz w:val="22"/>
            <w:szCs w:val="22"/>
          </w:rPr>
          <w:t>Figure E.30: Bus routes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_Toc160129398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181</w:t>
        </w:r>
        <w:r w:rsidR="00183E02" w:rsidRPr="00AC7A3A">
          <w:rPr>
            <w:noProof/>
            <w:webHidden/>
            <w:sz w:val="22"/>
            <w:szCs w:val="22"/>
          </w:rPr>
          <w:fldChar w:fldCharType="end"/>
        </w:r>
      </w:hyperlink>
    </w:p>
    <w:p w14:paraId="0657E38A" w14:textId="4AA6B0FB"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399" w:history="1">
        <w:r w:rsidR="00183E02" w:rsidRPr="00AC7A3A">
          <w:rPr>
            <w:rStyle w:val="Hyperlink"/>
            <w:noProof/>
            <w:sz w:val="22"/>
            <w:szCs w:val="22"/>
          </w:rPr>
          <w:t>Figure E.31: Mode of travel to work in 2011 and 2021</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_Toc160129399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182</w:t>
        </w:r>
        <w:r w:rsidR="00183E02" w:rsidRPr="00AC7A3A">
          <w:rPr>
            <w:noProof/>
            <w:webHidden/>
            <w:sz w:val="22"/>
            <w:szCs w:val="22"/>
          </w:rPr>
          <w:fldChar w:fldCharType="end"/>
        </w:r>
      </w:hyperlink>
    </w:p>
    <w:p w14:paraId="74C0E0EC" w14:textId="2281C4FE"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400" w:history="1">
        <w:r w:rsidR="00183E02" w:rsidRPr="00AC7A3A">
          <w:rPr>
            <w:rStyle w:val="Hyperlink"/>
            <w:noProof/>
            <w:sz w:val="22"/>
            <w:szCs w:val="22"/>
          </w:rPr>
          <w:t>Figure E.32: Mode of travel to work in 2011 and 2021 (excluding home working and driving a car or van)</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_Toc160129400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183</w:t>
        </w:r>
        <w:r w:rsidR="00183E02" w:rsidRPr="00AC7A3A">
          <w:rPr>
            <w:noProof/>
            <w:webHidden/>
            <w:sz w:val="22"/>
            <w:szCs w:val="22"/>
          </w:rPr>
          <w:fldChar w:fldCharType="end"/>
        </w:r>
      </w:hyperlink>
    </w:p>
    <w:p w14:paraId="2681BBFE" w14:textId="6554678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401" w:history="1">
        <w:r w:rsidR="00183E02" w:rsidRPr="00AC7A3A">
          <w:rPr>
            <w:rStyle w:val="Hyperlink"/>
            <w:noProof/>
            <w:sz w:val="22"/>
            <w:szCs w:val="22"/>
          </w:rPr>
          <w:t>Figure F.1: Air Quality Management Areas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_Toc160129401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185</w:t>
        </w:r>
        <w:r w:rsidR="00183E02" w:rsidRPr="00AC7A3A">
          <w:rPr>
            <w:noProof/>
            <w:webHidden/>
            <w:sz w:val="22"/>
            <w:szCs w:val="22"/>
          </w:rPr>
          <w:fldChar w:fldCharType="end"/>
        </w:r>
      </w:hyperlink>
    </w:p>
    <w:p w14:paraId="5A15B54C" w14:textId="649922A0"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402" w:history="1">
        <w:r w:rsidR="00183E02" w:rsidRPr="00AC7A3A">
          <w:rPr>
            <w:rStyle w:val="Hyperlink"/>
            <w:noProof/>
            <w:sz w:val="22"/>
            <w:szCs w:val="22"/>
          </w:rPr>
          <w:t>Figure F.2: Passive diffusion tube monitoring sites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_Toc160129402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186</w:t>
        </w:r>
        <w:r w:rsidR="00183E02" w:rsidRPr="00AC7A3A">
          <w:rPr>
            <w:noProof/>
            <w:webHidden/>
            <w:sz w:val="22"/>
            <w:szCs w:val="22"/>
          </w:rPr>
          <w:fldChar w:fldCharType="end"/>
        </w:r>
      </w:hyperlink>
    </w:p>
    <w:p w14:paraId="0DD8FD07" w14:textId="092FEC22" w:rsidR="00183E02" w:rsidRPr="00AC7A3A" w:rsidRDefault="000F4CA1">
      <w:pPr>
        <w:pStyle w:val="TableofFigures"/>
        <w:rPr>
          <w:rFonts w:asciiTheme="minorHAnsi" w:eastAsiaTheme="minorEastAsia" w:hAnsiTheme="minorHAnsi" w:cstheme="minorBidi"/>
          <w:noProof/>
          <w:kern w:val="2"/>
          <w:sz w:val="22"/>
          <w:szCs w:val="22"/>
          <w:lang w:eastAsia="en-GB"/>
          <w14:ligatures w14:val="standardContextual"/>
        </w:rPr>
      </w:pPr>
      <w:hyperlink w:anchor="_Toc160129403" w:history="1">
        <w:r w:rsidR="00183E02" w:rsidRPr="00AC7A3A">
          <w:rPr>
            <w:rStyle w:val="Hyperlink"/>
            <w:noProof/>
            <w:sz w:val="22"/>
            <w:szCs w:val="22"/>
          </w:rPr>
          <w:t>Figure F.3: Automatic (continuous) monitoring sites in Slough</w:t>
        </w:r>
        <w:r w:rsidR="00183E02" w:rsidRPr="00AC7A3A">
          <w:rPr>
            <w:noProof/>
            <w:webHidden/>
            <w:sz w:val="22"/>
            <w:szCs w:val="22"/>
          </w:rPr>
          <w:tab/>
        </w:r>
        <w:r w:rsidR="00183E02" w:rsidRPr="00AC7A3A">
          <w:rPr>
            <w:noProof/>
            <w:webHidden/>
            <w:sz w:val="22"/>
            <w:szCs w:val="22"/>
          </w:rPr>
          <w:fldChar w:fldCharType="begin"/>
        </w:r>
        <w:r w:rsidR="00183E02" w:rsidRPr="00AC7A3A">
          <w:rPr>
            <w:noProof/>
            <w:webHidden/>
            <w:sz w:val="22"/>
            <w:szCs w:val="22"/>
          </w:rPr>
          <w:instrText xml:space="preserve"> PAGEREF _Toc160129403 \h </w:instrText>
        </w:r>
        <w:r w:rsidR="00183E02" w:rsidRPr="00AC7A3A">
          <w:rPr>
            <w:noProof/>
            <w:webHidden/>
            <w:sz w:val="22"/>
            <w:szCs w:val="22"/>
          </w:rPr>
        </w:r>
        <w:r w:rsidR="00183E02" w:rsidRPr="00AC7A3A">
          <w:rPr>
            <w:noProof/>
            <w:webHidden/>
            <w:sz w:val="22"/>
            <w:szCs w:val="22"/>
          </w:rPr>
          <w:fldChar w:fldCharType="separate"/>
        </w:r>
        <w:r w:rsidR="00183E02" w:rsidRPr="00AC7A3A">
          <w:rPr>
            <w:noProof/>
            <w:webHidden/>
            <w:sz w:val="22"/>
            <w:szCs w:val="22"/>
          </w:rPr>
          <w:t>187</w:t>
        </w:r>
        <w:r w:rsidR="00183E02" w:rsidRPr="00AC7A3A">
          <w:rPr>
            <w:noProof/>
            <w:webHidden/>
            <w:sz w:val="22"/>
            <w:szCs w:val="22"/>
          </w:rPr>
          <w:fldChar w:fldCharType="end"/>
        </w:r>
      </w:hyperlink>
    </w:p>
    <w:p w14:paraId="5D1082C0" w14:textId="586FB5E8" w:rsidR="00397124" w:rsidRPr="00AC7A3A" w:rsidRDefault="006132B8" w:rsidP="006132B8">
      <w:pPr>
        <w:pStyle w:val="BodyText"/>
        <w:rPr>
          <w:sz w:val="22"/>
          <w:szCs w:val="22"/>
        </w:rPr>
      </w:pPr>
      <w:r w:rsidRPr="00AC7A3A">
        <w:rPr>
          <w:sz w:val="22"/>
          <w:szCs w:val="22"/>
        </w:rPr>
        <w:fldChar w:fldCharType="end"/>
      </w:r>
    </w:p>
    <w:p w14:paraId="43D98E65" w14:textId="3402DFFF" w:rsidR="006132B8" w:rsidRPr="00E3664B" w:rsidRDefault="006132B8" w:rsidP="00397124">
      <w:pPr>
        <w:pStyle w:val="BodyText"/>
        <w:sectPr w:rsidR="006132B8" w:rsidRPr="00E3664B" w:rsidSect="00A05749">
          <w:pgSz w:w="11906" w:h="16838" w:code="9"/>
          <w:pgMar w:top="1474" w:right="1418" w:bottom="1134" w:left="1418" w:header="964" w:footer="454" w:gutter="0"/>
          <w:pgNumType w:fmt="lowerRoman" w:start="0"/>
          <w:cols w:space="708"/>
          <w:docGrid w:linePitch="360"/>
        </w:sectPr>
      </w:pPr>
    </w:p>
    <w:p w14:paraId="0C3896A8" w14:textId="111A35E1" w:rsidR="00C51F09" w:rsidRPr="002B4B5B" w:rsidRDefault="00B038BF" w:rsidP="00F77171">
      <w:pPr>
        <w:pStyle w:val="Heading1"/>
      </w:pPr>
      <w:bookmarkStart w:id="17" w:name="_Toc88485993"/>
      <w:bookmarkStart w:id="18" w:name="_Toc160129546"/>
      <w:r>
        <w:lastRenderedPageBreak/>
        <w:t>1</w:t>
      </w:r>
      <w:r>
        <w:tab/>
      </w:r>
      <w:r w:rsidR="00C51F09" w:rsidRPr="002B4B5B">
        <w:t>Introduction</w:t>
      </w:r>
      <w:bookmarkEnd w:id="17"/>
      <w:bookmarkEnd w:id="18"/>
    </w:p>
    <w:p w14:paraId="71F855F6" w14:textId="34EA79E9" w:rsidR="00C90040" w:rsidRPr="00412F35" w:rsidRDefault="00C90040" w:rsidP="00397124">
      <w:r w:rsidRPr="00412F35">
        <w:t xml:space="preserve">This report outlines the actions that </w:t>
      </w:r>
      <w:r w:rsidR="00A31A33" w:rsidRPr="00412F35">
        <w:t>Slough Borough Council</w:t>
      </w:r>
      <w:r w:rsidR="00652386">
        <w:t xml:space="preserve"> (SBC)</w:t>
      </w:r>
      <w:r w:rsidR="00B34D0A" w:rsidRPr="00412F35">
        <w:t xml:space="preserve"> </w:t>
      </w:r>
      <w:r w:rsidRPr="00412F35">
        <w:t xml:space="preserve">will deliver between </w:t>
      </w:r>
      <w:r w:rsidR="00A31A33" w:rsidRPr="00412F35">
        <w:t>2024-2028</w:t>
      </w:r>
      <w:r w:rsidRPr="00412F35">
        <w:t xml:space="preserve"> in order to reduce concentrations of </w:t>
      </w:r>
      <w:r w:rsidR="00645F0B" w:rsidRPr="00412F35">
        <w:t>air pollutants</w:t>
      </w:r>
      <w:r w:rsidRPr="00412F35">
        <w:t xml:space="preserve"> and exposure to </w:t>
      </w:r>
      <w:r w:rsidR="00645F0B" w:rsidRPr="00412F35">
        <w:t xml:space="preserve">air </w:t>
      </w:r>
      <w:r w:rsidRPr="00412F35">
        <w:t xml:space="preserve">pollution; thereby positively impacting on the health and quality of life of residents and visitors to the </w:t>
      </w:r>
      <w:r w:rsidR="00A31A33" w:rsidRPr="00412F35">
        <w:t>borough.</w:t>
      </w:r>
    </w:p>
    <w:p w14:paraId="4658B0F9" w14:textId="0D123F61" w:rsidR="00397124" w:rsidRPr="00412F35" w:rsidRDefault="00C90040" w:rsidP="00397124">
      <w:r w:rsidRPr="00412F35">
        <w:t xml:space="preserve">It has been developed in recognition of the legal requirement on the local authority to work towards </w:t>
      </w:r>
      <w:r w:rsidR="00645F0B" w:rsidRPr="00412F35">
        <w:t>Air Quality Strategy (AQS)</w:t>
      </w:r>
      <w:r w:rsidRPr="00412F35">
        <w:t xml:space="preserve"> objectives under Part IV of the Environment Act 1995 and relevant regulations made under that part and to meet the requirements of the Local Air Quality Management </w:t>
      </w:r>
      <w:r w:rsidR="00645F0B" w:rsidRPr="00412F35">
        <w:t xml:space="preserve">(LAQM) </w:t>
      </w:r>
      <w:r w:rsidRPr="00412F35">
        <w:t>statutory process.</w:t>
      </w:r>
    </w:p>
    <w:p w14:paraId="213F9369" w14:textId="177528DF" w:rsidR="00397124" w:rsidRPr="00412F35" w:rsidRDefault="008A7DF2" w:rsidP="00397124">
      <w:pPr>
        <w:sectPr w:rsidR="00397124" w:rsidRPr="00412F35" w:rsidSect="00272BE7">
          <w:pgSz w:w="11906" w:h="16838" w:code="9"/>
          <w:pgMar w:top="1474" w:right="1418" w:bottom="1134" w:left="1418" w:header="964" w:footer="454" w:gutter="0"/>
          <w:pgNumType w:start="1"/>
          <w:cols w:space="708"/>
          <w:docGrid w:linePitch="360"/>
        </w:sectPr>
      </w:pPr>
      <w:r w:rsidRPr="00412F35">
        <w:t xml:space="preserve">This Plan will be reviewed every five years at the latest and progress on measures set out within this Plan will be reported on annually within </w:t>
      </w:r>
      <w:r w:rsidR="00A31A33" w:rsidRPr="00412F35">
        <w:t>S</w:t>
      </w:r>
      <w:r w:rsidR="00652386">
        <w:t>lough Borough Council</w:t>
      </w:r>
      <w:r w:rsidR="00386918" w:rsidRPr="00412F35">
        <w:t>’s</w:t>
      </w:r>
      <w:r w:rsidR="008A5268" w:rsidRPr="00412F35">
        <w:t xml:space="preserve"> </w:t>
      </w:r>
      <w:r w:rsidR="00386918" w:rsidRPr="00412F35">
        <w:t xml:space="preserve">air quality </w:t>
      </w:r>
      <w:r w:rsidR="00360F4A" w:rsidRPr="00412F35">
        <w:t>A</w:t>
      </w:r>
      <w:r w:rsidR="007B22AF">
        <w:t>nnual Status Report (ASR)</w:t>
      </w:r>
      <w:r w:rsidR="008A5268" w:rsidRPr="00412F35">
        <w:t>.</w:t>
      </w:r>
    </w:p>
    <w:p w14:paraId="1F06ED07" w14:textId="26D3A824" w:rsidR="0020047D" w:rsidRPr="00E3664B" w:rsidRDefault="00B038BF" w:rsidP="00F77171">
      <w:pPr>
        <w:pStyle w:val="Heading1"/>
      </w:pPr>
      <w:bookmarkStart w:id="19" w:name="_Toc88485994"/>
      <w:bookmarkStart w:id="20" w:name="_Toc160129547"/>
      <w:r>
        <w:lastRenderedPageBreak/>
        <w:t>2</w:t>
      </w:r>
      <w:r>
        <w:tab/>
      </w:r>
      <w:r w:rsidR="0020047D" w:rsidRPr="00E3664B">
        <w:t xml:space="preserve">Summary of Current Air Quality in </w:t>
      </w:r>
      <w:bookmarkEnd w:id="19"/>
      <w:r w:rsidR="00A31A33" w:rsidRPr="00CC01BC">
        <w:t>Slough</w:t>
      </w:r>
      <w:bookmarkEnd w:id="20"/>
      <w:r w:rsidR="00A31A33" w:rsidRPr="00CC01BC">
        <w:t xml:space="preserve"> </w:t>
      </w:r>
    </w:p>
    <w:p w14:paraId="120BE940" w14:textId="3E4DCB3E" w:rsidR="007044FC" w:rsidRDefault="007044FC" w:rsidP="0005447E">
      <w:r>
        <w:t xml:space="preserve">As outlined in LAQM TG.22, all local authorities are required to </w:t>
      </w:r>
      <w:r w:rsidR="00BA157F">
        <w:t>annually r</w:t>
      </w:r>
      <w:r>
        <w:t xml:space="preserve">eport their air quality data to Defra, within an Annual Status Report (ASR). </w:t>
      </w:r>
      <w:r w:rsidR="006C4BA5">
        <w:t>Local authorities outside of London are required to submit their ASR</w:t>
      </w:r>
      <w:r w:rsidR="00BA157F">
        <w:t>s</w:t>
      </w:r>
      <w:r w:rsidR="006C4BA5">
        <w:t xml:space="preserve"> by 30</w:t>
      </w:r>
      <w:r w:rsidR="006C4BA5" w:rsidRPr="006C4BA5">
        <w:rPr>
          <w:vertAlign w:val="superscript"/>
        </w:rPr>
        <w:t>th</w:t>
      </w:r>
      <w:r w:rsidR="006C4BA5">
        <w:t xml:space="preserve"> June of each year. The ASR presents air quality trends, updates on measures and changes to the monitoring network, associated with the previous calendar year. </w:t>
      </w:r>
      <w:r w:rsidR="007E2EEF">
        <w:t xml:space="preserve">Full details on air quality data and trends can be found within </w:t>
      </w:r>
      <w:r w:rsidR="00652386" w:rsidRPr="00412F35">
        <w:t>S</w:t>
      </w:r>
      <w:r w:rsidR="00652386">
        <w:t>lough Borough Council</w:t>
      </w:r>
      <w:r w:rsidR="007E2EEF">
        <w:t>’s ASRs, available on the Council webpages</w:t>
      </w:r>
      <w:r w:rsidR="007E2EEF">
        <w:rPr>
          <w:rStyle w:val="FootnoteReference"/>
        </w:rPr>
        <w:footnoteReference w:id="8"/>
      </w:r>
      <w:r w:rsidR="007E2EEF">
        <w:t>.</w:t>
      </w:r>
    </w:p>
    <w:p w14:paraId="50879901" w14:textId="789BDB23" w:rsidR="00084CFD" w:rsidRDefault="00BA157F" w:rsidP="00B21F58">
      <w:r>
        <w:t xml:space="preserve">The following sections provide a summary of </w:t>
      </w:r>
      <w:r w:rsidR="00652386" w:rsidRPr="00412F35">
        <w:t>S</w:t>
      </w:r>
      <w:r w:rsidR="00652386">
        <w:t>lough Borough Council</w:t>
      </w:r>
      <w:r>
        <w:t>’s air quality monitoring network and air quality trends</w:t>
      </w:r>
      <w:r w:rsidR="003C08AB">
        <w:t xml:space="preserve"> both</w:t>
      </w:r>
      <w:r>
        <w:t xml:space="preserve"> </w:t>
      </w:r>
      <w:r w:rsidR="00F81EE9">
        <w:t xml:space="preserve">nationally and at Slough, </w:t>
      </w:r>
      <w:r>
        <w:t xml:space="preserve">within and outside of the Council’s </w:t>
      </w:r>
      <w:r w:rsidR="003D5F0A">
        <w:t>Air Quality Management Area</w:t>
      </w:r>
      <w:r>
        <w:t>s</w:t>
      </w:r>
      <w:r w:rsidR="003D5F0A">
        <w:t xml:space="preserve"> (AQMAs)</w:t>
      </w:r>
      <w:r w:rsidR="00FC2804">
        <w:t xml:space="preserve"> (further explanation as to how and why AQMAs are declared is provided in Section 3.3.1)</w:t>
      </w:r>
      <w:r w:rsidR="00F81EE9">
        <w:t xml:space="preserve">. This </w:t>
      </w:r>
      <w:r w:rsidR="00E01093">
        <w:t xml:space="preserve">forms part of the evidence base to support the need for air quality improvement. </w:t>
      </w:r>
      <w:r>
        <w:t xml:space="preserve">  </w:t>
      </w:r>
    </w:p>
    <w:p w14:paraId="210C900E" w14:textId="0497CAF4" w:rsidR="007B22AF" w:rsidRDefault="003C08AB" w:rsidP="00B21F58">
      <w:r>
        <w:t xml:space="preserve">A summary of the Air Quality Objectives (AQOS) </w:t>
      </w:r>
      <w:r w:rsidR="00744112">
        <w:t>is</w:t>
      </w:r>
      <w:r w:rsidR="007B22AF">
        <w:t xml:space="preserve"> provided in </w:t>
      </w:r>
      <w:r w:rsidR="00E34B3D">
        <w:t>Section 3.3</w:t>
      </w:r>
      <w:r w:rsidR="007B22AF">
        <w:t xml:space="preserve"> and Appendix </w:t>
      </w:r>
      <w:r w:rsidR="00EB4D2B">
        <w:t>G</w:t>
      </w:r>
      <w:r>
        <w:t xml:space="preserve"> of which compliance is measured and assessed. </w:t>
      </w:r>
    </w:p>
    <w:p w14:paraId="5C900934" w14:textId="0176EEB9" w:rsidR="002B1E43" w:rsidRDefault="002B1E43" w:rsidP="00B21F58">
      <w:r>
        <w:t>It should be noted that the World Health Organisation have different threshold defined compared to the legal limits, known as Air Quality Guidelines (AQGs)</w:t>
      </w:r>
      <w:r>
        <w:rPr>
          <w:rStyle w:val="FootnoteReference"/>
        </w:rPr>
        <w:footnoteReference w:id="9"/>
      </w:r>
      <w:r>
        <w:softHyphen/>
      </w:r>
      <w:r w:rsidR="00AA1F18">
        <w:t>, presented also in Appendix G.</w:t>
      </w:r>
      <w:r>
        <w:t xml:space="preserve"> These </w:t>
      </w:r>
      <w:r w:rsidR="00AA1F18">
        <w:t>have been developed</w:t>
      </w:r>
      <w:r>
        <w:t xml:space="preserve"> based on scientific evidence on air pollution related health impacts</w:t>
      </w:r>
      <w:r w:rsidR="00AA1F18">
        <w:t>, from literature reviews, evaluation and consultation with experts and end-users of the guidelines. The AQGs serve as a target to be met globally by national, regional and city governments, however they are not legally binding.</w:t>
      </w:r>
    </w:p>
    <w:p w14:paraId="549FC1ED" w14:textId="3B58E061" w:rsidR="00C10027" w:rsidRPr="003C08AB" w:rsidRDefault="00C10027" w:rsidP="0025036F">
      <w:pPr>
        <w:pStyle w:val="Heading2"/>
        <w:numPr>
          <w:ilvl w:val="1"/>
          <w:numId w:val="69"/>
        </w:numPr>
      </w:pPr>
      <w:bookmarkStart w:id="22" w:name="_Toc160129548"/>
      <w:r w:rsidRPr="003C08AB">
        <w:lastRenderedPageBreak/>
        <w:t xml:space="preserve">Monitoring </w:t>
      </w:r>
      <w:r w:rsidR="00A1555E">
        <w:t>N</w:t>
      </w:r>
      <w:r w:rsidRPr="003C08AB">
        <w:t>etwork</w:t>
      </w:r>
      <w:bookmarkEnd w:id="22"/>
    </w:p>
    <w:p w14:paraId="33B84EC2" w14:textId="2091BDBF" w:rsidR="00084CFD" w:rsidRDefault="00652386" w:rsidP="00B21F58">
      <w:r w:rsidRPr="00412F35">
        <w:t>S</w:t>
      </w:r>
      <w:r>
        <w:t>lough Borough Council</w:t>
      </w:r>
      <w:r w:rsidR="00084CFD">
        <w:t xml:space="preserve"> operate a network of both automatic (continuous) and non-automatic (passive) air quality monitoring </w:t>
      </w:r>
      <w:r w:rsidR="00437F29">
        <w:t>sites</w:t>
      </w:r>
      <w:r w:rsidR="00084CFD">
        <w:t xml:space="preserve"> across the borough</w:t>
      </w:r>
      <w:r w:rsidR="00437F29">
        <w:t xml:space="preserve">, which has been in place for over </w:t>
      </w:r>
      <w:r w:rsidR="00E01093">
        <w:t>25</w:t>
      </w:r>
      <w:r w:rsidR="00437F29">
        <w:t xml:space="preserve"> years. The monitoring locations primarily focus on areas representative of receptor exposure to poor air quality, such as residential dwellings close to major roads, which tend to be within AQMAs. There are however a number of monitoring locations that are outside of these areas, for the purpose of monitoring </w:t>
      </w:r>
      <w:r w:rsidR="007B22AF">
        <w:t xml:space="preserve">background levels and </w:t>
      </w:r>
      <w:r w:rsidR="00437F29">
        <w:t>areas of concern or specific sources, to determine whether these areas should be desi</w:t>
      </w:r>
      <w:r w:rsidR="007044FC">
        <w:t xml:space="preserve">gnated as AQMAs. </w:t>
      </w:r>
    </w:p>
    <w:p w14:paraId="0C54E967" w14:textId="34698C79" w:rsidR="004A1600" w:rsidRDefault="007044FC" w:rsidP="0025036F">
      <w:pPr>
        <w:pStyle w:val="Heading3"/>
        <w:numPr>
          <w:ilvl w:val="2"/>
          <w:numId w:val="69"/>
        </w:numPr>
      </w:pPr>
      <w:bookmarkStart w:id="23" w:name="_Toc160129549"/>
      <w:r>
        <w:t>Automatic</w:t>
      </w:r>
      <w:r w:rsidR="00E01093">
        <w:t xml:space="preserve"> (continuous)</w:t>
      </w:r>
      <w:r>
        <w:t xml:space="preserve"> monitoring</w:t>
      </w:r>
      <w:bookmarkEnd w:id="23"/>
      <w:r>
        <w:t xml:space="preserve"> </w:t>
      </w:r>
    </w:p>
    <w:p w14:paraId="695459B7" w14:textId="4BAEC3CC" w:rsidR="00C10027" w:rsidRDefault="00652386" w:rsidP="00C10027">
      <w:r w:rsidRPr="00412F35">
        <w:t>S</w:t>
      </w:r>
      <w:r>
        <w:t>lough Borough Council</w:t>
      </w:r>
      <w:r w:rsidR="00C10027" w:rsidRPr="00DF1604">
        <w:t xml:space="preserve"> </w:t>
      </w:r>
      <w:r w:rsidR="00C10027">
        <w:t>currently operate six</w:t>
      </w:r>
      <w:r w:rsidR="00C10027" w:rsidRPr="00DF1604">
        <w:t xml:space="preserve"> automatic (continuous)</w:t>
      </w:r>
      <w:r w:rsidR="00C10027">
        <w:t xml:space="preserve"> air quality</w:t>
      </w:r>
      <w:r w:rsidR="00C10027" w:rsidRPr="00DF1604">
        <w:t xml:space="preserve"> monitoring </w:t>
      </w:r>
      <w:r w:rsidR="00C10027">
        <w:t>stations in locations representative of each AQMA</w:t>
      </w:r>
      <w:r w:rsidR="008D292B">
        <w:t xml:space="preserve"> and hotspot areas</w:t>
      </w:r>
      <w:r w:rsidR="00C10027">
        <w:t xml:space="preserve">, </w:t>
      </w:r>
      <w:r w:rsidR="00C10027" w:rsidRPr="00DF1604">
        <w:t>which includes</w:t>
      </w:r>
      <w:r w:rsidR="00C10027">
        <w:t>:</w:t>
      </w:r>
    </w:p>
    <w:p w14:paraId="203DB5A6" w14:textId="2E5BCEAB" w:rsidR="00C10027" w:rsidRDefault="003C08AB" w:rsidP="00CA4AAD">
      <w:pPr>
        <w:pStyle w:val="ListParagraph"/>
        <w:numPr>
          <w:ilvl w:val="0"/>
          <w:numId w:val="9"/>
        </w:numPr>
        <w:contextualSpacing/>
      </w:pPr>
      <w:r>
        <w:t xml:space="preserve">AQMA 1: </w:t>
      </w:r>
      <w:r w:rsidR="00C10027">
        <w:t xml:space="preserve">Slough Spackmans Way, Chalvey SLH 13 </w:t>
      </w:r>
      <w:r w:rsidR="008D697E">
        <w:t xml:space="preserve">- </w:t>
      </w:r>
      <w:r w:rsidR="008D697E" w:rsidRPr="008D697E">
        <w:t>NOx, NO</w:t>
      </w:r>
      <w:r w:rsidR="008D697E" w:rsidRPr="00503384">
        <w:rPr>
          <w:vertAlign w:val="subscript"/>
        </w:rPr>
        <w:t>2</w:t>
      </w:r>
      <w:r w:rsidR="008D697E" w:rsidRPr="008D697E">
        <w:t xml:space="preserve"> and PM</w:t>
      </w:r>
      <w:r w:rsidR="008D697E" w:rsidRPr="00503384">
        <w:rPr>
          <w:vertAlign w:val="subscript"/>
        </w:rPr>
        <w:t>10</w:t>
      </w:r>
    </w:p>
    <w:p w14:paraId="75DDF6A0" w14:textId="69D5D7A9" w:rsidR="00C10027" w:rsidRDefault="003C08AB" w:rsidP="00CA4AAD">
      <w:pPr>
        <w:pStyle w:val="ListParagraph"/>
        <w:numPr>
          <w:ilvl w:val="0"/>
          <w:numId w:val="9"/>
        </w:numPr>
        <w:contextualSpacing/>
      </w:pPr>
      <w:r>
        <w:t xml:space="preserve">AQMA 2: </w:t>
      </w:r>
      <w:r w:rsidR="00C10027">
        <w:t>Slough Brands Hill (London Road), SLH 11</w:t>
      </w:r>
      <w:r w:rsidR="008D697E">
        <w:t xml:space="preserve"> - </w:t>
      </w:r>
      <w:r w:rsidR="008D697E" w:rsidRPr="008D697E">
        <w:t>NOx, NO</w:t>
      </w:r>
      <w:r w:rsidR="008D697E" w:rsidRPr="00503384">
        <w:rPr>
          <w:vertAlign w:val="subscript"/>
        </w:rPr>
        <w:t>2</w:t>
      </w:r>
      <w:r w:rsidR="008D697E" w:rsidRPr="008D697E">
        <w:t xml:space="preserve"> and PM</w:t>
      </w:r>
      <w:r w:rsidR="008D697E" w:rsidRPr="00503384">
        <w:rPr>
          <w:vertAlign w:val="subscript"/>
        </w:rPr>
        <w:t>10</w:t>
      </w:r>
    </w:p>
    <w:p w14:paraId="2204FD59" w14:textId="318B0A40" w:rsidR="00C10027" w:rsidRDefault="003C08AB" w:rsidP="00CA4AAD">
      <w:pPr>
        <w:pStyle w:val="ListParagraph"/>
        <w:numPr>
          <w:ilvl w:val="0"/>
          <w:numId w:val="9"/>
        </w:numPr>
        <w:contextualSpacing/>
      </w:pPr>
      <w:r>
        <w:t xml:space="preserve">AQMA 3: </w:t>
      </w:r>
      <w:r w:rsidR="00C10027">
        <w:t>Slough Windmill (Bath Road), SLH 12</w:t>
      </w:r>
      <w:r>
        <w:t xml:space="preserve"> </w:t>
      </w:r>
      <w:r w:rsidR="008D697E">
        <w:t xml:space="preserve">- </w:t>
      </w:r>
      <w:r w:rsidR="008D697E" w:rsidRPr="008D697E">
        <w:t>NOx, NO</w:t>
      </w:r>
      <w:r w:rsidR="008D697E" w:rsidRPr="00503384">
        <w:rPr>
          <w:vertAlign w:val="subscript"/>
        </w:rPr>
        <w:t>2</w:t>
      </w:r>
      <w:r w:rsidR="008D697E" w:rsidRPr="008D697E">
        <w:t xml:space="preserve"> and PM</w:t>
      </w:r>
      <w:r w:rsidR="008D697E" w:rsidRPr="00503384">
        <w:rPr>
          <w:vertAlign w:val="subscript"/>
        </w:rPr>
        <w:t>10</w:t>
      </w:r>
    </w:p>
    <w:p w14:paraId="1B15BD6C" w14:textId="4B6767B0" w:rsidR="00C10027" w:rsidRDefault="003C08AB" w:rsidP="00CA4AAD">
      <w:pPr>
        <w:pStyle w:val="ListParagraph"/>
        <w:numPr>
          <w:ilvl w:val="0"/>
          <w:numId w:val="9"/>
        </w:numPr>
        <w:contextualSpacing/>
      </w:pPr>
      <w:r>
        <w:t xml:space="preserve">AQMA 4: </w:t>
      </w:r>
      <w:r w:rsidR="00C10027">
        <w:t>Slough Town Centre (Wellington Street) SLH 10</w:t>
      </w:r>
      <w:r>
        <w:t xml:space="preserve"> </w:t>
      </w:r>
      <w:r w:rsidR="008D697E">
        <w:t xml:space="preserve">- </w:t>
      </w:r>
      <w:r w:rsidR="008D697E" w:rsidRPr="008D697E">
        <w:t>NOx and NO</w:t>
      </w:r>
      <w:r w:rsidR="008D697E" w:rsidRPr="00503384">
        <w:rPr>
          <w:vertAlign w:val="subscript"/>
        </w:rPr>
        <w:t>2</w:t>
      </w:r>
    </w:p>
    <w:p w14:paraId="18AF41F2" w14:textId="57D6AB25" w:rsidR="008D292B" w:rsidRDefault="003C08AB" w:rsidP="00CA4AAD">
      <w:pPr>
        <w:pStyle w:val="ListParagraph"/>
        <w:numPr>
          <w:ilvl w:val="0"/>
          <w:numId w:val="9"/>
        </w:numPr>
        <w:contextualSpacing/>
      </w:pPr>
      <w:r>
        <w:t xml:space="preserve">Non-AQMA: </w:t>
      </w:r>
      <w:r w:rsidR="008D292B">
        <w:t xml:space="preserve">Slough </w:t>
      </w:r>
      <w:r w:rsidR="008D292B" w:rsidRPr="008D292B">
        <w:t>Station Road Langley</w:t>
      </w:r>
      <w:r w:rsidR="008D292B">
        <w:t>, SLH 14</w:t>
      </w:r>
      <w:r w:rsidR="008D697E">
        <w:t xml:space="preserve"> - </w:t>
      </w:r>
      <w:r w:rsidR="008D697E" w:rsidRPr="008D697E">
        <w:t>NOx and NO</w:t>
      </w:r>
      <w:r w:rsidR="008D697E" w:rsidRPr="00503384">
        <w:rPr>
          <w:vertAlign w:val="subscript"/>
        </w:rPr>
        <w:t>2</w:t>
      </w:r>
    </w:p>
    <w:p w14:paraId="5AC2713C" w14:textId="7524E51F" w:rsidR="008D292B" w:rsidRDefault="00C10027" w:rsidP="008D292B">
      <w:r>
        <w:t>Additionally</w:t>
      </w:r>
      <w:r w:rsidRPr="00A94121">
        <w:t xml:space="preserve">, </w:t>
      </w:r>
      <w:r w:rsidR="00A94121">
        <w:t>Grundons</w:t>
      </w:r>
      <w:r>
        <w:t xml:space="preserve"> have operated an Energy from Waste plant in Colnbrook since 2010</w:t>
      </w:r>
      <w:r w:rsidR="008D292B">
        <w:t xml:space="preserve"> and monitor ambient air quality as part of their planning consent, which includes NOx, PM</w:t>
      </w:r>
      <w:r w:rsidR="008D292B" w:rsidRPr="00503384">
        <w:rPr>
          <w:vertAlign w:val="subscript"/>
        </w:rPr>
        <w:t>10</w:t>
      </w:r>
      <w:r w:rsidR="008D292B">
        <w:t xml:space="preserve"> and PM</w:t>
      </w:r>
      <w:r w:rsidR="008D292B" w:rsidRPr="00503384">
        <w:rPr>
          <w:vertAlign w:val="subscript"/>
        </w:rPr>
        <w:t>2.5</w:t>
      </w:r>
      <w:r w:rsidR="008D292B">
        <w:t xml:space="preserve">, and is released to the Council annually. </w:t>
      </w:r>
    </w:p>
    <w:p w14:paraId="4E833F4A" w14:textId="33857E5D" w:rsidR="00C10027" w:rsidRDefault="003C08AB" w:rsidP="00CA4AAD">
      <w:pPr>
        <w:pStyle w:val="ListParagraph"/>
        <w:numPr>
          <w:ilvl w:val="0"/>
          <w:numId w:val="10"/>
        </w:numPr>
      </w:pPr>
      <w:r>
        <w:t xml:space="preserve">Non AQMA: </w:t>
      </w:r>
      <w:r w:rsidR="00C10027">
        <w:t>Slough-Lakeside-2 (Lakeside Road) SLH 8 &amp; SLH 9</w:t>
      </w:r>
      <w:r w:rsidR="008D697E">
        <w:t xml:space="preserve"> </w:t>
      </w:r>
    </w:p>
    <w:p w14:paraId="58467F2A" w14:textId="13BCBC14" w:rsidR="00E70CC1" w:rsidRPr="003C08AB" w:rsidRDefault="00E01093" w:rsidP="0025036F">
      <w:pPr>
        <w:pStyle w:val="Heading3"/>
        <w:numPr>
          <w:ilvl w:val="2"/>
          <w:numId w:val="69"/>
        </w:numPr>
      </w:pPr>
      <w:bookmarkStart w:id="24" w:name="_Toc160129550"/>
      <w:r w:rsidRPr="00E01093">
        <w:t>Non-automatic (passive) monitoring</w:t>
      </w:r>
      <w:bookmarkEnd w:id="24"/>
    </w:p>
    <w:p w14:paraId="52F86139" w14:textId="3013EED9" w:rsidR="00F524CD" w:rsidRDefault="003D5F0A" w:rsidP="00B21F58">
      <w:r w:rsidRPr="00A94121">
        <w:t xml:space="preserve">Diffusion tubes are used </w:t>
      </w:r>
      <w:r w:rsidR="00A94121" w:rsidRPr="00A94121">
        <w:t xml:space="preserve">in Slough Borough Council’s </w:t>
      </w:r>
      <w:r w:rsidRPr="00A94121">
        <w:t xml:space="preserve">passive </w:t>
      </w:r>
      <w:r w:rsidR="00A94121" w:rsidRPr="00A94121">
        <w:t xml:space="preserve">monitoring </w:t>
      </w:r>
      <w:r w:rsidRPr="00A94121">
        <w:t>network</w:t>
      </w:r>
      <w:r w:rsidR="00C54124">
        <w:t xml:space="preserve"> to monitor NO</w:t>
      </w:r>
      <w:r w:rsidR="00C54124">
        <w:rPr>
          <w:vertAlign w:val="subscript"/>
        </w:rPr>
        <w:t>2</w:t>
      </w:r>
      <w:r w:rsidRPr="00A94121">
        <w:t>.</w:t>
      </w:r>
      <w:r>
        <w:t xml:space="preserve"> </w:t>
      </w:r>
      <w:r w:rsidR="003C08AB">
        <w:t xml:space="preserve">The </w:t>
      </w:r>
      <w:r w:rsidR="00C50E14">
        <w:t>details of diffusion tubes</w:t>
      </w:r>
      <w:r w:rsidR="003C08AB">
        <w:t xml:space="preserve"> provided in this section are</w:t>
      </w:r>
      <w:r w:rsidR="00C50E14">
        <w:t xml:space="preserve"> as of January 2024. </w:t>
      </w:r>
      <w:r w:rsidR="00F524CD">
        <w:t xml:space="preserve">A summary of their locations </w:t>
      </w:r>
      <w:r w:rsidR="00E01093">
        <w:t xml:space="preserve">is outlined below, with supporting maps presented in Appendix </w:t>
      </w:r>
      <w:r w:rsidR="00EB4D2B">
        <w:t>F</w:t>
      </w:r>
      <w:r w:rsidR="003C08AB">
        <w:t xml:space="preserve">. </w:t>
      </w:r>
      <w:r w:rsidR="00660011">
        <w:t xml:space="preserve">In total, this network consists of 102 diffusion tubes. </w:t>
      </w:r>
    </w:p>
    <w:p w14:paraId="17F26D39" w14:textId="77777777" w:rsidR="00AC7A3A" w:rsidRDefault="00AC7A3A" w:rsidP="00A1555E">
      <w:pPr>
        <w:pStyle w:val="AQAPText"/>
        <w:rPr>
          <w:b/>
          <w:bCs/>
          <w:color w:val="008938"/>
        </w:rPr>
      </w:pPr>
    </w:p>
    <w:p w14:paraId="33C47844" w14:textId="77777777" w:rsidR="00AC7A3A" w:rsidRDefault="00AC7A3A" w:rsidP="00A1555E">
      <w:pPr>
        <w:pStyle w:val="AQAPText"/>
        <w:rPr>
          <w:b/>
          <w:bCs/>
          <w:color w:val="008938"/>
        </w:rPr>
      </w:pPr>
    </w:p>
    <w:p w14:paraId="53F621D0" w14:textId="4A54D6E2" w:rsidR="00E07519" w:rsidRPr="00A1555E" w:rsidRDefault="00E07519" w:rsidP="00A1555E">
      <w:pPr>
        <w:pStyle w:val="AQAPText"/>
        <w:rPr>
          <w:b/>
          <w:bCs/>
          <w:color w:val="008938"/>
        </w:rPr>
      </w:pPr>
      <w:r w:rsidRPr="00A1555E">
        <w:rPr>
          <w:b/>
          <w:bCs/>
          <w:color w:val="008938"/>
        </w:rPr>
        <w:lastRenderedPageBreak/>
        <w:t>AQMA 1</w:t>
      </w:r>
      <w:r w:rsidR="008A52BB" w:rsidRPr="00A1555E">
        <w:rPr>
          <w:b/>
          <w:bCs/>
          <w:color w:val="008938"/>
        </w:rPr>
        <w:t xml:space="preserve"> </w:t>
      </w:r>
      <w:r w:rsidR="004F4281" w:rsidRPr="00A1555E">
        <w:rPr>
          <w:b/>
          <w:bCs/>
          <w:color w:val="008938"/>
        </w:rPr>
        <w:t>(3</w:t>
      </w:r>
      <w:r w:rsidR="00925E02" w:rsidRPr="00A1555E">
        <w:rPr>
          <w:b/>
          <w:bCs/>
          <w:color w:val="008938"/>
        </w:rPr>
        <w:t>7</w:t>
      </w:r>
      <w:r w:rsidR="004F4281" w:rsidRPr="00A1555E">
        <w:rPr>
          <w:b/>
          <w:bCs/>
          <w:color w:val="008938"/>
        </w:rPr>
        <w:t xml:space="preserve"> </w:t>
      </w:r>
      <w:r w:rsidR="00DD6577" w:rsidRPr="00A1555E">
        <w:rPr>
          <w:b/>
          <w:bCs/>
          <w:color w:val="008938"/>
        </w:rPr>
        <w:t xml:space="preserve">diffusion </w:t>
      </w:r>
      <w:r w:rsidR="004F4281" w:rsidRPr="00A1555E">
        <w:rPr>
          <w:b/>
          <w:bCs/>
          <w:color w:val="008938"/>
        </w:rPr>
        <w:t>tubes</w:t>
      </w:r>
      <w:r w:rsidR="00766832" w:rsidRPr="00A1555E">
        <w:rPr>
          <w:b/>
          <w:bCs/>
          <w:color w:val="008938"/>
        </w:rPr>
        <w:t xml:space="preserve"> in total)</w:t>
      </w:r>
    </w:p>
    <w:p w14:paraId="2517155D" w14:textId="13468C37" w:rsidR="00957067" w:rsidRDefault="00766832" w:rsidP="00B21F58">
      <w:r>
        <w:t>The diffusion tubes located within AQMA 1 are representative of the nearest residential exposure to</w:t>
      </w:r>
      <w:r w:rsidR="004A5765">
        <w:t xml:space="preserve"> the</w:t>
      </w:r>
      <w:r>
        <w:t xml:space="preserve"> M4, which is the most significant pollutant source in the area. This includes residential areas on Grampian Way, Winvale, Spackmans Way and Paxton Avenue. In 2019, 10 new receptors were identified to represent exposure resulting from the Smart Motorway scheme, affecting Junctions 3 to 12. Each of these receptor locations have three diffusion tubes, therefore increasing</w:t>
      </w:r>
      <w:r w:rsidR="00DD6577">
        <w:t xml:space="preserve"> the</w:t>
      </w:r>
      <w:r>
        <w:t xml:space="preserve"> diffusion tube </w:t>
      </w:r>
      <w:r w:rsidR="00DD6577">
        <w:t>network</w:t>
      </w:r>
      <w:r>
        <w:t xml:space="preserve"> by 30 tubes in total. In 2021, the new continuous monitoring station located on Spackmans Way was commissioned and three </w:t>
      </w:r>
      <w:r w:rsidR="00DD6577">
        <w:t xml:space="preserve">additional </w:t>
      </w:r>
      <w:r>
        <w:t xml:space="preserve">diffusion tubes </w:t>
      </w:r>
      <w:r w:rsidR="00DD6577">
        <w:t>were</w:t>
      </w:r>
      <w:r>
        <w:t xml:space="preserve"> co-located within the analyser cage.</w:t>
      </w:r>
    </w:p>
    <w:p w14:paraId="04925EB5" w14:textId="09E40A85" w:rsidR="00E07519" w:rsidRPr="00A1555E" w:rsidRDefault="00E07519" w:rsidP="00A1555E">
      <w:pPr>
        <w:pStyle w:val="AQAPText"/>
        <w:rPr>
          <w:b/>
          <w:bCs/>
          <w:color w:val="008938"/>
        </w:rPr>
      </w:pPr>
      <w:r w:rsidRPr="00A1555E">
        <w:rPr>
          <w:b/>
          <w:bCs/>
          <w:color w:val="008938"/>
        </w:rPr>
        <w:t xml:space="preserve">AQMA 2 </w:t>
      </w:r>
      <w:r w:rsidR="00DD6577" w:rsidRPr="00A1555E">
        <w:rPr>
          <w:b/>
          <w:bCs/>
          <w:color w:val="008938"/>
        </w:rPr>
        <w:t>(</w:t>
      </w:r>
      <w:r w:rsidRPr="00A1555E">
        <w:rPr>
          <w:b/>
          <w:bCs/>
          <w:color w:val="008938"/>
        </w:rPr>
        <w:t xml:space="preserve">8 </w:t>
      </w:r>
      <w:r w:rsidR="00DD6577" w:rsidRPr="00A1555E">
        <w:rPr>
          <w:b/>
          <w:bCs/>
          <w:color w:val="008938"/>
        </w:rPr>
        <w:t xml:space="preserve">diffusion </w:t>
      </w:r>
      <w:r w:rsidRPr="00A1555E">
        <w:rPr>
          <w:b/>
          <w:bCs/>
          <w:color w:val="008938"/>
        </w:rPr>
        <w:t>tubes</w:t>
      </w:r>
      <w:r w:rsidR="00DD6577" w:rsidRPr="00A1555E">
        <w:rPr>
          <w:b/>
          <w:bCs/>
          <w:color w:val="008938"/>
        </w:rPr>
        <w:t xml:space="preserve"> in total)</w:t>
      </w:r>
    </w:p>
    <w:p w14:paraId="6C348CC5" w14:textId="2F683BF9" w:rsidR="00766832" w:rsidRDefault="00FE5F62" w:rsidP="00B21F58">
      <w:r>
        <w:t>The monitoring sites within AQMA 2 are representative of the nearest residential exposure to the A4</w:t>
      </w:r>
      <w:r w:rsidR="002B3A19">
        <w:t xml:space="preserve"> London Road</w:t>
      </w:r>
      <w:r>
        <w:t xml:space="preserve">, which has high traffic flows from vehicles accessing the A4 and Heathrow, plus HGV movements associated with industrial activities such as nearby sand and gravel extraction, Energy from Waste plant operation and Poyle Industrial Estate operations. All but one of the eight diffusion tubes are located on London Road, with </w:t>
      </w:r>
      <w:r w:rsidR="00DD6577">
        <w:t>the remainder</w:t>
      </w:r>
      <w:r>
        <w:t xml:space="preserve"> located on Colnbrook By</w:t>
      </w:r>
      <w:r w:rsidR="005A502F">
        <w:t>-p</w:t>
      </w:r>
      <w:r>
        <w:t xml:space="preserve">ass to represent exposure at </w:t>
      </w:r>
      <w:r w:rsidR="00DD6577">
        <w:t xml:space="preserve">a large residential </w:t>
      </w:r>
      <w:r>
        <w:t xml:space="preserve">development situated on the junction between Bath Road and London Road. Three of the eight diffusion tubes are </w:t>
      </w:r>
      <w:r w:rsidR="00B13CFF">
        <w:t>co-located with the continuous monitor on London Road.</w:t>
      </w:r>
    </w:p>
    <w:p w14:paraId="5757AAE1" w14:textId="51FE544A" w:rsidR="00E07519" w:rsidRPr="00A1555E" w:rsidRDefault="00E07519" w:rsidP="00A1555E">
      <w:pPr>
        <w:pStyle w:val="AQAPText"/>
        <w:rPr>
          <w:b/>
          <w:bCs/>
          <w:color w:val="008938"/>
        </w:rPr>
      </w:pPr>
      <w:r w:rsidRPr="00A1555E">
        <w:rPr>
          <w:b/>
          <w:bCs/>
          <w:color w:val="008938"/>
        </w:rPr>
        <w:t xml:space="preserve">AQMA 3 &amp; AQMA 3 Extension </w:t>
      </w:r>
      <w:r w:rsidR="00DD6577" w:rsidRPr="00A1555E">
        <w:rPr>
          <w:b/>
          <w:bCs/>
          <w:color w:val="008938"/>
        </w:rPr>
        <w:t>(</w:t>
      </w:r>
      <w:r w:rsidRPr="00A1555E">
        <w:rPr>
          <w:b/>
          <w:bCs/>
          <w:color w:val="008938"/>
        </w:rPr>
        <w:t xml:space="preserve">6 </w:t>
      </w:r>
      <w:r w:rsidR="00DD6577" w:rsidRPr="00A1555E">
        <w:rPr>
          <w:b/>
          <w:bCs/>
          <w:color w:val="008938"/>
        </w:rPr>
        <w:t xml:space="preserve">diffusion </w:t>
      </w:r>
      <w:r w:rsidRPr="00A1555E">
        <w:rPr>
          <w:b/>
          <w:bCs/>
          <w:color w:val="008938"/>
        </w:rPr>
        <w:t>tubes</w:t>
      </w:r>
      <w:r w:rsidR="00DD6577" w:rsidRPr="00A1555E">
        <w:rPr>
          <w:b/>
          <w:bCs/>
          <w:color w:val="008938"/>
        </w:rPr>
        <w:t xml:space="preserve"> in total)</w:t>
      </w:r>
    </w:p>
    <w:p w14:paraId="5A333B3F" w14:textId="315D36B0" w:rsidR="00B13CFF" w:rsidRDefault="00B13CFF" w:rsidP="00B21F58">
      <w:r>
        <w:t>There are two diffusion tube sites on Tuns Lane that represent a dwelling that is approximately 9 metres from the roadside</w:t>
      </w:r>
      <w:r w:rsidR="00DD6577">
        <w:t xml:space="preserve"> and is </w:t>
      </w:r>
      <w:r>
        <w:t xml:space="preserve">the nearest residential exposure to the A355, and a residential block on the junction between the A355 and the A4. The remaining diffusion tubes are located on Bath Road, with one on the façade of Windmill Care Centre </w:t>
      </w:r>
      <w:r w:rsidR="00AC6D80">
        <w:t xml:space="preserve">and the other three co-located with the continuous monitoring station </w:t>
      </w:r>
      <w:r w:rsidR="00DD6577">
        <w:t>situated on Bath Road</w:t>
      </w:r>
      <w:r w:rsidR="002B3A19">
        <w:t xml:space="preserve">. </w:t>
      </w:r>
    </w:p>
    <w:p w14:paraId="6B6EC39D" w14:textId="6A7E25E2" w:rsidR="00E07519" w:rsidRPr="00A1555E" w:rsidRDefault="00E07519" w:rsidP="00A1555E">
      <w:pPr>
        <w:pStyle w:val="AQAPText"/>
        <w:rPr>
          <w:b/>
          <w:bCs/>
          <w:color w:val="008938"/>
        </w:rPr>
      </w:pPr>
      <w:r w:rsidRPr="00A1555E">
        <w:rPr>
          <w:b/>
          <w:bCs/>
          <w:color w:val="008938"/>
        </w:rPr>
        <w:t xml:space="preserve">AQMA 4 </w:t>
      </w:r>
      <w:r w:rsidR="00DD6577" w:rsidRPr="00A1555E">
        <w:rPr>
          <w:b/>
          <w:bCs/>
          <w:color w:val="008938"/>
        </w:rPr>
        <w:t>(1</w:t>
      </w:r>
      <w:r w:rsidRPr="00A1555E">
        <w:rPr>
          <w:b/>
          <w:bCs/>
          <w:color w:val="008938"/>
        </w:rPr>
        <w:t xml:space="preserve">2 </w:t>
      </w:r>
      <w:r w:rsidR="00DD6577" w:rsidRPr="00A1555E">
        <w:rPr>
          <w:b/>
          <w:bCs/>
          <w:color w:val="008938"/>
        </w:rPr>
        <w:t xml:space="preserve">diffusion </w:t>
      </w:r>
      <w:r w:rsidRPr="00A1555E">
        <w:rPr>
          <w:b/>
          <w:bCs/>
          <w:color w:val="008938"/>
        </w:rPr>
        <w:t>tubes</w:t>
      </w:r>
      <w:r w:rsidR="00DD6577" w:rsidRPr="00A1555E">
        <w:rPr>
          <w:b/>
          <w:bCs/>
          <w:color w:val="008938"/>
        </w:rPr>
        <w:t xml:space="preserve"> in total)</w:t>
      </w:r>
    </w:p>
    <w:p w14:paraId="19C6E5C8" w14:textId="49A5D28D" w:rsidR="002B3A19" w:rsidRDefault="002B3A19" w:rsidP="00B21F58">
      <w:r>
        <w:t>The monitoring sites within AQMA 4 are representative of the nearest residential exposure to the A4 (Bath Road and Wellington Street) and the A412 (Yew Tree Road / Uxbridge Road). Three diffusion tube sites are located to the north</w:t>
      </w:r>
      <w:r w:rsidR="00DD6577">
        <w:t xml:space="preserve"> </w:t>
      </w:r>
      <w:r>
        <w:t xml:space="preserve">side of Bath Road, </w:t>
      </w:r>
      <w:r w:rsidR="00BB4F75">
        <w:t xml:space="preserve">and a </w:t>
      </w:r>
      <w:r>
        <w:t xml:space="preserve">further </w:t>
      </w:r>
      <w:r w:rsidR="00BB4F75">
        <w:t>five</w:t>
      </w:r>
      <w:r>
        <w:t xml:space="preserve"> sites are located on Wellington Street</w:t>
      </w:r>
      <w:r w:rsidR="00BB4F75">
        <w:t>, three of which are co-</w:t>
      </w:r>
      <w:r w:rsidR="00BB4F75">
        <w:lastRenderedPageBreak/>
        <w:t xml:space="preserve">located the Wellington Street continuous monitoring station. Two sites are located to the north of Wellington Street, on Wexham Road and Princes Street, and two sites are located to the south, on Yew Tree Road / Uxbridge Road (roadside and façade exposure sites). </w:t>
      </w:r>
    </w:p>
    <w:p w14:paraId="5C1ED0F1" w14:textId="18B83E5A" w:rsidR="00E07519" w:rsidRPr="00A1555E" w:rsidRDefault="00E07519" w:rsidP="00A1555E">
      <w:pPr>
        <w:pStyle w:val="AQAPText"/>
        <w:rPr>
          <w:b/>
          <w:bCs/>
          <w:color w:val="008938"/>
        </w:rPr>
      </w:pPr>
      <w:r w:rsidRPr="00A1555E">
        <w:rPr>
          <w:b/>
          <w:bCs/>
          <w:color w:val="008938"/>
        </w:rPr>
        <w:t xml:space="preserve">Outside AQMAs </w:t>
      </w:r>
      <w:r w:rsidR="00DD6577" w:rsidRPr="00A1555E">
        <w:rPr>
          <w:b/>
          <w:bCs/>
          <w:color w:val="008938"/>
        </w:rPr>
        <w:t>(</w:t>
      </w:r>
      <w:r w:rsidRPr="00A1555E">
        <w:rPr>
          <w:b/>
          <w:bCs/>
          <w:color w:val="008938"/>
        </w:rPr>
        <w:t>3</w:t>
      </w:r>
      <w:r w:rsidR="00925E02" w:rsidRPr="00A1555E">
        <w:rPr>
          <w:b/>
          <w:bCs/>
          <w:color w:val="008938"/>
        </w:rPr>
        <w:t>9</w:t>
      </w:r>
      <w:r w:rsidRPr="00A1555E">
        <w:rPr>
          <w:b/>
          <w:bCs/>
          <w:color w:val="008938"/>
        </w:rPr>
        <w:t xml:space="preserve"> </w:t>
      </w:r>
      <w:r w:rsidR="00DD6577" w:rsidRPr="00A1555E">
        <w:rPr>
          <w:b/>
          <w:bCs/>
          <w:color w:val="008938"/>
        </w:rPr>
        <w:t>diffusion t</w:t>
      </w:r>
      <w:r w:rsidRPr="00A1555E">
        <w:rPr>
          <w:b/>
          <w:bCs/>
          <w:color w:val="008938"/>
        </w:rPr>
        <w:t xml:space="preserve">ubes </w:t>
      </w:r>
      <w:r w:rsidR="00DD6577" w:rsidRPr="00A1555E">
        <w:rPr>
          <w:b/>
          <w:bCs/>
          <w:color w:val="008938"/>
        </w:rPr>
        <w:t>in total)</w:t>
      </w:r>
    </w:p>
    <w:p w14:paraId="4D14E44C" w14:textId="5D7F997F" w:rsidR="003E71F7" w:rsidRDefault="00652386" w:rsidP="00DD6577">
      <w:pPr>
        <w:spacing w:before="0"/>
      </w:pPr>
      <w:r w:rsidRPr="00412F35">
        <w:t>S</w:t>
      </w:r>
      <w:r>
        <w:t>lough Borough Council</w:t>
      </w:r>
      <w:r w:rsidR="003E71F7">
        <w:t xml:space="preserve"> monitor air quality at a number of locations outside of the declared AQMAs</w:t>
      </w:r>
      <w:r w:rsidR="007A76D1">
        <w:t xml:space="preserve">, in locations </w:t>
      </w:r>
      <w:r w:rsidR="004A5765">
        <w:t>categorised</w:t>
      </w:r>
      <w:r w:rsidR="007A76D1">
        <w:t xml:space="preserve"> as industrial, roadside, kerbside, suburban,</w:t>
      </w:r>
      <w:r w:rsidR="004A5765">
        <w:t xml:space="preserve"> urban background</w:t>
      </w:r>
      <w:r w:rsidR="007A76D1">
        <w:t xml:space="preserve"> and other</w:t>
      </w:r>
      <w:r w:rsidR="003E71F7">
        <w:t>. The purpose of this monitoring is typically to investigate a specific air quality concern</w:t>
      </w:r>
      <w:r w:rsidR="004A5765">
        <w:t xml:space="preserve">, </w:t>
      </w:r>
      <w:r w:rsidR="003E71F7">
        <w:t>to monitor a specific source</w:t>
      </w:r>
      <w:r w:rsidR="004A5765">
        <w:t>, or represent background sources</w:t>
      </w:r>
      <w:r w:rsidR="003E71F7">
        <w:t>. The monitoring locations outside of AQMAs are as follows:</w:t>
      </w:r>
    </w:p>
    <w:p w14:paraId="1CA3FE20" w14:textId="47D6115A" w:rsidR="003E71F7" w:rsidRDefault="004A5765" w:rsidP="00CA4AAD">
      <w:pPr>
        <w:pStyle w:val="ListParagraph"/>
        <w:numPr>
          <w:ilvl w:val="0"/>
          <w:numId w:val="10"/>
        </w:numPr>
      </w:pPr>
      <w:r>
        <w:t>9</w:t>
      </w:r>
      <w:r w:rsidR="003E71F7">
        <w:t xml:space="preserve"> diffusion tubes are located at roadside </w:t>
      </w:r>
      <w:r w:rsidR="00DD6577">
        <w:t>sites</w:t>
      </w:r>
      <w:r w:rsidR="003E71F7">
        <w:t xml:space="preserve"> within Langley, 6 of which were </w:t>
      </w:r>
      <w:r w:rsidR="00010CAB">
        <w:t>initiated</w:t>
      </w:r>
      <w:r w:rsidR="003E71F7">
        <w:t xml:space="preserve"> in 2016 due to concerns that development in the area would result in high</w:t>
      </w:r>
      <w:r w:rsidR="005A502F">
        <w:t>er</w:t>
      </w:r>
      <w:r w:rsidR="003E71F7">
        <w:t xml:space="preserve"> levels of NO</w:t>
      </w:r>
      <w:r w:rsidR="003E71F7" w:rsidRPr="00DD6577">
        <w:rPr>
          <w:vertAlign w:val="subscript"/>
        </w:rPr>
        <w:t>2</w:t>
      </w:r>
      <w:r w:rsidR="003E71F7">
        <w:t>. A further 3 diffusion tube sites were co-located with a new roadside continuous monitor</w:t>
      </w:r>
      <w:r w:rsidR="00010CAB">
        <w:t xml:space="preserve"> on Station Road</w:t>
      </w:r>
      <w:r w:rsidR="003E71F7">
        <w:t xml:space="preserve"> in </w:t>
      </w:r>
      <w:r w:rsidR="008A52BB">
        <w:t>February</w:t>
      </w:r>
      <w:r w:rsidR="003E71F7">
        <w:t xml:space="preserve"> 2023</w:t>
      </w:r>
      <w:r w:rsidR="00010CAB">
        <w:t xml:space="preserve"> for the purpose of monitoring the impact of increasing development in the area and the potential development of the Western Rail Link to Heathrow. </w:t>
      </w:r>
    </w:p>
    <w:p w14:paraId="44632F1C" w14:textId="4153BA74" w:rsidR="00010CAB" w:rsidRDefault="00010CAB" w:rsidP="00CA4AAD">
      <w:pPr>
        <w:pStyle w:val="ListParagraph"/>
        <w:numPr>
          <w:ilvl w:val="0"/>
          <w:numId w:val="10"/>
        </w:numPr>
      </w:pPr>
      <w:r>
        <w:t xml:space="preserve">12 diffusion tube sites are located on roads in proximity to the A4 to monitor traffic displacement and congestion effects resulting from the A4 Bus Lane scheme, which were installed in 2021. The selected roads include Oatlands Drive, Elliman Avenue, Shaggy Calf Lane, Chalvey Road East, Ledgers Road and Cippenham Lane. </w:t>
      </w:r>
    </w:p>
    <w:p w14:paraId="71C98A47" w14:textId="216A7EFE" w:rsidR="00010CAB" w:rsidRDefault="00A77E80" w:rsidP="00CA4AAD">
      <w:pPr>
        <w:pStyle w:val="ListParagraph"/>
        <w:numPr>
          <w:ilvl w:val="0"/>
          <w:numId w:val="10"/>
        </w:numPr>
      </w:pPr>
      <w:r>
        <w:t>4</w:t>
      </w:r>
      <w:r w:rsidR="007472B5">
        <w:t xml:space="preserve"> diffusion tube sites are representative of roadside locations and 1 is representative of a kerbside location</w:t>
      </w:r>
      <w:r>
        <w:t>. The majority of these sites are positioned nearby AQMA boundaries to monitor the spatial extent of exceedances within AQMAs. A diffusion tube on Albert Street (SLO 97) was deployed</w:t>
      </w:r>
      <w:r w:rsidR="00DD6577">
        <w:t xml:space="preserve"> specifically</w:t>
      </w:r>
      <w:r>
        <w:t xml:space="preserve"> for monitoring congestion</w:t>
      </w:r>
      <w:r w:rsidR="007A76D1">
        <w:t xml:space="preserve"> in 2020</w:t>
      </w:r>
      <w:r>
        <w:t xml:space="preserve">. </w:t>
      </w:r>
    </w:p>
    <w:p w14:paraId="765CDB9C" w14:textId="3752BF21" w:rsidR="00A77E80" w:rsidRDefault="00A77E80" w:rsidP="00CA4AAD">
      <w:pPr>
        <w:pStyle w:val="ListParagraph"/>
        <w:numPr>
          <w:ilvl w:val="0"/>
          <w:numId w:val="10"/>
        </w:numPr>
      </w:pPr>
      <w:r>
        <w:t xml:space="preserve">4 diffusion tube sites are located in the Colnbrook and Poyle area, to monitor the impact of high HGV traffic flows on air quality at nearby receptors. </w:t>
      </w:r>
    </w:p>
    <w:p w14:paraId="197BD253" w14:textId="4A8BF560" w:rsidR="00A77E80" w:rsidRDefault="00A77E80" w:rsidP="00CA4AAD">
      <w:pPr>
        <w:pStyle w:val="ListParagraph"/>
        <w:numPr>
          <w:ilvl w:val="0"/>
          <w:numId w:val="10"/>
        </w:numPr>
      </w:pPr>
      <w:r>
        <w:t xml:space="preserve">4 diffusion tubes are located in urban background and suburban areas, including one site on the outskirts of Colnbrook and Poyle, and three background sites within Salt Hill Park. </w:t>
      </w:r>
    </w:p>
    <w:p w14:paraId="511B526F" w14:textId="5217AE21" w:rsidR="00DD6577" w:rsidRDefault="00925E02" w:rsidP="00CA4AAD">
      <w:pPr>
        <w:pStyle w:val="ListParagraph"/>
        <w:numPr>
          <w:ilvl w:val="0"/>
          <w:numId w:val="10"/>
        </w:numPr>
      </w:pPr>
      <w:r>
        <w:lastRenderedPageBreak/>
        <w:t>5 diffusion tube sites have recently (September 2023) been deployed in the residential areas of Colnbrook, to determine whether the ultra-low emission zone has resulted in NO</w:t>
      </w:r>
      <w:r w:rsidRPr="00DD6577">
        <w:rPr>
          <w:vertAlign w:val="subscript"/>
        </w:rPr>
        <w:t>2</w:t>
      </w:r>
      <w:r>
        <w:t xml:space="preserve"> exceedances in this area. </w:t>
      </w:r>
    </w:p>
    <w:p w14:paraId="43A832F4" w14:textId="34AFF28D" w:rsidR="00B21F58" w:rsidRPr="00DD6577" w:rsidRDefault="00F81EE9" w:rsidP="0025036F">
      <w:pPr>
        <w:pStyle w:val="Heading2"/>
        <w:numPr>
          <w:ilvl w:val="1"/>
          <w:numId w:val="69"/>
        </w:numPr>
      </w:pPr>
      <w:bookmarkStart w:id="25" w:name="_Toc160129551"/>
      <w:r>
        <w:t>Air Quality Management Areas (</w:t>
      </w:r>
      <w:r w:rsidR="00B21F58" w:rsidRPr="00B21F58">
        <w:t>AQMAs</w:t>
      </w:r>
      <w:r>
        <w:t>)</w:t>
      </w:r>
      <w:bookmarkEnd w:id="25"/>
    </w:p>
    <w:p w14:paraId="1DC30997" w14:textId="459611BF" w:rsidR="00DD6577" w:rsidRDefault="00B21F58" w:rsidP="00F81EE9">
      <w:pPr>
        <w:spacing w:before="0" w:after="0"/>
      </w:pPr>
      <w:r w:rsidRPr="00B21F58">
        <w:t>Slough Borough Council have five</w:t>
      </w:r>
      <w:r>
        <w:t xml:space="preserve"> </w:t>
      </w:r>
      <w:r w:rsidR="007B3BD4">
        <w:t>AQMAs</w:t>
      </w:r>
      <w:r w:rsidRPr="00B21F58">
        <w:t>, declared due to exceedances of the NO</w:t>
      </w:r>
      <w:r w:rsidRPr="00DD6577">
        <w:rPr>
          <w:vertAlign w:val="subscript"/>
        </w:rPr>
        <w:t>2</w:t>
      </w:r>
      <w:r w:rsidRPr="00B21F58">
        <w:t xml:space="preserve"> AQO</w:t>
      </w:r>
      <w:r w:rsidR="00DD6577">
        <w:t xml:space="preserve"> (40</w:t>
      </w:r>
      <w:r w:rsidR="00D705F2">
        <w:rPr>
          <w:rFonts w:cs="Arial"/>
          <w:color w:val="0B0C0C"/>
        </w:rPr>
        <w:t>µ</w:t>
      </w:r>
      <w:r w:rsidR="00DD6577">
        <w:t>g/m</w:t>
      </w:r>
      <w:r w:rsidR="00DD6577" w:rsidRPr="007B7676">
        <w:rPr>
          <w:vertAlign w:val="superscript"/>
        </w:rPr>
        <w:t>3</w:t>
      </w:r>
      <w:r w:rsidR="00DD6577">
        <w:t>).</w:t>
      </w:r>
      <w:r w:rsidR="005B737C">
        <w:t xml:space="preserve"> A description of each is provided below.</w:t>
      </w:r>
    </w:p>
    <w:p w14:paraId="4166DBD5" w14:textId="77777777" w:rsidR="005B737C" w:rsidRDefault="005B737C" w:rsidP="005B737C">
      <w:pPr>
        <w:spacing w:before="0" w:after="0"/>
      </w:pPr>
    </w:p>
    <w:p w14:paraId="55EEC443" w14:textId="179DE1BE" w:rsidR="00E00464" w:rsidRPr="007D12DB" w:rsidRDefault="00E00464" w:rsidP="00F81EE9">
      <w:pPr>
        <w:spacing w:before="0" w:after="0"/>
      </w:pPr>
      <w:r w:rsidRPr="007D12DB">
        <w:t>AQMA 1: including land adjacent to the M4 along the north bound carriageway (junctions 5-7) and sout</w:t>
      </w:r>
      <w:r w:rsidRPr="00965C86">
        <w:t>hbound carriageway (junction 5 – Brands Hill) up to a distance of approximately 100m from the central carriageway</w:t>
      </w:r>
      <w:r>
        <w:t>, declared in June 20</w:t>
      </w:r>
      <w:r w:rsidR="004F4281">
        <w:t>05</w:t>
      </w:r>
      <w:r w:rsidRPr="00965C86">
        <w:t>. In 2022, there were 542 residential properties within AQMA 1.</w:t>
      </w:r>
    </w:p>
    <w:p w14:paraId="72492719" w14:textId="77777777" w:rsidR="00F81EE9" w:rsidRDefault="00F81EE9" w:rsidP="00F81EE9">
      <w:pPr>
        <w:spacing w:before="0" w:after="0"/>
      </w:pPr>
    </w:p>
    <w:p w14:paraId="4282871D" w14:textId="129A1FAE" w:rsidR="00F81EE9" w:rsidRDefault="00E00464" w:rsidP="00F81EE9">
      <w:pPr>
        <w:spacing w:before="0" w:after="0"/>
      </w:pPr>
      <w:r w:rsidRPr="007D12DB">
        <w:t xml:space="preserve">AQMA 2: incorporates A4 London Road east of junction 5 M4, 300m past Sutton Lane along the Colnbrook by-pass and covers the entire </w:t>
      </w:r>
      <w:r w:rsidR="001A6D88">
        <w:t xml:space="preserve">A4 London Road to Bath Road junction, </w:t>
      </w:r>
      <w:r w:rsidR="004F4281">
        <w:t>declared in June 2005</w:t>
      </w:r>
      <w:r w:rsidRPr="007D12DB">
        <w:t>. A new residential development (Rogans) opposite the</w:t>
      </w:r>
      <w:r w:rsidR="001A6D88">
        <w:t xml:space="preserve"> junction </w:t>
      </w:r>
      <w:r>
        <w:t xml:space="preserve">is now occupied and </w:t>
      </w:r>
      <w:r w:rsidR="005B737C">
        <w:t>approximately</w:t>
      </w:r>
      <w:r>
        <w:t xml:space="preserve"> double</w:t>
      </w:r>
      <w:r w:rsidR="005B737C">
        <w:t xml:space="preserve">s </w:t>
      </w:r>
      <w:r>
        <w:t>the number of residential properties exposed in this location</w:t>
      </w:r>
      <w:r w:rsidRPr="00965C86">
        <w:t>. In 2022, there were 85 residential properties within AQMA 2.</w:t>
      </w:r>
    </w:p>
    <w:p w14:paraId="125F113B" w14:textId="77777777" w:rsidR="00412F35" w:rsidRDefault="00412F35" w:rsidP="00F81EE9">
      <w:pPr>
        <w:spacing w:before="0" w:after="0"/>
      </w:pPr>
    </w:p>
    <w:p w14:paraId="55A194C6" w14:textId="01088D96" w:rsidR="00E00464" w:rsidRPr="007D12DB" w:rsidRDefault="00E00464" w:rsidP="00F81EE9">
      <w:pPr>
        <w:spacing w:before="0" w:after="0"/>
      </w:pPr>
      <w:r w:rsidRPr="007D12DB">
        <w:t>AQMA 3: incorporates the A355 Tuns Lane from junction 6 of the M4 motorway in a northerly direction to just past its junction with the A4 Bath Road approximately 200m north along A355 Farnham Road</w:t>
      </w:r>
      <w:r w:rsidR="001A6D88">
        <w:t xml:space="preserve"> (t</w:t>
      </w:r>
      <w:r w:rsidRPr="007D12DB">
        <w:t>he area</w:t>
      </w:r>
      <w:r w:rsidRPr="00965C86">
        <w:t xml:space="preserve"> is known as the </w:t>
      </w:r>
      <w:r w:rsidR="005B737C">
        <w:t>“</w:t>
      </w:r>
      <w:r w:rsidRPr="00965C86">
        <w:t>Three Tuns</w:t>
      </w:r>
      <w:r w:rsidR="005B737C">
        <w:t>”</w:t>
      </w:r>
      <w:r w:rsidR="001A6D88">
        <w:t>)</w:t>
      </w:r>
      <w:r w:rsidR="004F4281">
        <w:t xml:space="preserve"> declared in January 2011</w:t>
      </w:r>
      <w:r w:rsidRPr="00965C86">
        <w:t>. In 2022, there were 362 residential properties within AQMA 3.</w:t>
      </w:r>
    </w:p>
    <w:p w14:paraId="283CD53E" w14:textId="77777777" w:rsidR="00F81EE9" w:rsidRDefault="00F81EE9" w:rsidP="00F81EE9">
      <w:pPr>
        <w:spacing w:before="0" w:after="0"/>
      </w:pPr>
    </w:p>
    <w:p w14:paraId="0B10DA4B" w14:textId="00C4092C" w:rsidR="00F81EE9" w:rsidRDefault="00F81EE9" w:rsidP="00F81EE9">
      <w:pPr>
        <w:spacing w:before="0" w:after="0"/>
      </w:pPr>
      <w:r w:rsidRPr="007D12DB">
        <w:t>AQMA 3 Extension: The Council declared the new extended AQMA 3 on 10</w:t>
      </w:r>
      <w:r w:rsidRPr="00154CEE">
        <w:rPr>
          <w:vertAlign w:val="superscript"/>
        </w:rPr>
        <w:t>th</w:t>
      </w:r>
      <w:r w:rsidRPr="007D12DB">
        <w:t xml:space="preserve"> May 2018 and formally s</w:t>
      </w:r>
      <w:r w:rsidRPr="00357052">
        <w:t>ubmitted this to Defra. In 2022, there were 229 residential properties within AQMA 3 Extension</w:t>
      </w:r>
      <w:r w:rsidR="005A502F">
        <w:t>, plus a residential care home accommodating up to 53 residents</w:t>
      </w:r>
      <w:r w:rsidRPr="00357052">
        <w:t>.</w:t>
      </w:r>
    </w:p>
    <w:p w14:paraId="22634D6F" w14:textId="77777777" w:rsidR="00F81EE9" w:rsidRDefault="00F81EE9" w:rsidP="00F81EE9">
      <w:pPr>
        <w:spacing w:before="0" w:after="0"/>
      </w:pPr>
    </w:p>
    <w:p w14:paraId="32D56558" w14:textId="40CD6332" w:rsidR="00E00464" w:rsidRDefault="00E00464" w:rsidP="00F81EE9">
      <w:pPr>
        <w:spacing w:before="0" w:after="0"/>
      </w:pPr>
      <w:r w:rsidRPr="007D12DB">
        <w:t xml:space="preserve">AQMA 4: incorporates the A4 Bath Road from the junction with Ledgers Road/Stoke Poges Lane, in an easterly direction, along Wellington Street, up to the Sussex Place </w:t>
      </w:r>
      <w:r w:rsidRPr="007D12DB">
        <w:lastRenderedPageBreak/>
        <w:t>junctio</w:t>
      </w:r>
      <w:r w:rsidRPr="00357052">
        <w:t>n</w:t>
      </w:r>
      <w:r w:rsidR="004F4281">
        <w:t>, declared January 2011</w:t>
      </w:r>
      <w:r w:rsidRPr="00357052">
        <w:t>. In 2022, there were 743 residential properties within AQMA 4.</w:t>
      </w:r>
    </w:p>
    <w:p w14:paraId="6186C87B" w14:textId="32F8E80B" w:rsidR="00F81EE9" w:rsidRDefault="00F81EE9" w:rsidP="0025036F">
      <w:pPr>
        <w:pStyle w:val="Heading2"/>
        <w:numPr>
          <w:ilvl w:val="1"/>
          <w:numId w:val="69"/>
        </w:numPr>
      </w:pPr>
      <w:bookmarkStart w:id="26" w:name="_Toc160129552"/>
      <w:r>
        <w:t>Air Quality Trends</w:t>
      </w:r>
      <w:bookmarkEnd w:id="26"/>
    </w:p>
    <w:p w14:paraId="5DA96184" w14:textId="4D7BB06E" w:rsidR="005F4ED4" w:rsidRDefault="00F81EE9" w:rsidP="0025036F">
      <w:pPr>
        <w:pStyle w:val="Heading3"/>
        <w:numPr>
          <w:ilvl w:val="2"/>
          <w:numId w:val="69"/>
        </w:numPr>
      </w:pPr>
      <w:bookmarkStart w:id="27" w:name="_Toc160129553"/>
      <w:r>
        <w:t xml:space="preserve">National </w:t>
      </w:r>
      <w:r w:rsidR="003C0339">
        <w:t>Trends from 2018 to 2022</w:t>
      </w:r>
      <w:bookmarkEnd w:id="27"/>
      <w:r w:rsidR="003C0339">
        <w:t xml:space="preserve"> </w:t>
      </w:r>
    </w:p>
    <w:p w14:paraId="3EA9566F" w14:textId="6171D8E9" w:rsidR="00412F35" w:rsidRPr="005A502F" w:rsidRDefault="005A502F" w:rsidP="00EB191B">
      <w:pPr>
        <w:pStyle w:val="AQAPText"/>
        <w:rPr>
          <w:b/>
          <w:bCs/>
          <w:color w:val="008938"/>
        </w:rPr>
      </w:pPr>
      <w:r>
        <w:rPr>
          <w:b/>
          <w:bCs/>
          <w:color w:val="008938"/>
        </w:rPr>
        <w:t xml:space="preserve">Nitrogen </w:t>
      </w:r>
      <w:r w:rsidR="002F05CA">
        <w:rPr>
          <w:b/>
          <w:bCs/>
          <w:color w:val="008938"/>
        </w:rPr>
        <w:t>d</w:t>
      </w:r>
      <w:r>
        <w:rPr>
          <w:b/>
          <w:bCs/>
          <w:color w:val="008938"/>
        </w:rPr>
        <w:t>ioxide (</w:t>
      </w:r>
      <w:r w:rsidR="00F81EE9" w:rsidRPr="00EB191B">
        <w:rPr>
          <w:b/>
          <w:bCs/>
          <w:color w:val="008938"/>
        </w:rPr>
        <w:t>NO</w:t>
      </w:r>
      <w:r w:rsidR="00F81EE9" w:rsidRPr="00EB191B">
        <w:rPr>
          <w:b/>
          <w:bCs/>
          <w:color w:val="008938"/>
          <w:vertAlign w:val="subscript"/>
        </w:rPr>
        <w:t>2</w:t>
      </w:r>
      <w:r>
        <w:rPr>
          <w:b/>
          <w:bCs/>
          <w:color w:val="008938"/>
          <w:vertAlign w:val="subscript"/>
        </w:rPr>
        <w:softHyphen/>
      </w:r>
      <w:r>
        <w:rPr>
          <w:b/>
          <w:bCs/>
          <w:color w:val="008938"/>
        </w:rPr>
        <w:t>)</w:t>
      </w:r>
    </w:p>
    <w:p w14:paraId="1BC2B484" w14:textId="687C1ECE" w:rsidR="008954E2" w:rsidRPr="008954E2" w:rsidRDefault="005B737C" w:rsidP="00F81EE9">
      <w:pPr>
        <w:spacing w:before="0" w:after="0"/>
      </w:pPr>
      <w:r>
        <w:t>National air quality d</w:t>
      </w:r>
      <w:r w:rsidR="008954E2">
        <w:t xml:space="preserve">ata for 2023 will be available from Defra in April 2024, therefore the </w:t>
      </w:r>
      <w:r>
        <w:t>following</w:t>
      </w:r>
      <w:r w:rsidR="008954E2">
        <w:t xml:space="preserve"> review is for 2022. </w:t>
      </w:r>
    </w:p>
    <w:p w14:paraId="0A15360A" w14:textId="1153AF4E" w:rsidR="00F81EE9" w:rsidRDefault="00F81EE9" w:rsidP="00CA4AAD">
      <w:pPr>
        <w:pStyle w:val="ListParagraph"/>
        <w:numPr>
          <w:ilvl w:val="2"/>
          <w:numId w:val="11"/>
        </w:numPr>
        <w:contextualSpacing/>
      </w:pPr>
      <w:r>
        <w:t>Across the UK, u</w:t>
      </w:r>
      <w:r w:rsidRPr="00CA3EDF">
        <w:t>rban background NO</w:t>
      </w:r>
      <w:r w:rsidRPr="00020E38">
        <w:rPr>
          <w:vertAlign w:val="subscript"/>
        </w:rPr>
        <w:t>2</w:t>
      </w:r>
      <w:r w:rsidRPr="00CA3EDF">
        <w:t xml:space="preserve"> pollution reduced both in the long-term and in recent years</w:t>
      </w:r>
      <w:r>
        <w:t xml:space="preserve">. </w:t>
      </w:r>
      <w:r w:rsidRPr="00BB3210">
        <w:t>Between 2006 and 2019 inclusive, the annual mean NO</w:t>
      </w:r>
      <w:r w:rsidRPr="00A95B27">
        <w:rPr>
          <w:vertAlign w:val="subscript"/>
        </w:rPr>
        <w:t>2</w:t>
      </w:r>
      <w:r w:rsidRPr="00BB3210">
        <w:t xml:space="preserve"> concentration at urban background sites reduced by an average of </w:t>
      </w:r>
    </w:p>
    <w:p w14:paraId="2E58DACA" w14:textId="1789757B" w:rsidR="00F81EE9" w:rsidRDefault="00F81EE9" w:rsidP="00F81EE9">
      <w:pPr>
        <w:pStyle w:val="ListParagraph"/>
        <w:ind w:left="360"/>
        <w:contextualSpacing/>
      </w:pPr>
      <w:r>
        <w:t>-</w:t>
      </w:r>
      <w:r w:rsidRPr="00BB3210">
        <w:t>0.9µg/m</w:t>
      </w:r>
      <w:r w:rsidRPr="00A95B27">
        <w:rPr>
          <w:vertAlign w:val="superscript"/>
        </w:rPr>
        <w:t>3</w:t>
      </w:r>
      <w:r w:rsidRPr="00BB3210">
        <w:t> each ye</w:t>
      </w:r>
      <w:r>
        <w:t>ar and fell by -</w:t>
      </w:r>
      <w:r w:rsidRPr="00BB3210">
        <w:t>4.5µg/m</w:t>
      </w:r>
      <w:r w:rsidRPr="00BB3210">
        <w:rPr>
          <w:vertAlign w:val="superscript"/>
        </w:rPr>
        <w:t>3</w:t>
      </w:r>
      <w:r w:rsidRPr="00BB3210">
        <w:t> (23%)</w:t>
      </w:r>
      <w:r>
        <w:t xml:space="preserve"> in 2020 due to a reduction in traffic as a result of the </w:t>
      </w:r>
      <w:r w:rsidR="001A6D88">
        <w:t xml:space="preserve">COVID-19 </w:t>
      </w:r>
      <w:r>
        <w:t>pandemic</w:t>
      </w:r>
      <w:r w:rsidRPr="00BB3210">
        <w:t>.</w:t>
      </w:r>
      <w:r>
        <w:t xml:space="preserve"> Concentrations recovered slightly in 2021 by 5% and decreased by 1% from 2021 to 2022. </w:t>
      </w:r>
    </w:p>
    <w:p w14:paraId="21CE3653" w14:textId="54F9A151" w:rsidR="00F81EE9" w:rsidRDefault="00F81EE9" w:rsidP="00CA4AAD">
      <w:pPr>
        <w:pStyle w:val="ListParagraph"/>
        <w:numPr>
          <w:ilvl w:val="2"/>
          <w:numId w:val="11"/>
        </w:numPr>
        <w:spacing w:before="0" w:after="0"/>
        <w:contextualSpacing/>
      </w:pPr>
      <w:r>
        <w:t xml:space="preserve">Similarly, </w:t>
      </w:r>
      <w:r w:rsidR="005A502F">
        <w:t xml:space="preserve">UK </w:t>
      </w:r>
      <w:r>
        <w:t xml:space="preserve">roadside sites </w:t>
      </w:r>
      <w:r w:rsidR="005B737C">
        <w:t>saw</w:t>
      </w:r>
      <w:r>
        <w:t xml:space="preserve"> an average reduction of NO</w:t>
      </w:r>
      <w:r>
        <w:rPr>
          <w:vertAlign w:val="subscript"/>
        </w:rPr>
        <w:t>2</w:t>
      </w:r>
      <w:r>
        <w:t xml:space="preserve"> concentrations by </w:t>
      </w:r>
    </w:p>
    <w:p w14:paraId="5559EDDF" w14:textId="0500FF52" w:rsidR="00F81EE9" w:rsidRDefault="00F81EE9" w:rsidP="00F81EE9">
      <w:pPr>
        <w:pStyle w:val="ListParagraph"/>
        <w:spacing w:before="0" w:after="0"/>
        <w:ind w:left="360"/>
      </w:pPr>
      <w:r>
        <w:t>-</w:t>
      </w:r>
      <w:r w:rsidRPr="00BB3210">
        <w:t>1.8µg/m</w:t>
      </w:r>
      <w:r w:rsidRPr="001B1202">
        <w:rPr>
          <w:vertAlign w:val="superscript"/>
        </w:rPr>
        <w:t>3</w:t>
      </w:r>
      <w:r w:rsidRPr="00BB3210">
        <w:t> each year</w:t>
      </w:r>
      <w:r>
        <w:t xml:space="preserve"> between 2006 and 2019. The pandemic brought a 26% reduction (-</w:t>
      </w:r>
      <w:r w:rsidRPr="00BB3210">
        <w:t>8.21µg/m</w:t>
      </w:r>
      <w:r w:rsidRPr="00BB3210">
        <w:rPr>
          <w:vertAlign w:val="superscript"/>
        </w:rPr>
        <w:t>3</w:t>
      </w:r>
      <w:r>
        <w:t xml:space="preserve">) in 2020, which recovered by 8% in 2021 </w:t>
      </w:r>
      <w:r w:rsidR="005B737C">
        <w:t>(</w:t>
      </w:r>
      <w:r>
        <w:t>+</w:t>
      </w:r>
      <w:r w:rsidRPr="00A95B27">
        <w:t>1.8µg/m</w:t>
      </w:r>
      <w:r w:rsidRPr="001B1202">
        <w:rPr>
          <w:vertAlign w:val="superscript"/>
        </w:rPr>
        <w:t>3</w:t>
      </w:r>
      <w:r w:rsidR="005B737C">
        <w:t>).</w:t>
      </w:r>
      <w:r>
        <w:t xml:space="preserve"> On average, t</w:t>
      </w:r>
      <w:r w:rsidRPr="00CA3EDF">
        <w:t xml:space="preserve">he annual mean concentration of </w:t>
      </w:r>
      <w:r>
        <w:t xml:space="preserve">roadside </w:t>
      </w:r>
      <w:r w:rsidRPr="00CA3EDF">
        <w:t>NO</w:t>
      </w:r>
      <w:r w:rsidRPr="00020E38">
        <w:rPr>
          <w:vertAlign w:val="subscript"/>
        </w:rPr>
        <w:t>2</w:t>
      </w:r>
      <w:r w:rsidRPr="00CA3EDF">
        <w:t xml:space="preserve"> decreased</w:t>
      </w:r>
      <w:r>
        <w:t xml:space="preserve"> by 5%</w:t>
      </w:r>
      <w:r w:rsidRPr="00CA3EDF">
        <w:t xml:space="preserve"> </w:t>
      </w:r>
    </w:p>
    <w:p w14:paraId="7F06D7CE" w14:textId="6F7DDB40" w:rsidR="00F81EE9" w:rsidRPr="00F776F7" w:rsidRDefault="00F81EE9" w:rsidP="00F81EE9">
      <w:pPr>
        <w:pStyle w:val="ListParagraph"/>
        <w:spacing w:before="0" w:after="0"/>
        <w:ind w:left="360"/>
      </w:pPr>
      <w:r>
        <w:t>(-1.2</w:t>
      </w:r>
      <w:r w:rsidRPr="00A95B27">
        <w:t>µg/m</w:t>
      </w:r>
      <w:r w:rsidRPr="00F81EE9">
        <w:rPr>
          <w:vertAlign w:val="superscript"/>
        </w:rPr>
        <w:t>3</w:t>
      </w:r>
      <w:r>
        <w:t>) from 2021 to</w:t>
      </w:r>
      <w:r w:rsidRPr="00CA3EDF">
        <w:t xml:space="preserve"> 2022</w:t>
      </w:r>
      <w:r>
        <w:t xml:space="preserve">, whilst remaining 24% lower than concentrations in 2019. </w:t>
      </w:r>
      <w:r w:rsidR="005A502F">
        <w:t xml:space="preserve">In </w:t>
      </w:r>
      <w:r>
        <w:t>2022</w:t>
      </w:r>
      <w:r w:rsidR="005A502F">
        <w:t>, the</w:t>
      </w:r>
      <w:r w:rsidR="005A502F" w:rsidRPr="00C54124">
        <w:t xml:space="preserve">re were </w:t>
      </w:r>
      <w:r w:rsidRPr="00C54124">
        <w:t>also the fewest hours of ‘</w:t>
      </w:r>
      <w:r w:rsidR="008954E2" w:rsidRPr="00C54124">
        <w:t>m</w:t>
      </w:r>
      <w:r w:rsidRPr="00C54124">
        <w:t xml:space="preserve">oderate’ air pollution </w:t>
      </w:r>
      <w:r w:rsidR="001A6D88" w:rsidRPr="00C54124">
        <w:t>in line with the DAQI index</w:t>
      </w:r>
      <w:r w:rsidR="00C54124" w:rsidRPr="00C54124">
        <w:rPr>
          <w:rStyle w:val="FootnoteReference"/>
        </w:rPr>
        <w:footnoteReference w:id="10"/>
      </w:r>
      <w:r w:rsidR="001A6D88" w:rsidRPr="00C54124">
        <w:t xml:space="preserve"> </w:t>
      </w:r>
      <w:r w:rsidRPr="00C54124">
        <w:t>due to NO</w:t>
      </w:r>
      <w:r w:rsidRPr="00C54124">
        <w:rPr>
          <w:vertAlign w:val="subscript"/>
        </w:rPr>
        <w:t>2</w:t>
      </w:r>
      <w:r w:rsidRPr="00C54124">
        <w:t xml:space="preserve"> per site since the beginning of the time series (1997).</w:t>
      </w:r>
    </w:p>
    <w:p w14:paraId="4491E8E1" w14:textId="74ABDACE" w:rsidR="00F81EE9" w:rsidRDefault="00F81EE9" w:rsidP="00CA4AAD">
      <w:pPr>
        <w:pStyle w:val="ListParagraph"/>
        <w:numPr>
          <w:ilvl w:val="2"/>
          <w:numId w:val="11"/>
        </w:numPr>
        <w:contextualSpacing/>
      </w:pPr>
      <w:r>
        <w:t>In regards to weekday variations, t</w:t>
      </w:r>
      <w:r w:rsidRPr="002902BF">
        <w:t xml:space="preserve">he Monday-to-Friday mean concentration at </w:t>
      </w:r>
      <w:r w:rsidR="005A502F">
        <w:t xml:space="preserve">UK </w:t>
      </w:r>
      <w:r w:rsidRPr="002902BF">
        <w:t>roadside sites was 25.2µg/m</w:t>
      </w:r>
      <w:r w:rsidRPr="00BB3210">
        <w:rPr>
          <w:vertAlign w:val="superscript"/>
        </w:rPr>
        <w:t>3</w:t>
      </w:r>
      <w:r w:rsidRPr="002902BF">
        <w:t>, 28% greater than the mean concentration at the weekend of 19.7µg/m</w:t>
      </w:r>
      <w:r w:rsidRPr="00BB3210">
        <w:rPr>
          <w:vertAlign w:val="superscript"/>
        </w:rPr>
        <w:t>3</w:t>
      </w:r>
      <w:r w:rsidRPr="002902BF">
        <w:t>.</w:t>
      </w:r>
      <w:r>
        <w:t xml:space="preserve"> This is primarily due to the influence of commuter </w:t>
      </w:r>
      <w:r>
        <w:lastRenderedPageBreak/>
        <w:t>traffic during the week and is a greater difference when compared to 2021 (26%)</w:t>
      </w:r>
      <w:r>
        <w:rPr>
          <w:rStyle w:val="FootnoteReference"/>
        </w:rPr>
        <w:footnoteReference w:id="11"/>
      </w:r>
      <w:r>
        <w:t xml:space="preserve">. </w:t>
      </w:r>
    </w:p>
    <w:p w14:paraId="69861686" w14:textId="460EF280" w:rsidR="008954E2" w:rsidRPr="00EB191B" w:rsidRDefault="008954E2" w:rsidP="00EB191B">
      <w:pPr>
        <w:pStyle w:val="AQAPText"/>
        <w:rPr>
          <w:b/>
          <w:bCs/>
          <w:color w:val="008938"/>
        </w:rPr>
      </w:pPr>
      <w:r w:rsidRPr="00EB191B">
        <w:rPr>
          <w:b/>
          <w:bCs/>
          <w:color w:val="008938"/>
        </w:rPr>
        <w:t>PM</w:t>
      </w:r>
      <w:r w:rsidRPr="00EB191B">
        <w:rPr>
          <w:b/>
          <w:bCs/>
          <w:color w:val="008938"/>
          <w:vertAlign w:val="subscript"/>
        </w:rPr>
        <w:t>2.5</w:t>
      </w:r>
      <w:r w:rsidRPr="00EB191B">
        <w:rPr>
          <w:b/>
          <w:bCs/>
          <w:color w:val="008938"/>
        </w:rPr>
        <w:t xml:space="preserve"> and PM</w:t>
      </w:r>
      <w:r w:rsidRPr="00EB191B">
        <w:rPr>
          <w:b/>
          <w:bCs/>
          <w:color w:val="008938"/>
          <w:vertAlign w:val="subscript"/>
        </w:rPr>
        <w:t>10</w:t>
      </w:r>
    </w:p>
    <w:p w14:paraId="20B24C82" w14:textId="636FF685" w:rsidR="008954E2" w:rsidRDefault="008954E2" w:rsidP="00A06578">
      <w:pPr>
        <w:pStyle w:val="ListParagraph"/>
        <w:numPr>
          <w:ilvl w:val="0"/>
          <w:numId w:val="12"/>
        </w:numPr>
        <w:contextualSpacing/>
      </w:pPr>
      <w:r w:rsidRPr="00336232">
        <w:t>Urban background PM</w:t>
      </w:r>
      <w:r w:rsidRPr="005A502F">
        <w:rPr>
          <w:vertAlign w:val="subscript"/>
        </w:rPr>
        <w:t>10</w:t>
      </w:r>
      <w:r w:rsidRPr="00336232">
        <w:t xml:space="preserve"> pollution </w:t>
      </w:r>
      <w:r w:rsidR="005A502F">
        <w:t xml:space="preserve">in the UK </w:t>
      </w:r>
      <w:r w:rsidRPr="00336232">
        <w:t>has reduced in the long-term despite a period of relative stability between 2015 to 2019</w:t>
      </w:r>
      <w:r>
        <w:t>,</w:t>
      </w:r>
      <w:r w:rsidRPr="00336232">
        <w:t xml:space="preserve"> until a notable decrease </w:t>
      </w:r>
      <w:r>
        <w:t>in</w:t>
      </w:r>
      <w:r w:rsidRPr="00336232">
        <w:t xml:space="preserve"> 2020 </w:t>
      </w:r>
      <w:r>
        <w:t>by</w:t>
      </w:r>
      <w:r w:rsidRPr="00336232">
        <w:t xml:space="preserve"> </w:t>
      </w:r>
      <w:r>
        <w:t>-</w:t>
      </w:r>
      <w:r w:rsidRPr="00336232">
        <w:t>1.8µg/m</w:t>
      </w:r>
      <w:r w:rsidRPr="005A502F">
        <w:rPr>
          <w:vertAlign w:val="superscript"/>
        </w:rPr>
        <w:t>3</w:t>
      </w:r>
      <w:r w:rsidRPr="00336232">
        <w:t> (12%)</w:t>
      </w:r>
      <w:r>
        <w:t xml:space="preserve"> to 13.2</w:t>
      </w:r>
      <w:r w:rsidRPr="00336232">
        <w:t>µg/m</w:t>
      </w:r>
      <w:r w:rsidRPr="005A502F">
        <w:rPr>
          <w:vertAlign w:val="superscript"/>
        </w:rPr>
        <w:t>3</w:t>
      </w:r>
      <w:r w:rsidRPr="00336232">
        <w:t>. There was further decrease (2%) to 13.0µg/m</w:t>
      </w:r>
      <w:r w:rsidRPr="005A502F">
        <w:rPr>
          <w:vertAlign w:val="superscript"/>
        </w:rPr>
        <w:t>3</w:t>
      </w:r>
      <w:r w:rsidRPr="00336232">
        <w:t xml:space="preserve"> in 2021, the lowest value in the time series. From there, concentrations have risen </w:t>
      </w:r>
      <w:r>
        <w:t>by 8%</w:t>
      </w:r>
      <w:r w:rsidRPr="00336232">
        <w:t xml:space="preserve"> to 13.9µg/m</w:t>
      </w:r>
      <w:r w:rsidRPr="005A502F">
        <w:rPr>
          <w:vertAlign w:val="superscript"/>
        </w:rPr>
        <w:t>3</w:t>
      </w:r>
      <w:r w:rsidRPr="00336232">
        <w:t xml:space="preserve"> in 2022.</w:t>
      </w:r>
    </w:p>
    <w:p w14:paraId="732DD078" w14:textId="6E8D0E50" w:rsidR="008954E2" w:rsidRDefault="008954E2" w:rsidP="00CA4AAD">
      <w:pPr>
        <w:pStyle w:val="ListParagraph"/>
        <w:numPr>
          <w:ilvl w:val="0"/>
          <w:numId w:val="12"/>
        </w:numPr>
        <w:contextualSpacing/>
      </w:pPr>
      <w:r>
        <w:t>Similarly to PM</w:t>
      </w:r>
      <w:r>
        <w:rPr>
          <w:vertAlign w:val="subscript"/>
        </w:rPr>
        <w:t>10</w:t>
      </w:r>
      <w:r>
        <w:t>, urban background PM</w:t>
      </w:r>
      <w:r>
        <w:rPr>
          <w:vertAlign w:val="subscript"/>
        </w:rPr>
        <w:t>2.5</w:t>
      </w:r>
      <w:r>
        <w:t xml:space="preserve"> pollution </w:t>
      </w:r>
      <w:r w:rsidR="005A502F">
        <w:t xml:space="preserve">in the UK </w:t>
      </w:r>
      <w:r>
        <w:t>has shown stability between 2015 and 2019, with a notable decrease from 2019 to 2020 from 9.9</w:t>
      </w:r>
      <w:r w:rsidRPr="00336232">
        <w:t>µg/m</w:t>
      </w:r>
      <w:r w:rsidRPr="00611E1E">
        <w:rPr>
          <w:vertAlign w:val="superscript"/>
        </w:rPr>
        <w:t>3</w:t>
      </w:r>
      <w:r>
        <w:t xml:space="preserve"> to 7.9</w:t>
      </w:r>
      <w:r w:rsidRPr="00336232">
        <w:t>µg/m</w:t>
      </w:r>
      <w:r w:rsidRPr="00611E1E">
        <w:rPr>
          <w:vertAlign w:val="superscript"/>
        </w:rPr>
        <w:t>3</w:t>
      </w:r>
      <w:r>
        <w:rPr>
          <w:vertAlign w:val="superscript"/>
        </w:rPr>
        <w:t xml:space="preserve"> </w:t>
      </w:r>
      <w:r>
        <w:t>(20%). This recovered slightly in 2022 to 8.3</w:t>
      </w:r>
      <w:r w:rsidRPr="00336232">
        <w:t>µg/m</w:t>
      </w:r>
      <w:r w:rsidRPr="00611E1E">
        <w:rPr>
          <w:vertAlign w:val="superscript"/>
        </w:rPr>
        <w:t>3</w:t>
      </w:r>
      <w:r>
        <w:rPr>
          <w:vertAlign w:val="superscript"/>
        </w:rPr>
        <w:t xml:space="preserve"> </w:t>
      </w:r>
      <w:r>
        <w:t xml:space="preserve">(5%). </w:t>
      </w:r>
    </w:p>
    <w:p w14:paraId="3FA3831B" w14:textId="061F9107" w:rsidR="008954E2" w:rsidRDefault="008954E2" w:rsidP="00CA4AAD">
      <w:pPr>
        <w:pStyle w:val="ListParagraph"/>
        <w:numPr>
          <w:ilvl w:val="0"/>
          <w:numId w:val="12"/>
        </w:numPr>
        <w:contextualSpacing/>
      </w:pPr>
      <w:r>
        <w:t xml:space="preserve">Both </w:t>
      </w:r>
      <w:r w:rsidR="005A502F">
        <w:t xml:space="preserve">UK </w:t>
      </w:r>
      <w:r>
        <w:t>r</w:t>
      </w:r>
      <w:r w:rsidRPr="00336232">
        <w:t>oadside PM</w:t>
      </w:r>
      <w:r w:rsidRPr="00611E1E">
        <w:rPr>
          <w:vertAlign w:val="subscript"/>
        </w:rPr>
        <w:t>10</w:t>
      </w:r>
      <w:r w:rsidRPr="00336232">
        <w:t xml:space="preserve"> </w:t>
      </w:r>
      <w:r>
        <w:t>and PM</w:t>
      </w:r>
      <w:r>
        <w:rPr>
          <w:vertAlign w:val="subscript"/>
        </w:rPr>
        <w:t>2.5</w:t>
      </w:r>
      <w:r>
        <w:t xml:space="preserve"> </w:t>
      </w:r>
      <w:r w:rsidRPr="00336232">
        <w:t>pollution has reduced in the long-term</w:t>
      </w:r>
      <w:r>
        <w:t>. Similarly to urban background sites, roadside</w:t>
      </w:r>
      <w:r w:rsidRPr="00336232">
        <w:t xml:space="preserve"> PM</w:t>
      </w:r>
      <w:r w:rsidRPr="00611E1E">
        <w:rPr>
          <w:vertAlign w:val="subscript"/>
        </w:rPr>
        <w:t>10</w:t>
      </w:r>
      <w:r w:rsidRPr="00336232">
        <w:t xml:space="preserve"> </w:t>
      </w:r>
      <w:r>
        <w:t xml:space="preserve">concentrations have remained </w:t>
      </w:r>
      <w:r w:rsidRPr="00336232">
        <w:t xml:space="preserve">relatively stable </w:t>
      </w:r>
      <w:r>
        <w:t>over the last 8 years, with an 8% reduction in</w:t>
      </w:r>
      <w:r w:rsidRPr="00336232">
        <w:t xml:space="preserve"> 2020</w:t>
      </w:r>
      <w:r>
        <w:t xml:space="preserve"> to 16.3</w:t>
      </w:r>
      <w:r w:rsidRPr="00336232">
        <w:t>µg/m</w:t>
      </w:r>
      <w:r w:rsidRPr="00611E1E">
        <w:rPr>
          <w:vertAlign w:val="superscript"/>
        </w:rPr>
        <w:t>3</w:t>
      </w:r>
      <w:r w:rsidRPr="00336232">
        <w:t xml:space="preserve">, </w:t>
      </w:r>
      <w:r>
        <w:t xml:space="preserve">dropping by a further 2.7% in 2021 to </w:t>
      </w:r>
      <w:r w:rsidRPr="00336232">
        <w:t>15.9µg/m</w:t>
      </w:r>
      <w:r w:rsidRPr="008F7B86">
        <w:rPr>
          <w:vertAlign w:val="superscript"/>
        </w:rPr>
        <w:t>3</w:t>
      </w:r>
      <w:r w:rsidRPr="00336232">
        <w:t xml:space="preserve">. Concentrations in 2022 </w:t>
      </w:r>
      <w:r>
        <w:t xml:space="preserve">however </w:t>
      </w:r>
      <w:r w:rsidRPr="00336232">
        <w:t xml:space="preserve">increased </w:t>
      </w:r>
      <w:r>
        <w:t>by 6% to</w:t>
      </w:r>
      <w:r w:rsidRPr="00336232">
        <w:t xml:space="preserve"> 16.9µg/m</w:t>
      </w:r>
      <w:r w:rsidRPr="00724470">
        <w:rPr>
          <w:vertAlign w:val="superscript"/>
        </w:rPr>
        <w:t>3</w:t>
      </w:r>
      <w:r w:rsidRPr="00336232">
        <w:t>.</w:t>
      </w:r>
      <w:r>
        <w:t xml:space="preserve"> PM</w:t>
      </w:r>
      <w:r>
        <w:rPr>
          <w:vertAlign w:val="subscript"/>
        </w:rPr>
        <w:t>2.5</w:t>
      </w:r>
      <w:r>
        <w:t xml:space="preserve"> has seen a similar trend with the lowest concentrations observed in 2020 at 8.1</w:t>
      </w:r>
      <w:r w:rsidRPr="00336232">
        <w:t>µg/m</w:t>
      </w:r>
      <w:r w:rsidRPr="008F7B86">
        <w:rPr>
          <w:vertAlign w:val="superscript"/>
        </w:rPr>
        <w:t>3</w:t>
      </w:r>
      <w:r>
        <w:t>, increasing slightly to 8.7</w:t>
      </w:r>
      <w:r w:rsidRPr="00336232">
        <w:t>µg/m</w:t>
      </w:r>
      <w:r w:rsidRPr="008F7B86">
        <w:rPr>
          <w:vertAlign w:val="superscript"/>
        </w:rPr>
        <w:t>3</w:t>
      </w:r>
      <w:r>
        <w:rPr>
          <w:vertAlign w:val="subscript"/>
        </w:rPr>
        <w:t xml:space="preserve"> </w:t>
      </w:r>
      <w:r>
        <w:t xml:space="preserve">by 2022. </w:t>
      </w:r>
    </w:p>
    <w:p w14:paraId="7EE971DB" w14:textId="396E112C" w:rsidR="008954E2" w:rsidRDefault="008954E2" w:rsidP="00CA4AAD">
      <w:pPr>
        <w:pStyle w:val="ListParagraph"/>
        <w:numPr>
          <w:ilvl w:val="0"/>
          <w:numId w:val="12"/>
        </w:numPr>
        <w:contextualSpacing/>
      </w:pPr>
      <w:r>
        <w:t>Comparing PM</w:t>
      </w:r>
      <w:r>
        <w:rPr>
          <w:vertAlign w:val="subscript"/>
        </w:rPr>
        <w:t>10</w:t>
      </w:r>
      <w:r>
        <w:t xml:space="preserve"> by site location, concentrations are greater at roadside sites than urban background sites</w:t>
      </w:r>
      <w:r w:rsidR="005A502F">
        <w:t xml:space="preserve"> in the UK</w:t>
      </w:r>
      <w:r>
        <w:t xml:space="preserve">. This is likely to be due to proximity to road transport sources such as brake, tyre and road wear, in addition to resuspension caused by vehicle movements. </w:t>
      </w:r>
    </w:p>
    <w:p w14:paraId="5CC1D099" w14:textId="1C5D3092" w:rsidR="008954E2" w:rsidRDefault="008954E2" w:rsidP="00CA4AAD">
      <w:pPr>
        <w:pStyle w:val="ListParagraph"/>
        <w:numPr>
          <w:ilvl w:val="0"/>
          <w:numId w:val="12"/>
        </w:numPr>
        <w:contextualSpacing/>
      </w:pPr>
      <w:r>
        <w:t>Across the UK, PM</w:t>
      </w:r>
      <w:r>
        <w:rPr>
          <w:vertAlign w:val="subscript"/>
        </w:rPr>
        <w:t>2.5</w:t>
      </w:r>
      <w:r>
        <w:t xml:space="preserve"> </w:t>
      </w:r>
      <w:r w:rsidR="005B737C">
        <w:t>concentrations</w:t>
      </w:r>
      <w:r>
        <w:t xml:space="preserve"> tend to be highest in urban environments, particularly in the southern and eastern areas of the UK. This is likely due to population density, weather conditions and a </w:t>
      </w:r>
      <w:r w:rsidRPr="00980CCF">
        <w:t>greater exposure to pollution sources from mainland Europe. In 2022</w:t>
      </w:r>
      <w:r>
        <w:t xml:space="preserve">, </w:t>
      </w:r>
      <w:r w:rsidRPr="00980CCF">
        <w:t xml:space="preserve">the top </w:t>
      </w:r>
      <w:r w:rsidR="005B737C">
        <w:t>five</w:t>
      </w:r>
      <w:r w:rsidRPr="00980CCF">
        <w:t xml:space="preserve"> sites in urban environments (4 roadside and 1 background) with the greatest annual mean concentration of PM</w:t>
      </w:r>
      <w:r w:rsidRPr="00980CCF">
        <w:rPr>
          <w:vertAlign w:val="subscript"/>
        </w:rPr>
        <w:t>2.5</w:t>
      </w:r>
      <w:r>
        <w:t xml:space="preserve"> </w:t>
      </w:r>
      <w:r w:rsidRPr="00980CCF">
        <w:t>were located in the South or East (including London).</w:t>
      </w:r>
    </w:p>
    <w:p w14:paraId="2D3439F9" w14:textId="49315CBA" w:rsidR="008954E2" w:rsidRDefault="008954E2" w:rsidP="00CA4AAD">
      <w:pPr>
        <w:pStyle w:val="ListParagraph"/>
        <w:numPr>
          <w:ilvl w:val="0"/>
          <w:numId w:val="12"/>
        </w:numPr>
        <w:contextualSpacing/>
      </w:pPr>
      <w:r w:rsidRPr="00190391">
        <w:lastRenderedPageBreak/>
        <w:t>Overall, roadside and urban background monitoring sites have recorded a decreasing trend in hours of ‘Moderate’ or higher PM</w:t>
      </w:r>
      <w:r w:rsidRPr="001C4ACE">
        <w:rPr>
          <w:vertAlign w:val="subscript"/>
        </w:rPr>
        <w:t>2.5</w:t>
      </w:r>
      <w:r w:rsidRPr="001C4ACE">
        <w:t xml:space="preserve"> </w:t>
      </w:r>
      <w:r w:rsidRPr="00190391">
        <w:t>air pollution since 2011.</w:t>
      </w:r>
    </w:p>
    <w:p w14:paraId="7A5BC9DB" w14:textId="6827130E" w:rsidR="00C50E14" w:rsidRDefault="003C0339" w:rsidP="0025036F">
      <w:pPr>
        <w:pStyle w:val="Heading3"/>
        <w:numPr>
          <w:ilvl w:val="2"/>
          <w:numId w:val="69"/>
        </w:numPr>
      </w:pPr>
      <w:bookmarkStart w:id="30" w:name="_Toc160129554"/>
      <w:r>
        <w:t>Local trends</w:t>
      </w:r>
      <w:r w:rsidR="00F81EE9">
        <w:t xml:space="preserve"> from 2018</w:t>
      </w:r>
      <w:r>
        <w:t xml:space="preserve"> to </w:t>
      </w:r>
      <w:r w:rsidR="00F81EE9">
        <w:t>2022</w:t>
      </w:r>
      <w:bookmarkEnd w:id="30"/>
    </w:p>
    <w:p w14:paraId="625D414F" w14:textId="6540C648" w:rsidR="003C0339" w:rsidRPr="00B038BF" w:rsidRDefault="00835926" w:rsidP="00B038BF">
      <w:pPr>
        <w:pStyle w:val="AQAPText"/>
        <w:spacing w:before="240" w:after="0"/>
        <w:rPr>
          <w:b/>
          <w:bCs/>
          <w:color w:val="008938"/>
        </w:rPr>
      </w:pPr>
      <w:r>
        <w:rPr>
          <w:b/>
          <w:bCs/>
          <w:color w:val="008938"/>
        </w:rPr>
        <w:t>Nitrogen dioxide (</w:t>
      </w:r>
      <w:r w:rsidR="00894959" w:rsidRPr="00B038BF">
        <w:rPr>
          <w:b/>
          <w:bCs/>
          <w:color w:val="008938"/>
        </w:rPr>
        <w:t>NO</w:t>
      </w:r>
      <w:r w:rsidR="00894959" w:rsidRPr="00B038BF">
        <w:rPr>
          <w:b/>
          <w:bCs/>
          <w:color w:val="008938"/>
          <w:vertAlign w:val="subscript"/>
        </w:rPr>
        <w:t>2</w:t>
      </w:r>
      <w:r>
        <w:rPr>
          <w:b/>
          <w:bCs/>
          <w:color w:val="008938"/>
        </w:rPr>
        <w:t>)</w:t>
      </w:r>
      <w:r w:rsidR="003C0339" w:rsidRPr="00B038BF">
        <w:rPr>
          <w:b/>
          <w:bCs/>
          <w:color w:val="008938"/>
        </w:rPr>
        <w:t xml:space="preserve"> within </w:t>
      </w:r>
      <w:r w:rsidR="00C50E14" w:rsidRPr="00B038BF">
        <w:rPr>
          <w:b/>
          <w:bCs/>
          <w:color w:val="008938"/>
        </w:rPr>
        <w:t>in AQMAs</w:t>
      </w:r>
    </w:p>
    <w:p w14:paraId="1E2106D4" w14:textId="0FCBED2D" w:rsidR="008954E2" w:rsidRPr="00660011" w:rsidRDefault="005B737C" w:rsidP="00C50E14">
      <w:r>
        <w:t>This section provides a summary of NO</w:t>
      </w:r>
      <w:r>
        <w:rPr>
          <w:vertAlign w:val="subscript"/>
        </w:rPr>
        <w:t>2</w:t>
      </w:r>
      <w:r>
        <w:t xml:space="preserve"> trends by AQMA. Please note t</w:t>
      </w:r>
      <w:r w:rsidR="00660011">
        <w:t>hat to date,</w:t>
      </w:r>
      <w:r>
        <w:t xml:space="preserve"> 2023 diffusion tube data has not yet been processed and will be presented in ASR 2024.</w:t>
      </w:r>
      <w:r w:rsidR="00660011">
        <w:t xml:space="preserve"> </w:t>
      </w:r>
      <w:r w:rsidR="00C50E14">
        <w:t>As such, the data provided below is for the last full monitored year</w:t>
      </w:r>
      <w:r w:rsidR="00660011">
        <w:t xml:space="preserve"> which was 2022</w:t>
      </w:r>
      <w:r w:rsidR="00C50E14">
        <w:t xml:space="preserve">. </w:t>
      </w:r>
      <w:r w:rsidR="00C50E14" w:rsidRPr="00E95EF8">
        <w:t xml:space="preserve">Slough Borough Council undertook non-automatic monitoring of </w:t>
      </w:r>
      <w:r w:rsidR="00C50E14" w:rsidRPr="00E95EF8">
        <w:rPr>
          <w:noProof/>
        </w:rPr>
        <w:t>NO</w:t>
      </w:r>
      <w:r w:rsidR="00C50E14" w:rsidRPr="00E95EF8">
        <w:rPr>
          <w:noProof/>
          <w:vertAlign w:val="subscript"/>
        </w:rPr>
        <w:t>2</w:t>
      </w:r>
      <w:r w:rsidR="00C50E14" w:rsidRPr="00E95EF8">
        <w:t xml:space="preserve"> at 7</w:t>
      </w:r>
      <w:r w:rsidR="00C50E14">
        <w:t>4</w:t>
      </w:r>
      <w:r w:rsidR="00C50E14" w:rsidRPr="00E95EF8">
        <w:t xml:space="preserve"> sites (102 diffusion tubes) duri</w:t>
      </w:r>
      <w:r w:rsidR="00C50E14" w:rsidRPr="001922FE">
        <w:t>ng 2022.</w:t>
      </w:r>
    </w:p>
    <w:p w14:paraId="4C50EEDD" w14:textId="03AF8CB8" w:rsidR="008954E2" w:rsidRDefault="008954E2" w:rsidP="008954E2">
      <w:pPr>
        <w:spacing w:before="0" w:after="0"/>
        <w:rPr>
          <w:bCs/>
          <w:noProof/>
        </w:rPr>
      </w:pPr>
      <w:r w:rsidRPr="00CE06F6">
        <w:rPr>
          <w:bCs/>
          <w:noProof/>
        </w:rPr>
        <w:t xml:space="preserve">Overall, improvement of </w:t>
      </w:r>
      <w:r w:rsidRPr="00A25B13">
        <w:t>NO</w:t>
      </w:r>
      <w:r>
        <w:rPr>
          <w:vertAlign w:val="subscript"/>
        </w:rPr>
        <w:t>2</w:t>
      </w:r>
      <w:r w:rsidRPr="00CE06F6">
        <w:rPr>
          <w:bCs/>
          <w:noProof/>
        </w:rPr>
        <w:t xml:space="preserve"> concentrations have been experienced across all of Slough’s AQMAs</w:t>
      </w:r>
      <w:r>
        <w:rPr>
          <w:bCs/>
          <w:noProof/>
        </w:rPr>
        <w:t xml:space="preserve"> over the last five years</w:t>
      </w:r>
      <w:r w:rsidRPr="00CE06F6">
        <w:rPr>
          <w:bCs/>
          <w:noProof/>
        </w:rPr>
        <w:t>, with the highest rate observed in 2020, as expected</w:t>
      </w:r>
      <w:r>
        <w:rPr>
          <w:bCs/>
          <w:noProof/>
        </w:rPr>
        <w:t xml:space="preserve"> due to the pandemic</w:t>
      </w:r>
      <w:r w:rsidRPr="00235BDA">
        <w:rPr>
          <w:bCs/>
          <w:noProof/>
        </w:rPr>
        <w:t>.</w:t>
      </w:r>
      <w:r>
        <w:rPr>
          <w:bCs/>
          <w:noProof/>
        </w:rPr>
        <w:t xml:space="preserve"> </w:t>
      </w:r>
      <w:r w:rsidRPr="00235BDA">
        <w:rPr>
          <w:bCs/>
          <w:noProof/>
        </w:rPr>
        <w:t>Relative to 201</w:t>
      </w:r>
      <w:r>
        <w:rPr>
          <w:bCs/>
          <w:noProof/>
        </w:rPr>
        <w:t>8</w:t>
      </w:r>
      <w:r w:rsidRPr="00235BDA">
        <w:rPr>
          <w:bCs/>
          <w:noProof/>
        </w:rPr>
        <w:t xml:space="preserve"> data,</w:t>
      </w:r>
      <w:r>
        <w:rPr>
          <w:bCs/>
          <w:noProof/>
        </w:rPr>
        <w:t xml:space="preserve"> </w:t>
      </w:r>
      <w:r w:rsidRPr="00235BDA">
        <w:rPr>
          <w:bCs/>
          <w:noProof/>
        </w:rPr>
        <w:t xml:space="preserve">there has been an improvement of </w:t>
      </w:r>
      <w:bookmarkStart w:id="31" w:name="_Hlk137717178"/>
      <w:r>
        <w:rPr>
          <w:bCs/>
          <w:noProof/>
        </w:rPr>
        <w:t>-</w:t>
      </w:r>
      <w:r w:rsidRPr="00235BDA">
        <w:rPr>
          <w:bCs/>
          <w:noProof/>
        </w:rPr>
        <w:t>1</w:t>
      </w:r>
      <w:r>
        <w:rPr>
          <w:bCs/>
          <w:noProof/>
        </w:rPr>
        <w:t>0.0</w:t>
      </w:r>
      <w:r w:rsidRPr="00235BDA">
        <w:rPr>
          <w:rFonts w:cs="Arial"/>
          <w:color w:val="000000"/>
          <w:lang w:eastAsia="en-GB"/>
        </w:rPr>
        <w:t>µg/m</w:t>
      </w:r>
      <w:r w:rsidRPr="00235BDA">
        <w:rPr>
          <w:rFonts w:cs="Arial"/>
          <w:color w:val="000000"/>
          <w:vertAlign w:val="superscript"/>
          <w:lang w:eastAsia="en-GB"/>
        </w:rPr>
        <w:t>3</w:t>
      </w:r>
      <w:r w:rsidRPr="00235BDA">
        <w:rPr>
          <w:bCs/>
          <w:noProof/>
        </w:rPr>
        <w:t xml:space="preserve"> (</w:t>
      </w:r>
      <w:r>
        <w:rPr>
          <w:bCs/>
          <w:noProof/>
        </w:rPr>
        <w:t>27</w:t>
      </w:r>
      <w:r w:rsidRPr="00235BDA">
        <w:rPr>
          <w:bCs/>
          <w:noProof/>
        </w:rPr>
        <w:t>%) across all AQMAs</w:t>
      </w:r>
      <w:r w:rsidRPr="005B2B8E">
        <w:rPr>
          <w:bCs/>
          <w:noProof/>
        </w:rPr>
        <w:t xml:space="preserve"> </w:t>
      </w:r>
      <w:r>
        <w:rPr>
          <w:bCs/>
          <w:noProof/>
        </w:rPr>
        <w:t>on average</w:t>
      </w:r>
      <w:bookmarkEnd w:id="31"/>
      <w:r>
        <w:rPr>
          <w:bCs/>
          <w:noProof/>
        </w:rPr>
        <w:t xml:space="preserve">, </w:t>
      </w:r>
      <w:bookmarkStart w:id="32" w:name="_Hlk137717192"/>
      <w:r>
        <w:rPr>
          <w:bCs/>
          <w:noProof/>
        </w:rPr>
        <w:t>with an average rate of improvement year on year by -2.5</w:t>
      </w:r>
      <w:r w:rsidRPr="00235BDA">
        <w:rPr>
          <w:rFonts w:cs="Arial"/>
          <w:color w:val="000000"/>
          <w:lang w:eastAsia="en-GB"/>
        </w:rPr>
        <w:t>µg/m</w:t>
      </w:r>
      <w:r w:rsidRPr="00235BDA">
        <w:rPr>
          <w:rFonts w:cs="Arial"/>
          <w:color w:val="000000"/>
          <w:vertAlign w:val="superscript"/>
          <w:lang w:eastAsia="en-GB"/>
        </w:rPr>
        <w:t>3</w:t>
      </w:r>
      <w:r>
        <w:rPr>
          <w:rFonts w:cs="Arial"/>
          <w:color w:val="000000"/>
          <w:lang w:eastAsia="en-GB"/>
        </w:rPr>
        <w:t xml:space="preserve"> (7%)</w:t>
      </w:r>
      <w:r w:rsidRPr="00235BDA">
        <w:rPr>
          <w:bCs/>
          <w:noProof/>
        </w:rPr>
        <w:t>.</w:t>
      </w:r>
      <w:r w:rsidRPr="00CE06F6">
        <w:rPr>
          <w:bCs/>
          <w:noProof/>
        </w:rPr>
        <w:t xml:space="preserve">  </w:t>
      </w:r>
      <w:bookmarkEnd w:id="32"/>
    </w:p>
    <w:p w14:paraId="725D7E94" w14:textId="77777777" w:rsidR="008954E2" w:rsidRPr="008954E2" w:rsidRDefault="008954E2" w:rsidP="008954E2">
      <w:pPr>
        <w:spacing w:before="0" w:after="0"/>
        <w:rPr>
          <w:bCs/>
          <w:noProof/>
        </w:rPr>
      </w:pPr>
    </w:p>
    <w:p w14:paraId="7B917153" w14:textId="1351B677" w:rsidR="00F81EE9" w:rsidRDefault="008954E2" w:rsidP="00F81EE9">
      <w:pPr>
        <w:spacing w:before="0" w:after="0"/>
        <w:rPr>
          <w:bCs/>
          <w:noProof/>
        </w:rPr>
      </w:pPr>
      <w:r w:rsidRPr="001922FE">
        <w:rPr>
          <w:bCs/>
          <w:noProof/>
        </w:rPr>
        <w:t>A summary of the rate of improvement and overall improvements in 2022 relative to 2018 concentrations by AQMA is provided below</w:t>
      </w:r>
      <w:r w:rsidR="00046C00">
        <w:rPr>
          <w:bCs/>
          <w:noProof/>
        </w:rPr>
        <w:t>, alongside a review of the AQMA’s status</w:t>
      </w:r>
      <w:r w:rsidR="00660011">
        <w:rPr>
          <w:bCs/>
          <w:noProof/>
        </w:rPr>
        <w:t>.</w:t>
      </w:r>
    </w:p>
    <w:p w14:paraId="00D97A76" w14:textId="77777777" w:rsidR="00E65E08" w:rsidRDefault="00E65E08" w:rsidP="00E65E08">
      <w:pPr>
        <w:contextualSpacing/>
      </w:pPr>
      <w:bookmarkStart w:id="33" w:name="_Hlk138232554"/>
    </w:p>
    <w:p w14:paraId="373A9FDF" w14:textId="5CF1AA96" w:rsidR="00E65E08" w:rsidRPr="00CE7DE1" w:rsidRDefault="00E65E08" w:rsidP="00B038BF">
      <w:pPr>
        <w:pStyle w:val="AQAPText"/>
        <w:rPr>
          <w:b/>
          <w:bCs/>
        </w:rPr>
      </w:pPr>
      <w:r w:rsidRPr="00CE7DE1">
        <w:rPr>
          <w:b/>
          <w:bCs/>
        </w:rPr>
        <w:t>AQMA 1</w:t>
      </w:r>
    </w:p>
    <w:p w14:paraId="534522B3" w14:textId="3E2A2637" w:rsidR="008954E2" w:rsidRDefault="008954E2" w:rsidP="00660011">
      <w:pPr>
        <w:spacing w:before="0" w:after="0"/>
        <w:contextualSpacing/>
        <w:rPr>
          <w:rFonts w:cs="Arial"/>
          <w:color w:val="000000"/>
          <w:lang w:eastAsia="en-GB"/>
        </w:rPr>
      </w:pPr>
      <w:bookmarkStart w:id="34" w:name="_Hlk159881356"/>
      <w:r>
        <w:t>Over the last five years, average NO</w:t>
      </w:r>
      <w:r w:rsidRPr="00E65E08">
        <w:rPr>
          <w:vertAlign w:val="subscript"/>
        </w:rPr>
        <w:t>2</w:t>
      </w:r>
      <w:r>
        <w:t xml:space="preserve"> concentrations within AQMA 1 have dropped by -10.2</w:t>
      </w:r>
      <w:r w:rsidRPr="00E65E08">
        <w:rPr>
          <w:rFonts w:cs="Arial"/>
          <w:color w:val="000000"/>
          <w:lang w:eastAsia="en-GB"/>
        </w:rPr>
        <w:t>µg/m</w:t>
      </w:r>
      <w:r w:rsidRPr="00E65E08">
        <w:rPr>
          <w:rFonts w:cs="Arial"/>
          <w:color w:val="000000"/>
          <w:vertAlign w:val="superscript"/>
          <w:lang w:eastAsia="en-GB"/>
        </w:rPr>
        <w:t>3</w:t>
      </w:r>
      <w:r w:rsidRPr="00E65E08">
        <w:rPr>
          <w:rFonts w:cs="Arial"/>
          <w:color w:val="000000"/>
          <w:vertAlign w:val="subscript"/>
          <w:lang w:eastAsia="en-GB"/>
        </w:rPr>
        <w:t xml:space="preserve"> </w:t>
      </w:r>
      <w:r w:rsidRPr="00E65E08">
        <w:rPr>
          <w:rFonts w:cs="Arial"/>
          <w:color w:val="000000"/>
          <w:lang w:eastAsia="en-GB"/>
        </w:rPr>
        <w:t>(31%). The biggest improvement is observed at Paxton Avenue (SLO 25) which has reduced by -13.6µg/m</w:t>
      </w:r>
      <w:r w:rsidRPr="00E65E08">
        <w:rPr>
          <w:rFonts w:cs="Arial"/>
          <w:color w:val="000000"/>
          <w:vertAlign w:val="superscript"/>
          <w:lang w:eastAsia="en-GB"/>
        </w:rPr>
        <w:t>3</w:t>
      </w:r>
      <w:r w:rsidRPr="00E65E08">
        <w:rPr>
          <w:rFonts w:cs="Arial"/>
          <w:color w:val="000000"/>
          <w:lang w:eastAsia="en-GB"/>
        </w:rPr>
        <w:t xml:space="preserve"> (41%) to 19.6</w:t>
      </w:r>
      <w:r w:rsidRPr="00D70E31">
        <w:t>µg/m</w:t>
      </w:r>
      <w:r w:rsidRPr="00E65E08">
        <w:rPr>
          <w:vertAlign w:val="superscript"/>
        </w:rPr>
        <w:t>3</w:t>
      </w:r>
      <w:r>
        <w:t xml:space="preserve"> </w:t>
      </w:r>
      <w:r w:rsidRPr="00E65E08">
        <w:rPr>
          <w:rFonts w:cs="Arial"/>
          <w:color w:val="000000"/>
          <w:lang w:eastAsia="en-GB"/>
        </w:rPr>
        <w:t>since 2018, whereas the site with the smallest improvement is Grampian Way (SLO 8) by -7.0µg/m</w:t>
      </w:r>
      <w:r w:rsidRPr="00E65E08">
        <w:rPr>
          <w:rFonts w:cs="Arial"/>
          <w:color w:val="000000"/>
          <w:vertAlign w:val="superscript"/>
          <w:lang w:eastAsia="en-GB"/>
        </w:rPr>
        <w:t>3</w:t>
      </w:r>
      <w:r w:rsidRPr="00E65E08">
        <w:rPr>
          <w:rFonts w:cs="Arial"/>
          <w:color w:val="000000"/>
          <w:lang w:eastAsia="en-GB"/>
        </w:rPr>
        <w:t xml:space="preserve"> (20%), measuring 27.8</w:t>
      </w:r>
      <w:r w:rsidRPr="00D70E31">
        <w:t>µg/m</w:t>
      </w:r>
      <w:r w:rsidRPr="00E65E08">
        <w:rPr>
          <w:vertAlign w:val="superscript"/>
        </w:rPr>
        <w:t>3</w:t>
      </w:r>
      <w:r w:rsidRPr="00E65E08">
        <w:rPr>
          <w:rFonts w:cs="Arial"/>
          <w:color w:val="000000"/>
          <w:lang w:eastAsia="en-GB"/>
        </w:rPr>
        <w:t xml:space="preserve"> in 2022. As expected, the year on year trend shows a large drop in 2020 as a result of the pandemic, with a slight recovery of NO</w:t>
      </w:r>
      <w:r w:rsidRPr="00E65E08">
        <w:rPr>
          <w:rFonts w:cs="Arial"/>
          <w:color w:val="000000"/>
          <w:vertAlign w:val="subscript"/>
          <w:lang w:eastAsia="en-GB"/>
        </w:rPr>
        <w:t>2</w:t>
      </w:r>
      <w:r w:rsidRPr="00E65E08">
        <w:rPr>
          <w:rFonts w:cs="Arial"/>
          <w:color w:val="000000"/>
          <w:lang w:eastAsia="en-GB"/>
        </w:rPr>
        <w:t xml:space="preserve"> concentrations by 2022, most apparent at Grampian Way which increased from 23.0</w:t>
      </w:r>
      <w:r w:rsidRPr="000C7F5F">
        <w:t xml:space="preserve"> </w:t>
      </w:r>
      <w:r w:rsidRPr="00D70E31">
        <w:t>µg/m</w:t>
      </w:r>
      <w:r w:rsidRPr="00E65E08">
        <w:rPr>
          <w:vertAlign w:val="superscript"/>
        </w:rPr>
        <w:t>3</w:t>
      </w:r>
      <w:r w:rsidRPr="000C7F5F">
        <w:t xml:space="preserve"> </w:t>
      </w:r>
      <w:r>
        <w:t xml:space="preserve">in 2021 </w:t>
      </w:r>
      <w:r w:rsidRPr="000C7F5F">
        <w:softHyphen/>
        <w:t>to</w:t>
      </w:r>
      <w:r>
        <w:t xml:space="preserve"> 27.8</w:t>
      </w:r>
      <w:r w:rsidRPr="00D70E31">
        <w:t>µg/m</w:t>
      </w:r>
      <w:r w:rsidRPr="00E65E08">
        <w:rPr>
          <w:vertAlign w:val="superscript"/>
        </w:rPr>
        <w:t>3</w:t>
      </w:r>
      <w:r>
        <w:t xml:space="preserve"> in 2022</w:t>
      </w:r>
      <w:r w:rsidRPr="00E65E08">
        <w:rPr>
          <w:rFonts w:cs="Arial"/>
          <w:color w:val="000000"/>
          <w:lang w:eastAsia="en-GB"/>
        </w:rPr>
        <w:t>.</w:t>
      </w:r>
      <w:r w:rsidR="00E65E08">
        <w:rPr>
          <w:rFonts w:cs="Arial"/>
          <w:color w:val="000000"/>
          <w:lang w:eastAsia="en-GB"/>
        </w:rPr>
        <w:t xml:space="preserve"> </w:t>
      </w:r>
    </w:p>
    <w:bookmarkEnd w:id="34"/>
    <w:p w14:paraId="78616A84" w14:textId="77777777" w:rsidR="00E65E08" w:rsidRDefault="00E65E08" w:rsidP="00E65E08">
      <w:pPr>
        <w:spacing w:before="0" w:after="0"/>
        <w:contextualSpacing/>
        <w:rPr>
          <w:rFonts w:cs="Arial"/>
          <w:color w:val="000000"/>
          <w:lang w:eastAsia="en-GB"/>
        </w:rPr>
      </w:pPr>
    </w:p>
    <w:p w14:paraId="51295C56" w14:textId="7D2C8511" w:rsidR="00C61BD5" w:rsidRDefault="00E65E08" w:rsidP="00E65E08">
      <w:pPr>
        <w:contextualSpacing/>
        <w:rPr>
          <w:rFonts w:cs="Arial"/>
          <w:color w:val="000000"/>
          <w:lang w:eastAsia="en-GB"/>
        </w:rPr>
      </w:pPr>
      <w:bookmarkStart w:id="35" w:name="_Hlk159882040"/>
      <w:r>
        <w:rPr>
          <w:rFonts w:cs="Arial"/>
          <w:color w:val="000000"/>
          <w:lang w:eastAsia="en-GB"/>
        </w:rPr>
        <w:t xml:space="preserve">No diffusion tube sites have shown an exceedance of </w:t>
      </w:r>
      <w:r w:rsidR="00835926">
        <w:rPr>
          <w:rFonts w:cs="Arial"/>
          <w:color w:val="000000"/>
          <w:lang w:eastAsia="en-GB"/>
        </w:rPr>
        <w:t xml:space="preserve">the </w:t>
      </w:r>
      <w:r>
        <w:rPr>
          <w:rFonts w:cs="Arial"/>
          <w:color w:val="000000"/>
          <w:lang w:eastAsia="en-GB"/>
        </w:rPr>
        <w:t>40</w:t>
      </w:r>
      <w:r w:rsidR="00D705F2">
        <w:rPr>
          <w:rFonts w:cs="Arial"/>
          <w:color w:val="0B0C0C"/>
        </w:rPr>
        <w:t>µ</w:t>
      </w:r>
      <w:r>
        <w:rPr>
          <w:rFonts w:cs="Arial"/>
          <w:color w:val="000000"/>
          <w:lang w:eastAsia="en-GB"/>
        </w:rPr>
        <w:t>g/m</w:t>
      </w:r>
      <w:r w:rsidRPr="00660011">
        <w:rPr>
          <w:rFonts w:cs="Arial"/>
          <w:color w:val="000000"/>
          <w:vertAlign w:val="superscript"/>
          <w:lang w:eastAsia="en-GB"/>
        </w:rPr>
        <w:t>3</w:t>
      </w:r>
      <w:r>
        <w:rPr>
          <w:rFonts w:cs="Arial"/>
          <w:color w:val="000000"/>
          <w:lang w:eastAsia="en-GB"/>
        </w:rPr>
        <w:t xml:space="preserve"> </w:t>
      </w:r>
      <w:r w:rsidR="00835926">
        <w:rPr>
          <w:rFonts w:cs="Arial"/>
          <w:color w:val="000000"/>
          <w:lang w:eastAsia="en-GB"/>
        </w:rPr>
        <w:t xml:space="preserve">AQO </w:t>
      </w:r>
      <w:r>
        <w:rPr>
          <w:rFonts w:cs="Arial"/>
          <w:color w:val="000000"/>
          <w:lang w:eastAsia="en-GB"/>
        </w:rPr>
        <w:t>since 2017 and concentrations have been below 36</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w:t>
      </w:r>
      <w:r w:rsidR="00835926">
        <w:rPr>
          <w:rFonts w:cs="Arial"/>
          <w:color w:val="000000"/>
          <w:lang w:eastAsia="en-GB"/>
        </w:rPr>
        <w:t>(10% of the AQO) f</w:t>
      </w:r>
      <w:r>
        <w:rPr>
          <w:rFonts w:cs="Arial"/>
          <w:color w:val="000000"/>
          <w:lang w:eastAsia="en-GB"/>
        </w:rPr>
        <w:t xml:space="preserve">rom 2018 onwards. </w:t>
      </w:r>
      <w:r>
        <w:rPr>
          <w:rFonts w:cs="Arial"/>
          <w:color w:val="000000"/>
          <w:lang w:eastAsia="en-GB"/>
        </w:rPr>
        <w:lastRenderedPageBreak/>
        <w:t xml:space="preserve">Continuous monitoring data from </w:t>
      </w:r>
      <w:r w:rsidR="00046C00">
        <w:rPr>
          <w:rFonts w:cs="Arial"/>
          <w:color w:val="000000"/>
          <w:lang w:eastAsia="en-GB"/>
        </w:rPr>
        <w:t>sites in</w:t>
      </w:r>
      <w:r>
        <w:rPr>
          <w:rFonts w:cs="Arial"/>
          <w:color w:val="000000"/>
          <w:lang w:eastAsia="en-GB"/>
        </w:rPr>
        <w:t xml:space="preserve"> Chalvey (originally located within the waste depot</w:t>
      </w:r>
      <w:r w:rsidR="00046C00">
        <w:rPr>
          <w:rFonts w:cs="Arial"/>
          <w:color w:val="000000"/>
          <w:lang w:eastAsia="en-GB"/>
        </w:rPr>
        <w:t xml:space="preserve"> and now based on Spackmans Way</w:t>
      </w:r>
      <w:r>
        <w:rPr>
          <w:rFonts w:cs="Arial"/>
          <w:color w:val="000000"/>
          <w:lang w:eastAsia="en-GB"/>
        </w:rPr>
        <w:t xml:space="preserve">) last showed exceedance of the AQO in 2016. </w:t>
      </w:r>
      <w:bookmarkEnd w:id="35"/>
      <w:r>
        <w:rPr>
          <w:rFonts w:cs="Arial"/>
          <w:color w:val="000000"/>
          <w:lang w:eastAsia="en-GB"/>
        </w:rPr>
        <w:t>It is expected that the pandemic has contributed towards suppressing NO</w:t>
      </w:r>
      <w:r w:rsidRPr="00660011">
        <w:rPr>
          <w:rFonts w:cs="Arial"/>
          <w:color w:val="000000"/>
          <w:vertAlign w:val="subscript"/>
          <w:lang w:eastAsia="en-GB"/>
        </w:rPr>
        <w:t>2</w:t>
      </w:r>
      <w:r>
        <w:rPr>
          <w:rFonts w:cs="Arial"/>
          <w:color w:val="000000"/>
          <w:lang w:eastAsia="en-GB"/>
        </w:rPr>
        <w:t xml:space="preserve"> concentrations</w:t>
      </w:r>
      <w:r w:rsidR="00505013">
        <w:rPr>
          <w:rFonts w:cs="Arial"/>
          <w:color w:val="000000"/>
          <w:lang w:eastAsia="en-GB"/>
        </w:rPr>
        <w:t xml:space="preserve"> a</w:t>
      </w:r>
      <w:r w:rsidR="00505013" w:rsidRPr="00F07BDE">
        <w:rPr>
          <w:rFonts w:cs="Arial"/>
          <w:color w:val="000000"/>
          <w:lang w:eastAsia="en-GB"/>
        </w:rPr>
        <w:t>nd early data from 2023 suggests that this trend has continued</w:t>
      </w:r>
      <w:r w:rsidR="00660011" w:rsidRPr="00F07BDE">
        <w:rPr>
          <w:rFonts w:cs="Arial"/>
          <w:color w:val="000000"/>
          <w:lang w:eastAsia="en-GB"/>
        </w:rPr>
        <w:t>.</w:t>
      </w:r>
    </w:p>
    <w:p w14:paraId="691592AF" w14:textId="0104D84D" w:rsidR="0073085E" w:rsidRPr="00F07BDE" w:rsidRDefault="0073085E" w:rsidP="00E65E08">
      <w:pPr>
        <w:contextualSpacing/>
        <w:rPr>
          <w:rFonts w:cs="Arial"/>
          <w:color w:val="000000"/>
          <w:lang w:eastAsia="en-GB"/>
        </w:rPr>
      </w:pPr>
      <w:r>
        <w:rPr>
          <w:rFonts w:cs="Arial"/>
          <w:color w:val="000000"/>
          <w:lang w:eastAsia="en-GB"/>
        </w:rPr>
        <w:t>The continuous analyser on Spackmans Way (SLH 13) has shown low concentrations since its implementation in 2021, at 23.2</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in 2021 and 22.7</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w:t>
      </w:r>
      <w:r w:rsidR="00835926">
        <w:rPr>
          <w:rFonts w:cs="Arial"/>
          <w:color w:val="000000"/>
          <w:lang w:eastAsia="en-GB"/>
        </w:rPr>
        <w:t xml:space="preserve">in </w:t>
      </w:r>
      <w:r>
        <w:rPr>
          <w:rFonts w:cs="Arial"/>
          <w:color w:val="000000"/>
          <w:lang w:eastAsia="en-GB"/>
        </w:rPr>
        <w:t>2022. The previous monitoring location within the depot (SLH 7) also recorded low concentrations, averaging at 26.5</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from 2018 to 2020.</w:t>
      </w:r>
    </w:p>
    <w:p w14:paraId="000C972F" w14:textId="77777777" w:rsidR="00660011" w:rsidRPr="00F07BDE" w:rsidRDefault="00660011" w:rsidP="00E65E08">
      <w:pPr>
        <w:contextualSpacing/>
        <w:rPr>
          <w:rFonts w:cs="Arial"/>
          <w:color w:val="000000"/>
          <w:lang w:eastAsia="en-GB"/>
        </w:rPr>
      </w:pPr>
    </w:p>
    <w:p w14:paraId="2CA33361" w14:textId="5D37AE74" w:rsidR="00C61BD5" w:rsidRPr="00F07BDE" w:rsidRDefault="00C61BD5" w:rsidP="004F6926">
      <w:pPr>
        <w:spacing w:before="0" w:after="0"/>
        <w:rPr>
          <w:rFonts w:cs="Arial"/>
          <w:color w:val="000000"/>
          <w:lang w:eastAsia="en-GB"/>
        </w:rPr>
      </w:pPr>
      <w:bookmarkStart w:id="36" w:name="_Hlk159881943"/>
      <w:r w:rsidRPr="00F07BDE">
        <w:rPr>
          <w:rFonts w:cs="Arial"/>
          <w:color w:val="000000"/>
          <w:lang w:eastAsia="en-GB"/>
        </w:rPr>
        <w:t>D</w:t>
      </w:r>
      <w:r w:rsidR="00046C00" w:rsidRPr="00F07BDE">
        <w:rPr>
          <w:rFonts w:cs="Arial"/>
          <w:color w:val="000000"/>
          <w:lang w:eastAsia="en-GB"/>
        </w:rPr>
        <w:t>efra</w:t>
      </w:r>
      <w:r w:rsidRPr="00F07BDE">
        <w:rPr>
          <w:rFonts w:cs="Arial"/>
          <w:color w:val="000000"/>
          <w:lang w:eastAsia="en-GB"/>
        </w:rPr>
        <w:t xml:space="preserve"> have clarified that due to the effects of COVID-19 on traffic levels and </w:t>
      </w:r>
      <w:r w:rsidR="00660011" w:rsidRPr="00F07BDE">
        <w:rPr>
          <w:rFonts w:cs="Arial"/>
          <w:color w:val="000000"/>
          <w:lang w:eastAsia="en-GB"/>
        </w:rPr>
        <w:t xml:space="preserve">therefore </w:t>
      </w:r>
      <w:r w:rsidRPr="00F07BDE">
        <w:rPr>
          <w:rFonts w:cs="Arial"/>
          <w:color w:val="000000"/>
          <w:lang w:eastAsia="en-GB"/>
        </w:rPr>
        <w:t xml:space="preserve">local pollutant concentrations, monitoring data from 2020 and 2021 should be excluded when a local authority is considering compliant years for AQMA revocation. However, it is </w:t>
      </w:r>
      <w:r w:rsidR="005969CF">
        <w:rPr>
          <w:rFonts w:cs="Arial"/>
          <w:color w:val="000000"/>
          <w:lang w:eastAsia="en-GB"/>
        </w:rPr>
        <w:t>advised</w:t>
      </w:r>
      <w:r w:rsidRPr="00F07BDE">
        <w:rPr>
          <w:rFonts w:cs="Arial"/>
          <w:color w:val="000000"/>
          <w:lang w:eastAsia="en-GB"/>
        </w:rPr>
        <w:t xml:space="preserve"> that 2020 and 2021 datasets can be considered as compliant years with respect to AQMA revocation if compliance was achieved in 2019 or earlier.</w:t>
      </w:r>
      <w:bookmarkEnd w:id="36"/>
      <w:r w:rsidRPr="00F07BDE">
        <w:rPr>
          <w:rFonts w:cs="Arial"/>
          <w:color w:val="000000"/>
          <w:lang w:eastAsia="en-GB"/>
        </w:rPr>
        <w:t xml:space="preserve"> </w:t>
      </w:r>
      <w:bookmarkStart w:id="37" w:name="_Hlk159882051"/>
      <w:r w:rsidRPr="00F07BDE">
        <w:rPr>
          <w:rFonts w:cs="Arial"/>
          <w:color w:val="000000"/>
          <w:lang w:eastAsia="en-GB"/>
        </w:rPr>
        <w:t>As there have been no exceedances of the AQO within AQMA 1 since 2017, the Council will look to revoke this AQMA in 2024.</w:t>
      </w:r>
    </w:p>
    <w:bookmarkEnd w:id="37"/>
    <w:p w14:paraId="444A05D4" w14:textId="77777777" w:rsidR="004F6926" w:rsidRPr="00F07BDE" w:rsidRDefault="004F6926" w:rsidP="004F6926">
      <w:pPr>
        <w:spacing w:after="0"/>
        <w:rPr>
          <w:rFonts w:cs="Arial"/>
          <w:color w:val="000000"/>
          <w:lang w:eastAsia="en-GB"/>
        </w:rPr>
      </w:pPr>
    </w:p>
    <w:p w14:paraId="0A74600B" w14:textId="116EAF3E" w:rsidR="004F6926" w:rsidRPr="00CE7DE1" w:rsidRDefault="00046C00" w:rsidP="00B038BF">
      <w:pPr>
        <w:pStyle w:val="AQAPText"/>
        <w:rPr>
          <w:b/>
          <w:bCs/>
        </w:rPr>
      </w:pPr>
      <w:r w:rsidRPr="00CE7DE1">
        <w:rPr>
          <w:b/>
          <w:bCs/>
        </w:rPr>
        <w:t xml:space="preserve">AQMA 2 </w:t>
      </w:r>
    </w:p>
    <w:p w14:paraId="1E50FEC3" w14:textId="4F3CE11D" w:rsidR="008954E2" w:rsidRPr="00F07BDE" w:rsidRDefault="008954E2" w:rsidP="004F6926">
      <w:pPr>
        <w:spacing w:before="0" w:after="0"/>
        <w:contextualSpacing/>
        <w:rPr>
          <w:rFonts w:cs="Arial"/>
          <w:color w:val="000000"/>
          <w:lang w:eastAsia="en-GB"/>
        </w:rPr>
      </w:pPr>
      <w:bookmarkStart w:id="38" w:name="_Hlk159881383"/>
      <w:bookmarkStart w:id="39" w:name="_Hlk138232695"/>
      <w:bookmarkEnd w:id="33"/>
      <w:r w:rsidRPr="00F07BDE">
        <w:rPr>
          <w:rFonts w:cs="Arial"/>
          <w:color w:val="000000"/>
          <w:lang w:eastAsia="en-GB"/>
        </w:rPr>
        <w:t xml:space="preserve">AQMA 2 </w:t>
      </w:r>
      <w:bookmarkStart w:id="40" w:name="_Hlk137720156"/>
      <w:r w:rsidRPr="00F07BDE">
        <w:rPr>
          <w:rFonts w:cs="Arial"/>
          <w:color w:val="000000"/>
          <w:lang w:eastAsia="en-GB"/>
        </w:rPr>
        <w:t>has experienced the greatest drop in average NO</w:t>
      </w:r>
      <w:r w:rsidRPr="00F07BDE">
        <w:rPr>
          <w:rFonts w:cs="Arial"/>
          <w:color w:val="000000"/>
          <w:vertAlign w:val="subscript"/>
          <w:lang w:eastAsia="en-GB"/>
        </w:rPr>
        <w:t>2</w:t>
      </w:r>
      <w:r w:rsidRPr="00F07BDE">
        <w:rPr>
          <w:rFonts w:cs="Arial"/>
          <w:color w:val="000000"/>
          <w:lang w:eastAsia="en-GB"/>
        </w:rPr>
        <w:t xml:space="preserve"> concentrations since 2018 out of all the AQMAs, at -13.0µg/m</w:t>
      </w:r>
      <w:r w:rsidRPr="00F07BDE">
        <w:rPr>
          <w:rFonts w:cs="Arial"/>
          <w:color w:val="000000"/>
          <w:vertAlign w:val="superscript"/>
          <w:lang w:eastAsia="en-GB"/>
        </w:rPr>
        <w:t xml:space="preserve">3 </w:t>
      </w:r>
      <w:r w:rsidRPr="00F07BDE">
        <w:rPr>
          <w:rFonts w:cs="Arial"/>
          <w:color w:val="000000"/>
          <w:lang w:eastAsia="en-GB"/>
        </w:rPr>
        <w:t xml:space="preserve">(31%). </w:t>
      </w:r>
      <w:bookmarkEnd w:id="40"/>
      <w:r w:rsidRPr="00F07BDE">
        <w:rPr>
          <w:rFonts w:cs="Arial"/>
          <w:color w:val="000000"/>
          <w:lang w:eastAsia="en-GB"/>
        </w:rPr>
        <w:t>The biggest improvement is seen at Brands Hill (A) (SLO 18) by -21.6µg/m</w:t>
      </w:r>
      <w:r w:rsidRPr="00F07BDE">
        <w:rPr>
          <w:rFonts w:cs="Arial"/>
          <w:color w:val="000000"/>
          <w:vertAlign w:val="superscript"/>
          <w:lang w:eastAsia="en-GB"/>
        </w:rPr>
        <w:t>3</w:t>
      </w:r>
      <w:r w:rsidRPr="00F07BDE">
        <w:rPr>
          <w:rFonts w:cs="Arial"/>
          <w:color w:val="000000"/>
          <w:lang w:eastAsia="en-GB"/>
        </w:rPr>
        <w:t xml:space="preserve"> (41%), measuring 31.6</w:t>
      </w:r>
      <w:r w:rsidRPr="00F07BDE">
        <w:t>µg/m</w:t>
      </w:r>
      <w:r w:rsidRPr="00F07BDE">
        <w:rPr>
          <w:vertAlign w:val="superscript"/>
        </w:rPr>
        <w:t xml:space="preserve">3 </w:t>
      </w:r>
      <w:r w:rsidRPr="00F07BDE">
        <w:rPr>
          <w:rFonts w:cs="Arial"/>
          <w:color w:val="000000"/>
          <w:lang w:eastAsia="en-GB"/>
        </w:rPr>
        <w:t>in 2022, whereas the smallest improvement is seen at Brands Hill triplicate site (SLO 63, SLO 64 and SLO 65) at -6.5µg/m</w:t>
      </w:r>
      <w:r w:rsidRPr="00F07BDE">
        <w:rPr>
          <w:rFonts w:cs="Arial"/>
          <w:color w:val="000000"/>
          <w:vertAlign w:val="superscript"/>
          <w:lang w:eastAsia="en-GB"/>
        </w:rPr>
        <w:t>3</w:t>
      </w:r>
      <w:r w:rsidRPr="00F07BDE">
        <w:rPr>
          <w:rFonts w:cs="Arial"/>
          <w:color w:val="000000"/>
          <w:lang w:eastAsia="en-GB"/>
        </w:rPr>
        <w:t xml:space="preserve"> (15%) and falls within 10% of the AQO at 36.8µg/m</w:t>
      </w:r>
      <w:r w:rsidRPr="00F07BDE">
        <w:rPr>
          <w:rFonts w:cs="Arial"/>
          <w:color w:val="000000"/>
          <w:vertAlign w:val="superscript"/>
          <w:lang w:eastAsia="en-GB"/>
        </w:rPr>
        <w:t xml:space="preserve">3 </w:t>
      </w:r>
      <w:r w:rsidRPr="00F07BDE">
        <w:rPr>
          <w:rFonts w:cs="Arial"/>
          <w:color w:val="000000"/>
          <w:lang w:eastAsia="en-GB"/>
        </w:rPr>
        <w:t xml:space="preserve">in 2022. </w:t>
      </w:r>
      <w:r w:rsidR="00263FB8">
        <w:rPr>
          <w:rFonts w:cs="Arial"/>
          <w:color w:val="000000"/>
          <w:lang w:eastAsia="en-GB"/>
        </w:rPr>
        <w:t>London Road (SLO 18)</w:t>
      </w:r>
      <w:r w:rsidRPr="00F07BDE">
        <w:rPr>
          <w:rFonts w:cs="Arial"/>
          <w:color w:val="000000"/>
          <w:lang w:eastAsia="en-GB"/>
        </w:rPr>
        <w:t xml:space="preserve"> also sees the highest year on year rate </w:t>
      </w:r>
      <w:r w:rsidR="00263FB8">
        <w:rPr>
          <w:rFonts w:cs="Arial"/>
          <w:color w:val="000000"/>
          <w:lang w:eastAsia="en-GB"/>
        </w:rPr>
        <w:t xml:space="preserve">of </w:t>
      </w:r>
      <w:r w:rsidRPr="00F07BDE">
        <w:rPr>
          <w:rFonts w:cs="Arial"/>
          <w:color w:val="000000"/>
          <w:lang w:eastAsia="en-GB"/>
        </w:rPr>
        <w:t xml:space="preserve">improvement at 12% on average. </w:t>
      </w:r>
      <w:r w:rsidR="0073085E">
        <w:rPr>
          <w:rFonts w:cs="Arial"/>
          <w:color w:val="000000"/>
          <w:lang w:eastAsia="en-GB"/>
        </w:rPr>
        <w:t>Continuous monitoring data (SLH 11) reflects this trend, with concentrations dropping by 2.4</w:t>
      </w:r>
      <w:r w:rsidR="00D705F2">
        <w:rPr>
          <w:rFonts w:cs="Arial"/>
          <w:color w:val="0B0C0C"/>
        </w:rPr>
        <w:t>µ</w:t>
      </w:r>
      <w:r w:rsidR="0073085E">
        <w:rPr>
          <w:rFonts w:cs="Arial"/>
          <w:color w:val="000000"/>
          <w:lang w:eastAsia="en-GB"/>
        </w:rPr>
        <w:t>g/m</w:t>
      </w:r>
      <w:r w:rsidR="0073085E" w:rsidRPr="007D5CC7">
        <w:rPr>
          <w:rFonts w:cs="Arial"/>
          <w:color w:val="000000"/>
          <w:vertAlign w:val="superscript"/>
          <w:lang w:eastAsia="en-GB"/>
        </w:rPr>
        <w:t>3</w:t>
      </w:r>
      <w:r w:rsidR="0073085E">
        <w:rPr>
          <w:rFonts w:cs="Arial"/>
          <w:color w:val="000000"/>
          <w:lang w:eastAsia="en-GB"/>
        </w:rPr>
        <w:t xml:space="preserve"> on average year on year. </w:t>
      </w:r>
    </w:p>
    <w:p w14:paraId="353F8286" w14:textId="36D67358" w:rsidR="00456E53" w:rsidRPr="00F07BDE" w:rsidRDefault="00046C00" w:rsidP="00046C00">
      <w:pPr>
        <w:contextualSpacing/>
      </w:pPr>
      <w:bookmarkStart w:id="41" w:name="_Hlk159882077"/>
      <w:bookmarkEnd w:id="38"/>
      <w:r w:rsidRPr="00F07BDE">
        <w:t xml:space="preserve">2020 was the first year that all sites in AQMA 2 </w:t>
      </w:r>
      <w:r w:rsidR="007F57DD" w:rsidRPr="00F07BDE">
        <w:t>complied with the AQO for NO</w:t>
      </w:r>
      <w:r w:rsidR="007F57DD" w:rsidRPr="00F07BDE">
        <w:rPr>
          <w:vertAlign w:val="subscript"/>
        </w:rPr>
        <w:t>2</w:t>
      </w:r>
      <w:r w:rsidR="00FB54B6" w:rsidRPr="00F07BDE">
        <w:t>. Prior to this, concentrations were high,</w:t>
      </w:r>
      <w:r w:rsidR="00660011" w:rsidRPr="00F07BDE">
        <w:t xml:space="preserve"> particularly on London Road (</w:t>
      </w:r>
      <w:r w:rsidR="00FB54B6" w:rsidRPr="00F07BDE">
        <w:rPr>
          <w:rFonts w:cs="Arial"/>
          <w:color w:val="000000"/>
          <w:lang w:eastAsia="en-GB"/>
        </w:rPr>
        <w:t>49.4</w:t>
      </w:r>
      <w:r w:rsidR="00D705F2">
        <w:rPr>
          <w:rFonts w:cs="Arial"/>
          <w:color w:val="0B0C0C"/>
        </w:rPr>
        <w:t>µ</w:t>
      </w:r>
      <w:r w:rsidR="00FB54B6" w:rsidRPr="00F07BDE">
        <w:rPr>
          <w:rFonts w:cs="Arial"/>
          <w:color w:val="000000"/>
          <w:lang w:eastAsia="en-GB"/>
        </w:rPr>
        <w:t>g/m</w:t>
      </w:r>
      <w:r w:rsidR="00FB54B6" w:rsidRPr="007D5CC7">
        <w:rPr>
          <w:rFonts w:cs="Arial"/>
          <w:color w:val="000000"/>
          <w:vertAlign w:val="superscript"/>
          <w:lang w:eastAsia="en-GB"/>
        </w:rPr>
        <w:t>3</w:t>
      </w:r>
      <w:r w:rsidR="007F57DD" w:rsidRPr="00F07BDE">
        <w:t xml:space="preserve"> </w:t>
      </w:r>
      <w:r w:rsidR="00660011" w:rsidRPr="00F07BDE">
        <w:t xml:space="preserve">at SLO 18) </w:t>
      </w:r>
      <w:r w:rsidR="007F57DD" w:rsidRPr="00F07BDE">
        <w:t xml:space="preserve">in 2019. </w:t>
      </w:r>
      <w:bookmarkEnd w:id="41"/>
      <w:r w:rsidR="007F57DD" w:rsidRPr="00F07BDE">
        <w:t xml:space="preserve"> </w:t>
      </w:r>
      <w:r w:rsidR="00157C09" w:rsidRPr="00F07BDE">
        <w:t xml:space="preserve">The pandemic is likely to have been the cause of compliance </w:t>
      </w:r>
      <w:r w:rsidR="00853794" w:rsidRPr="00F07BDE">
        <w:t xml:space="preserve">in </w:t>
      </w:r>
      <w:r w:rsidR="00157C09" w:rsidRPr="00F07BDE">
        <w:t>2020</w:t>
      </w:r>
      <w:r w:rsidR="00853794" w:rsidRPr="00F07BDE">
        <w:t xml:space="preserve"> and 2021, which </w:t>
      </w:r>
      <w:r w:rsidR="00456E53" w:rsidRPr="00F07BDE">
        <w:t>had been</w:t>
      </w:r>
      <w:r w:rsidR="00853794" w:rsidRPr="00F07BDE">
        <w:t xml:space="preserve"> sustained in 2022. </w:t>
      </w:r>
      <w:r w:rsidR="00157C09" w:rsidRPr="00F07BDE">
        <w:t xml:space="preserve"> </w:t>
      </w:r>
      <w:r w:rsidR="00D847B4" w:rsidRPr="00F07BDE">
        <w:t xml:space="preserve">Defra </w:t>
      </w:r>
      <w:r w:rsidR="00853794" w:rsidRPr="00F07BDE">
        <w:t xml:space="preserve">have advised that </w:t>
      </w:r>
      <w:r w:rsidR="00157C09" w:rsidRPr="00F07BDE">
        <w:t xml:space="preserve">revocation of an AQMA should </w:t>
      </w:r>
      <w:r w:rsidR="00853794" w:rsidRPr="00F07BDE">
        <w:t xml:space="preserve">only </w:t>
      </w:r>
      <w:r w:rsidR="00157C09" w:rsidRPr="00F07BDE">
        <w:t>be considered following three consecutive years of annual mean NO</w:t>
      </w:r>
      <w:r w:rsidR="00157C09" w:rsidRPr="00F07BDE">
        <w:rPr>
          <w:vertAlign w:val="subscript"/>
        </w:rPr>
        <w:t>2</w:t>
      </w:r>
      <w:r w:rsidR="00157C09" w:rsidRPr="00F07BDE">
        <w:t xml:space="preserve"> concentrations being lower than 36µg/m</w:t>
      </w:r>
      <w:r w:rsidR="00157C09" w:rsidRPr="007D5CC7">
        <w:rPr>
          <w:vertAlign w:val="superscript"/>
        </w:rPr>
        <w:t>3</w:t>
      </w:r>
      <w:r w:rsidR="00853794" w:rsidRPr="00F07BDE">
        <w:t xml:space="preserve">. </w:t>
      </w:r>
      <w:r w:rsidR="00456E53" w:rsidRPr="00F07BDE">
        <w:t>In 2022, one monitoring site was above this value, at the triplicate co-located site (</w:t>
      </w:r>
      <w:r w:rsidR="00456E53" w:rsidRPr="00F07BDE">
        <w:rPr>
          <w:rFonts w:cs="Arial"/>
          <w:color w:val="000000"/>
          <w:lang w:eastAsia="en-GB"/>
        </w:rPr>
        <w:t xml:space="preserve">SLO 63, SLO 64, SLO 65), at </w:t>
      </w:r>
      <w:r w:rsidR="00456E53" w:rsidRPr="00F07BDE">
        <w:rPr>
          <w:rFonts w:cs="Arial"/>
          <w:color w:val="000000"/>
          <w:lang w:eastAsia="en-GB"/>
        </w:rPr>
        <w:lastRenderedPageBreak/>
        <w:t>36.8</w:t>
      </w:r>
      <w:r w:rsidR="00D705F2">
        <w:rPr>
          <w:rFonts w:cs="Arial"/>
          <w:color w:val="0B0C0C"/>
        </w:rPr>
        <w:t>µ</w:t>
      </w:r>
      <w:r w:rsidR="00456E53" w:rsidRPr="00F07BDE">
        <w:rPr>
          <w:rFonts w:cs="Arial"/>
          <w:color w:val="000000"/>
          <w:lang w:eastAsia="en-GB"/>
        </w:rPr>
        <w:t>g/m</w:t>
      </w:r>
      <w:r w:rsidR="00456E53" w:rsidRPr="007D5CC7">
        <w:rPr>
          <w:rFonts w:cs="Arial"/>
          <w:color w:val="000000"/>
          <w:vertAlign w:val="superscript"/>
          <w:lang w:eastAsia="en-GB"/>
        </w:rPr>
        <w:t>3</w:t>
      </w:r>
      <w:r w:rsidR="00456E53" w:rsidRPr="00F07BDE">
        <w:rPr>
          <w:rFonts w:cs="Arial"/>
          <w:color w:val="000000"/>
          <w:lang w:eastAsia="en-GB"/>
        </w:rPr>
        <w:t>, however once corrected to relevant exposure, the concentration was 32.2</w:t>
      </w:r>
      <w:r w:rsidR="00D705F2">
        <w:rPr>
          <w:rFonts w:cs="Arial"/>
          <w:color w:val="0B0C0C"/>
        </w:rPr>
        <w:t>µ</w:t>
      </w:r>
      <w:r w:rsidR="00456E53" w:rsidRPr="00F07BDE">
        <w:rPr>
          <w:rFonts w:cs="Arial"/>
          <w:color w:val="000000"/>
          <w:lang w:eastAsia="en-GB"/>
        </w:rPr>
        <w:t>g/m</w:t>
      </w:r>
      <w:r w:rsidR="00456E53" w:rsidRPr="007D5CC7">
        <w:rPr>
          <w:rFonts w:cs="Arial"/>
          <w:color w:val="000000"/>
          <w:vertAlign w:val="superscript"/>
          <w:lang w:eastAsia="en-GB"/>
        </w:rPr>
        <w:t>3</w:t>
      </w:r>
      <w:r w:rsidR="00456E53" w:rsidRPr="00F07BDE">
        <w:rPr>
          <w:rFonts w:cs="Arial"/>
          <w:color w:val="000000"/>
          <w:lang w:eastAsia="en-GB"/>
        </w:rPr>
        <w:t xml:space="preserve">. </w:t>
      </w:r>
    </w:p>
    <w:p w14:paraId="1684C5A9" w14:textId="73DAD613" w:rsidR="0041644E" w:rsidRPr="00F07BDE" w:rsidRDefault="0041644E" w:rsidP="00046C00">
      <w:pPr>
        <w:contextualSpacing/>
      </w:pPr>
      <w:bookmarkStart w:id="42" w:name="_Hlk159882093"/>
      <w:r w:rsidRPr="00F07BDE">
        <w:t>Excluding C</w:t>
      </w:r>
      <w:r w:rsidR="00660011" w:rsidRPr="00F07BDE">
        <w:t>OVID</w:t>
      </w:r>
      <w:r w:rsidRPr="00F07BDE">
        <w:t>-19 years of 2020 and 2021, the first year of compliance was</w:t>
      </w:r>
      <w:r w:rsidR="00456E53" w:rsidRPr="00F07BDE">
        <w:t xml:space="preserve"> </w:t>
      </w:r>
      <w:r w:rsidR="00456E53" w:rsidRPr="00C54124">
        <w:t>therefore</w:t>
      </w:r>
      <w:r w:rsidRPr="00C54124">
        <w:t xml:space="preserve"> 2022. As such, revocation of AQMA 2 can only be considered in 2025, </w:t>
      </w:r>
      <w:r w:rsidR="00E15F23" w:rsidRPr="00C54124">
        <w:t>if the</w:t>
      </w:r>
      <w:r w:rsidRPr="00C54124">
        <w:t xml:space="preserve"> </w:t>
      </w:r>
      <w:r w:rsidR="00263FB8" w:rsidRPr="00C54124">
        <w:t>two</w:t>
      </w:r>
      <w:r w:rsidRPr="00C54124">
        <w:t xml:space="preserve"> </w:t>
      </w:r>
      <w:r w:rsidR="00FB54B6" w:rsidRPr="00C54124">
        <w:t>followin</w:t>
      </w:r>
      <w:r w:rsidR="00FB54B6" w:rsidRPr="00F07BDE">
        <w:t>g</w:t>
      </w:r>
      <w:r w:rsidRPr="00F07BDE">
        <w:t xml:space="preserve"> years of data </w:t>
      </w:r>
      <w:r w:rsidR="00E15F23" w:rsidRPr="00F07BDE">
        <w:t xml:space="preserve">show concentrations </w:t>
      </w:r>
      <w:r w:rsidRPr="00F07BDE">
        <w:t>below 36</w:t>
      </w:r>
      <w:r w:rsidR="00D705F2">
        <w:rPr>
          <w:rFonts w:cs="Arial"/>
          <w:color w:val="0B0C0C"/>
        </w:rPr>
        <w:t>µ</w:t>
      </w:r>
      <w:r w:rsidRPr="00F07BDE">
        <w:t>g/m</w:t>
      </w:r>
      <w:r w:rsidRPr="007D5CC7">
        <w:rPr>
          <w:vertAlign w:val="superscript"/>
        </w:rPr>
        <w:t>3</w:t>
      </w:r>
      <w:r w:rsidR="00E15F23" w:rsidRPr="00F07BDE">
        <w:t>.</w:t>
      </w:r>
      <w:bookmarkEnd w:id="42"/>
      <w:r w:rsidR="00E15F23" w:rsidRPr="00F07BDE">
        <w:t xml:space="preserve"> </w:t>
      </w:r>
      <w:r w:rsidR="00456E53" w:rsidRPr="00F07BDE">
        <w:t xml:space="preserve">AQMA 2 will therefore remain </w:t>
      </w:r>
      <w:r w:rsidR="00660011" w:rsidRPr="00F07BDE">
        <w:t xml:space="preserve">in place </w:t>
      </w:r>
      <w:r w:rsidR="00456E53" w:rsidRPr="00F07BDE">
        <w:t xml:space="preserve">until </w:t>
      </w:r>
      <w:r w:rsidR="00660011" w:rsidRPr="00F07BDE">
        <w:t xml:space="preserve">sufficient </w:t>
      </w:r>
      <w:r w:rsidR="00456E53" w:rsidRPr="00F07BDE">
        <w:t xml:space="preserve">evidence suggests it can be revoked. </w:t>
      </w:r>
    </w:p>
    <w:p w14:paraId="4027CEE4" w14:textId="77777777" w:rsidR="004F6926" w:rsidRPr="00F07BDE" w:rsidRDefault="004F6926" w:rsidP="00046C00">
      <w:pPr>
        <w:contextualSpacing/>
      </w:pPr>
    </w:p>
    <w:p w14:paraId="705CA200" w14:textId="018CF4AA" w:rsidR="006F604C" w:rsidRPr="00B038BF" w:rsidRDefault="006F604C" w:rsidP="00B038BF">
      <w:pPr>
        <w:pStyle w:val="AQAPText"/>
        <w:rPr>
          <w:b/>
          <w:bCs/>
          <w:color w:val="008938"/>
        </w:rPr>
      </w:pPr>
      <w:bookmarkStart w:id="43" w:name="_Hlk138232760"/>
      <w:bookmarkEnd w:id="39"/>
      <w:r w:rsidRPr="00CE7DE1">
        <w:rPr>
          <w:b/>
          <w:bCs/>
        </w:rPr>
        <w:t xml:space="preserve">AQMA 3 </w:t>
      </w:r>
      <w:r w:rsidR="00F07BDE" w:rsidRPr="00CE7DE1">
        <w:rPr>
          <w:b/>
          <w:bCs/>
        </w:rPr>
        <w:t>and AQMA 3 Extension</w:t>
      </w:r>
      <w:r w:rsidR="00F07BDE" w:rsidRPr="00B038BF">
        <w:rPr>
          <w:b/>
          <w:bCs/>
          <w:color w:val="008938"/>
        </w:rPr>
        <w:t xml:space="preserve"> </w:t>
      </w:r>
    </w:p>
    <w:p w14:paraId="244A4859" w14:textId="7F11FE7B" w:rsidR="008954E2" w:rsidRPr="00F07BDE" w:rsidRDefault="008954E2" w:rsidP="006F604C">
      <w:pPr>
        <w:contextualSpacing/>
        <w:rPr>
          <w:rFonts w:cs="Arial"/>
          <w:color w:val="000000"/>
          <w:lang w:eastAsia="en-GB"/>
        </w:rPr>
      </w:pPr>
      <w:bookmarkStart w:id="44" w:name="_Hlk159881407"/>
      <w:r w:rsidRPr="00F07BDE">
        <w:rPr>
          <w:rFonts w:cs="Arial"/>
          <w:color w:val="000000"/>
          <w:lang w:eastAsia="en-GB"/>
        </w:rPr>
        <w:t>A smaller reduction in average NO</w:t>
      </w:r>
      <w:r w:rsidRPr="00F07BDE">
        <w:rPr>
          <w:rFonts w:cs="Arial"/>
          <w:color w:val="000000"/>
          <w:vertAlign w:val="subscript"/>
          <w:lang w:eastAsia="en-GB"/>
        </w:rPr>
        <w:t>2</w:t>
      </w:r>
      <w:r w:rsidRPr="00F07BDE">
        <w:rPr>
          <w:rFonts w:cs="Arial"/>
          <w:color w:val="000000"/>
          <w:lang w:eastAsia="en-GB"/>
        </w:rPr>
        <w:t xml:space="preserve"> is observed at AQMA 3 (-8.6µg/m</w:t>
      </w:r>
      <w:r w:rsidRPr="00F07BDE">
        <w:rPr>
          <w:rFonts w:cs="Arial"/>
          <w:color w:val="000000"/>
          <w:vertAlign w:val="superscript"/>
          <w:lang w:eastAsia="en-GB"/>
        </w:rPr>
        <w:t>3</w:t>
      </w:r>
      <w:r w:rsidRPr="00F07BDE">
        <w:rPr>
          <w:rFonts w:cs="Arial"/>
          <w:color w:val="000000"/>
          <w:lang w:eastAsia="en-GB"/>
        </w:rPr>
        <w:t>) relative to 2018 concentrations, with Tuns Lane (B) (SLO 50) showing the greatest improvement in concentrations at -12.9µg/m</w:t>
      </w:r>
      <w:r w:rsidRPr="00F07BDE">
        <w:rPr>
          <w:rFonts w:cs="Arial"/>
          <w:color w:val="000000"/>
          <w:vertAlign w:val="superscript"/>
          <w:lang w:eastAsia="en-GB"/>
        </w:rPr>
        <w:t>3</w:t>
      </w:r>
      <w:r w:rsidRPr="00F07BDE">
        <w:rPr>
          <w:rFonts w:cs="Arial"/>
          <w:color w:val="000000"/>
          <w:lang w:eastAsia="en-GB"/>
        </w:rPr>
        <w:t xml:space="preserve"> (28%), representing the third year of falling below 10% of the AQO at 32.9</w:t>
      </w:r>
      <w:r w:rsidRPr="00F07BDE">
        <w:t>µg/m</w:t>
      </w:r>
      <w:r w:rsidRPr="00F07BDE">
        <w:rPr>
          <w:vertAlign w:val="superscript"/>
        </w:rPr>
        <w:t>3</w:t>
      </w:r>
      <w:r w:rsidRPr="00F07BDE">
        <w:t xml:space="preserve"> in 2022, </w:t>
      </w:r>
      <w:r w:rsidRPr="00F07BDE">
        <w:rPr>
          <w:rFonts w:cs="Arial"/>
          <w:color w:val="000000"/>
          <w:lang w:eastAsia="en-GB"/>
        </w:rPr>
        <w:t>and the highest average year on year improvement at 7%. The smallest improvement is observed at Farnham Road (SLO 30) by -5.6µg/m</w:t>
      </w:r>
      <w:r w:rsidRPr="00F07BDE">
        <w:rPr>
          <w:rFonts w:cs="Arial"/>
          <w:color w:val="000000"/>
          <w:vertAlign w:val="superscript"/>
          <w:lang w:eastAsia="en-GB"/>
        </w:rPr>
        <w:t>3</w:t>
      </w:r>
      <w:r w:rsidRPr="00F07BDE">
        <w:rPr>
          <w:rFonts w:cs="Arial"/>
          <w:color w:val="000000"/>
          <w:lang w:eastAsia="en-GB"/>
        </w:rPr>
        <w:t>, however this site is far below the AQO in 2022 at 23.4</w:t>
      </w:r>
      <w:r w:rsidRPr="00F07BDE">
        <w:t>µg/m</w:t>
      </w:r>
      <w:r w:rsidRPr="00F07BDE">
        <w:rPr>
          <w:vertAlign w:val="superscript"/>
        </w:rPr>
        <w:t>3</w:t>
      </w:r>
      <w:r w:rsidRPr="00F07BDE">
        <w:rPr>
          <w:rFonts w:cs="Arial"/>
          <w:color w:val="000000"/>
          <w:lang w:eastAsia="en-GB"/>
        </w:rPr>
        <w:t>.</w:t>
      </w:r>
    </w:p>
    <w:p w14:paraId="07740602" w14:textId="77777777" w:rsidR="00456E53" w:rsidRPr="00F07BDE" w:rsidRDefault="00456E53" w:rsidP="00F07BDE">
      <w:pPr>
        <w:spacing w:before="0" w:after="0"/>
        <w:contextualSpacing/>
      </w:pPr>
      <w:bookmarkStart w:id="45" w:name="_Hlk159881429"/>
      <w:bookmarkEnd w:id="44"/>
    </w:p>
    <w:p w14:paraId="50C63913" w14:textId="56FFFFB8" w:rsidR="008954E2" w:rsidRDefault="00456E53" w:rsidP="00412F35">
      <w:pPr>
        <w:spacing w:before="0" w:after="0"/>
        <w:contextualSpacing/>
        <w:rPr>
          <w:rFonts w:cs="Arial"/>
          <w:color w:val="000000"/>
          <w:lang w:eastAsia="en-GB"/>
        </w:rPr>
      </w:pPr>
      <w:bookmarkStart w:id="46" w:name="_Hlk138232799"/>
      <w:bookmarkEnd w:id="43"/>
      <w:r w:rsidRPr="00F07BDE">
        <w:rPr>
          <w:rFonts w:cs="Arial"/>
          <w:color w:val="000000"/>
          <w:lang w:eastAsia="en-GB"/>
        </w:rPr>
        <w:t xml:space="preserve">The </w:t>
      </w:r>
      <w:r w:rsidR="008954E2" w:rsidRPr="00F07BDE">
        <w:rPr>
          <w:rFonts w:cs="Arial"/>
          <w:color w:val="000000"/>
          <w:lang w:eastAsia="en-GB"/>
        </w:rPr>
        <w:t>AQMA 3 Extension shows a similar improvement in NO</w:t>
      </w:r>
      <w:r w:rsidR="008954E2" w:rsidRPr="00F07BDE">
        <w:rPr>
          <w:rFonts w:cs="Arial"/>
          <w:color w:val="000000"/>
          <w:vertAlign w:val="subscript"/>
          <w:lang w:eastAsia="en-GB"/>
        </w:rPr>
        <w:t>2</w:t>
      </w:r>
      <w:r w:rsidR="008954E2" w:rsidRPr="00F07BDE">
        <w:rPr>
          <w:rFonts w:cs="Arial"/>
          <w:color w:val="000000"/>
          <w:lang w:eastAsia="en-GB"/>
        </w:rPr>
        <w:t xml:space="preserve"> concentrations since 2018, with the greatest reduction observed at the Windmill triplicate (SLO 57, SLO 58 and SLO 59) by -12.8µg/m</w:t>
      </w:r>
      <w:r w:rsidR="008954E2" w:rsidRPr="00F07BDE">
        <w:rPr>
          <w:rFonts w:cs="Arial"/>
          <w:color w:val="000000"/>
          <w:vertAlign w:val="superscript"/>
          <w:lang w:eastAsia="en-GB"/>
        </w:rPr>
        <w:t>3</w:t>
      </w:r>
      <w:r w:rsidR="008954E2" w:rsidRPr="00F07BDE">
        <w:rPr>
          <w:rFonts w:cs="Arial"/>
          <w:color w:val="000000"/>
          <w:lang w:eastAsia="en-GB"/>
        </w:rPr>
        <w:t>, measuring at 28.8</w:t>
      </w:r>
      <w:r w:rsidR="008954E2" w:rsidRPr="00F07BDE">
        <w:t>µg/m</w:t>
      </w:r>
      <w:r w:rsidR="008954E2" w:rsidRPr="00F07BDE">
        <w:rPr>
          <w:vertAlign w:val="superscript"/>
        </w:rPr>
        <w:t xml:space="preserve">3 </w:t>
      </w:r>
      <w:r w:rsidR="008954E2" w:rsidRPr="00F07BDE">
        <w:t>in 2022</w:t>
      </w:r>
      <w:r w:rsidR="008954E2" w:rsidRPr="00F07BDE">
        <w:rPr>
          <w:rFonts w:cs="Arial"/>
          <w:color w:val="000000"/>
          <w:lang w:eastAsia="en-GB"/>
        </w:rPr>
        <w:t>. Although NO</w:t>
      </w:r>
      <w:r w:rsidR="008954E2" w:rsidRPr="00F07BDE">
        <w:rPr>
          <w:rFonts w:cs="Arial"/>
          <w:color w:val="000000"/>
          <w:vertAlign w:val="subscript"/>
          <w:lang w:eastAsia="en-GB"/>
        </w:rPr>
        <w:t>2</w:t>
      </w:r>
      <w:r w:rsidR="008954E2" w:rsidRPr="00F07BDE">
        <w:rPr>
          <w:rFonts w:cs="Arial"/>
          <w:color w:val="000000"/>
          <w:lang w:eastAsia="en-GB"/>
        </w:rPr>
        <w:t xml:space="preserve"> concentrations have increased since 2020, the rate has been slow (average 2%).</w:t>
      </w:r>
    </w:p>
    <w:bookmarkEnd w:id="45"/>
    <w:p w14:paraId="06B4DB3E" w14:textId="77777777" w:rsidR="00C91AF7" w:rsidRDefault="00C91AF7" w:rsidP="00412F35">
      <w:pPr>
        <w:spacing w:before="0" w:after="0"/>
        <w:rPr>
          <w:bCs/>
          <w:noProof/>
        </w:rPr>
      </w:pPr>
    </w:p>
    <w:p w14:paraId="1DE75071" w14:textId="2D53989B" w:rsidR="00C91AF7" w:rsidRDefault="00C91AF7" w:rsidP="00412F35">
      <w:pPr>
        <w:spacing w:before="0" w:after="0"/>
        <w:rPr>
          <w:bCs/>
          <w:noProof/>
        </w:rPr>
      </w:pPr>
      <w:r>
        <w:rPr>
          <w:bCs/>
          <w:noProof/>
        </w:rPr>
        <w:t>The continous monitor at Windmill (SLH 12) has shown a similar trend, reducing from 41.5</w:t>
      </w:r>
      <w:r w:rsidR="00D705F2">
        <w:rPr>
          <w:rFonts w:cs="Arial"/>
          <w:color w:val="0B0C0C"/>
        </w:rPr>
        <w:t>µ</w:t>
      </w:r>
      <w:r>
        <w:rPr>
          <w:bCs/>
          <w:noProof/>
        </w:rPr>
        <w:t>g/m</w:t>
      </w:r>
      <w:r w:rsidRPr="007D5CC7">
        <w:rPr>
          <w:bCs/>
          <w:noProof/>
          <w:vertAlign w:val="superscript"/>
        </w:rPr>
        <w:t>3</w:t>
      </w:r>
      <w:r>
        <w:rPr>
          <w:bCs/>
          <w:noProof/>
        </w:rPr>
        <w:t xml:space="preserve"> in 2018 to 28.7</w:t>
      </w:r>
      <w:r w:rsidR="00D705F2">
        <w:rPr>
          <w:rFonts w:cs="Arial"/>
          <w:color w:val="0B0C0C"/>
        </w:rPr>
        <w:t>µ</w:t>
      </w:r>
      <w:r>
        <w:rPr>
          <w:bCs/>
          <w:noProof/>
        </w:rPr>
        <w:t>g/m</w:t>
      </w:r>
      <w:r w:rsidRPr="007D5CC7">
        <w:rPr>
          <w:bCs/>
          <w:noProof/>
          <w:vertAlign w:val="superscript"/>
        </w:rPr>
        <w:t>3</w:t>
      </w:r>
      <w:r>
        <w:rPr>
          <w:bCs/>
          <w:noProof/>
        </w:rPr>
        <w:t xml:space="preserve"> by 2022 </w:t>
      </w:r>
      <w:r w:rsidRPr="007259AA">
        <w:rPr>
          <w:rFonts w:cs="Arial"/>
          <w:color w:val="000000"/>
          <w:lang w:eastAsia="en-GB"/>
        </w:rPr>
        <w:t>(32% reduction) and has seen the greatest year on year improvement on average (</w:t>
      </w:r>
      <w:r w:rsidR="00263FB8">
        <w:rPr>
          <w:rFonts w:cs="Arial"/>
          <w:color w:val="000000"/>
          <w:lang w:eastAsia="en-GB"/>
        </w:rPr>
        <w:t>-</w:t>
      </w:r>
      <w:r w:rsidRPr="007259AA">
        <w:rPr>
          <w:rFonts w:cs="Arial"/>
          <w:color w:val="000000"/>
          <w:lang w:eastAsia="en-GB"/>
        </w:rPr>
        <w:t>3.3µg/m</w:t>
      </w:r>
      <w:r w:rsidRPr="007259AA">
        <w:rPr>
          <w:rFonts w:cs="Arial"/>
          <w:color w:val="000000"/>
          <w:vertAlign w:val="superscript"/>
          <w:lang w:eastAsia="en-GB"/>
        </w:rPr>
        <w:t>3</w:t>
      </w:r>
      <w:r w:rsidRPr="007259AA">
        <w:rPr>
          <w:rFonts w:cs="Arial"/>
          <w:color w:val="000000"/>
          <w:lang w:eastAsia="en-GB"/>
        </w:rPr>
        <w:t>)</w:t>
      </w:r>
      <w:r>
        <w:rPr>
          <w:rFonts w:cs="Arial"/>
          <w:color w:val="000000"/>
          <w:lang w:eastAsia="en-GB"/>
        </w:rPr>
        <w:t xml:space="preserve"> when comparing against other continuous monitors. </w:t>
      </w:r>
      <w:r w:rsidRPr="00C91AF7">
        <w:rPr>
          <w:bCs/>
          <w:noProof/>
        </w:rPr>
        <w:t xml:space="preserve">The </w:t>
      </w:r>
      <w:r w:rsidRPr="00A25B13">
        <w:t>NO</w:t>
      </w:r>
      <w:r w:rsidRPr="00C91AF7">
        <w:rPr>
          <w:vertAlign w:val="subscript"/>
        </w:rPr>
        <w:t>2</w:t>
      </w:r>
      <w:r w:rsidRPr="00C91AF7">
        <w:rPr>
          <w:bCs/>
          <w:noProof/>
        </w:rPr>
        <w:t xml:space="preserve"> 1-hour mean objective (200</w:t>
      </w:r>
      <w:r w:rsidRPr="00C91AF7">
        <w:rPr>
          <w:rFonts w:cs="Arial"/>
          <w:color w:val="000000"/>
          <w:lang w:eastAsia="en-GB"/>
        </w:rPr>
        <w:t>µg/m</w:t>
      </w:r>
      <w:r w:rsidRPr="00C91AF7">
        <w:rPr>
          <w:rFonts w:cs="Arial"/>
          <w:color w:val="000000"/>
          <w:vertAlign w:val="superscript"/>
          <w:lang w:eastAsia="en-GB"/>
        </w:rPr>
        <w:t>3</w:t>
      </w:r>
      <w:r w:rsidRPr="00C91AF7">
        <w:rPr>
          <w:bCs/>
          <w:noProof/>
        </w:rPr>
        <w:t xml:space="preserve"> not to be exceeded more than 18 times/year) has historically not been exceeded across Slough’s automatic monitoring sites, with the exception of Windmill Bath Road which had shown one exceedance of 200</w:t>
      </w:r>
      <w:r w:rsidRPr="00C91AF7">
        <w:rPr>
          <w:rFonts w:cs="Arial"/>
          <w:color w:val="000000"/>
          <w:lang w:eastAsia="en-GB"/>
        </w:rPr>
        <w:t>µg/m</w:t>
      </w:r>
      <w:r w:rsidRPr="00C91AF7">
        <w:rPr>
          <w:rFonts w:cs="Arial"/>
          <w:color w:val="000000"/>
          <w:vertAlign w:val="superscript"/>
          <w:lang w:eastAsia="en-GB"/>
        </w:rPr>
        <w:t>3</w:t>
      </w:r>
      <w:r w:rsidRPr="00C91AF7">
        <w:rPr>
          <w:bCs/>
          <w:noProof/>
        </w:rPr>
        <w:t xml:space="preserve"> in 2021. 2022 continues this historic trend by having no exceedances of the 1-hour mean objective and is therefore not of concern.</w:t>
      </w:r>
    </w:p>
    <w:p w14:paraId="7CB33225" w14:textId="77777777" w:rsidR="00412F35" w:rsidRPr="00C91AF7" w:rsidRDefault="00412F35" w:rsidP="00412F35">
      <w:pPr>
        <w:spacing w:before="0" w:after="0"/>
        <w:rPr>
          <w:bCs/>
          <w:noProof/>
        </w:rPr>
      </w:pPr>
    </w:p>
    <w:p w14:paraId="0EA3F612" w14:textId="3D1877A3" w:rsidR="00456E53" w:rsidRDefault="00456E53" w:rsidP="00B038BF">
      <w:pPr>
        <w:spacing w:before="0" w:after="0"/>
        <w:contextualSpacing/>
        <w:rPr>
          <w:rFonts w:cs="Arial"/>
          <w:color w:val="000000"/>
          <w:lang w:eastAsia="en-GB"/>
        </w:rPr>
      </w:pPr>
      <w:r w:rsidRPr="00F07BDE">
        <w:rPr>
          <w:rFonts w:cs="Arial"/>
          <w:color w:val="000000"/>
          <w:lang w:eastAsia="en-GB"/>
        </w:rPr>
        <w:t xml:space="preserve">Similarly to AQMA 2, the pandemic brought about compliance with the AQO within AQMA 3 and AQMA 3 Extension. </w:t>
      </w:r>
      <w:bookmarkStart w:id="47" w:name="_Hlk159882148"/>
      <w:r w:rsidRPr="00F07BDE">
        <w:rPr>
          <w:rFonts w:cs="Arial"/>
          <w:color w:val="000000"/>
          <w:lang w:eastAsia="en-GB"/>
        </w:rPr>
        <w:t xml:space="preserve">Some monitoring sites, such as </w:t>
      </w:r>
      <w:r w:rsidR="006F35A2">
        <w:rPr>
          <w:rFonts w:cs="Arial"/>
          <w:color w:val="000000"/>
          <w:lang w:eastAsia="en-GB"/>
        </w:rPr>
        <w:t>Tuns Lane (</w:t>
      </w:r>
      <w:r w:rsidRPr="00F07BDE">
        <w:rPr>
          <w:rFonts w:cs="Arial"/>
          <w:color w:val="000000"/>
          <w:lang w:eastAsia="en-GB"/>
        </w:rPr>
        <w:t>SLO 23</w:t>
      </w:r>
      <w:r w:rsidR="006F35A2">
        <w:rPr>
          <w:rFonts w:cs="Arial"/>
          <w:color w:val="000000"/>
          <w:lang w:eastAsia="en-GB"/>
        </w:rPr>
        <w:t>),</w:t>
      </w:r>
      <w:r w:rsidRPr="00F07BDE">
        <w:rPr>
          <w:rFonts w:cs="Arial"/>
          <w:color w:val="000000"/>
          <w:lang w:eastAsia="en-GB"/>
        </w:rPr>
        <w:t xml:space="preserve"> have fallen below 10% of the AQO </w:t>
      </w:r>
      <w:r w:rsidR="003D79CB" w:rsidRPr="00F07BDE">
        <w:rPr>
          <w:rFonts w:cs="Arial"/>
          <w:color w:val="000000"/>
          <w:lang w:eastAsia="en-GB"/>
        </w:rPr>
        <w:t xml:space="preserve">for over 5 years, whereas others such as </w:t>
      </w:r>
      <w:r w:rsidR="006F35A2">
        <w:rPr>
          <w:rFonts w:cs="Arial"/>
          <w:color w:val="000000"/>
          <w:lang w:eastAsia="en-GB"/>
        </w:rPr>
        <w:t>Tuns Lane (B) (</w:t>
      </w:r>
      <w:r w:rsidR="003D79CB" w:rsidRPr="00F07BDE">
        <w:rPr>
          <w:rFonts w:cs="Arial"/>
          <w:color w:val="000000"/>
          <w:lang w:eastAsia="en-GB"/>
        </w:rPr>
        <w:t>SLO 50</w:t>
      </w:r>
      <w:r w:rsidR="006F35A2">
        <w:rPr>
          <w:rFonts w:cs="Arial"/>
          <w:color w:val="000000"/>
          <w:lang w:eastAsia="en-GB"/>
        </w:rPr>
        <w:t>)</w:t>
      </w:r>
      <w:r w:rsidR="00F07BDE" w:rsidRPr="00F07BDE">
        <w:rPr>
          <w:rFonts w:cs="Arial"/>
          <w:color w:val="000000"/>
          <w:lang w:eastAsia="en-GB"/>
        </w:rPr>
        <w:t xml:space="preserve"> have </w:t>
      </w:r>
      <w:r w:rsidR="003D79CB" w:rsidRPr="00F07BDE">
        <w:rPr>
          <w:rFonts w:cs="Arial"/>
          <w:color w:val="000000"/>
          <w:lang w:eastAsia="en-GB"/>
        </w:rPr>
        <w:t xml:space="preserve">only reached compliance as a result of the pandemic. </w:t>
      </w:r>
      <w:r w:rsidR="003D79CB" w:rsidRPr="00F07BDE">
        <w:rPr>
          <w:rFonts w:cs="Arial"/>
          <w:color w:val="000000"/>
          <w:lang w:eastAsia="en-GB"/>
        </w:rPr>
        <w:lastRenderedPageBreak/>
        <w:t xml:space="preserve">The first year of compliance is therefore 2022, with the highest concentration </w:t>
      </w:r>
      <w:r w:rsidR="006F35A2">
        <w:rPr>
          <w:rFonts w:cs="Arial"/>
          <w:color w:val="000000"/>
          <w:lang w:eastAsia="en-GB"/>
        </w:rPr>
        <w:t>within AQMA 3 being Tuns Lane (</w:t>
      </w:r>
      <w:r w:rsidR="003D79CB" w:rsidRPr="00F07BDE">
        <w:rPr>
          <w:rFonts w:cs="Arial"/>
          <w:color w:val="000000"/>
          <w:lang w:eastAsia="en-GB"/>
        </w:rPr>
        <w:t>SLO 50</w:t>
      </w:r>
      <w:r w:rsidR="006F35A2">
        <w:rPr>
          <w:rFonts w:cs="Arial"/>
          <w:color w:val="000000"/>
          <w:lang w:eastAsia="en-GB"/>
        </w:rPr>
        <w:t>)</w:t>
      </w:r>
      <w:r w:rsidR="003D79CB" w:rsidRPr="00F07BDE">
        <w:rPr>
          <w:rFonts w:cs="Arial"/>
          <w:color w:val="000000"/>
          <w:lang w:eastAsia="en-GB"/>
        </w:rPr>
        <w:t xml:space="preserve"> at 32.9</w:t>
      </w:r>
      <w:r w:rsidR="00D705F2">
        <w:rPr>
          <w:rFonts w:cs="Arial"/>
          <w:color w:val="0B0C0C"/>
        </w:rPr>
        <w:t>µ</w:t>
      </w:r>
      <w:r w:rsidR="003D79CB" w:rsidRPr="00F07BDE">
        <w:rPr>
          <w:rFonts w:cs="Arial"/>
          <w:color w:val="000000"/>
          <w:lang w:eastAsia="en-GB"/>
        </w:rPr>
        <w:t>g/m</w:t>
      </w:r>
      <w:r w:rsidR="003D79CB" w:rsidRPr="007D5CC7">
        <w:rPr>
          <w:rFonts w:cs="Arial"/>
          <w:color w:val="000000"/>
          <w:vertAlign w:val="superscript"/>
          <w:lang w:eastAsia="en-GB"/>
        </w:rPr>
        <w:t>3</w:t>
      </w:r>
      <w:r w:rsidR="006F35A2">
        <w:rPr>
          <w:rFonts w:cs="Arial"/>
          <w:color w:val="000000"/>
          <w:lang w:eastAsia="en-GB"/>
        </w:rPr>
        <w:t>, and the highest concentration within the AQMA 3 Extension being the Windmill triplicate (SLO 57, SLO 58 and SLO 59) at 28.8</w:t>
      </w:r>
      <w:r w:rsidR="00D705F2">
        <w:rPr>
          <w:rFonts w:cs="Arial"/>
          <w:color w:val="0B0C0C"/>
        </w:rPr>
        <w:t>µ</w:t>
      </w:r>
      <w:r w:rsidR="006F35A2">
        <w:rPr>
          <w:rFonts w:cs="Arial"/>
          <w:color w:val="000000"/>
          <w:lang w:eastAsia="en-GB"/>
        </w:rPr>
        <w:t>g/m</w:t>
      </w:r>
      <w:r w:rsidR="006F35A2" w:rsidRPr="007D5CC7">
        <w:rPr>
          <w:rFonts w:cs="Arial"/>
          <w:color w:val="000000"/>
          <w:vertAlign w:val="superscript"/>
          <w:lang w:eastAsia="en-GB"/>
        </w:rPr>
        <w:t>3</w:t>
      </w:r>
      <w:r w:rsidR="006F35A2">
        <w:rPr>
          <w:rFonts w:cs="Arial"/>
          <w:color w:val="000000"/>
          <w:lang w:eastAsia="en-GB"/>
        </w:rPr>
        <w:t>. As such, the earliest year that revocation can be considered is 2025.</w:t>
      </w:r>
    </w:p>
    <w:bookmarkEnd w:id="47"/>
    <w:p w14:paraId="4768C4D0" w14:textId="77777777" w:rsidR="00456E53" w:rsidRDefault="00456E53" w:rsidP="00B038BF">
      <w:pPr>
        <w:spacing w:before="0" w:after="0"/>
        <w:contextualSpacing/>
        <w:rPr>
          <w:rFonts w:cs="Arial"/>
          <w:color w:val="000000"/>
          <w:lang w:eastAsia="en-GB"/>
        </w:rPr>
      </w:pPr>
    </w:p>
    <w:p w14:paraId="58CF7D34" w14:textId="607A62C0" w:rsidR="006F35A2" w:rsidRPr="00CE7DE1" w:rsidRDefault="006F35A2" w:rsidP="00D044AE">
      <w:pPr>
        <w:pStyle w:val="AQAPText"/>
        <w:spacing w:after="0" w:line="360" w:lineRule="auto"/>
        <w:rPr>
          <w:b/>
          <w:bCs/>
        </w:rPr>
      </w:pPr>
      <w:r w:rsidRPr="00CE7DE1">
        <w:rPr>
          <w:b/>
          <w:bCs/>
        </w:rPr>
        <w:t>AQMA 4</w:t>
      </w:r>
    </w:p>
    <w:p w14:paraId="74E7C95D" w14:textId="77777777" w:rsidR="006F35A2" w:rsidRDefault="008954E2" w:rsidP="00D044AE">
      <w:pPr>
        <w:spacing w:before="0" w:after="0"/>
        <w:contextualSpacing/>
        <w:rPr>
          <w:rFonts w:cs="Arial"/>
          <w:color w:val="000000"/>
          <w:lang w:eastAsia="en-GB"/>
        </w:rPr>
      </w:pPr>
      <w:bookmarkStart w:id="48" w:name="_Hlk159881445"/>
      <w:bookmarkStart w:id="49" w:name="_Hlk138232829"/>
      <w:bookmarkEnd w:id="46"/>
      <w:r w:rsidRPr="006F35A2">
        <w:rPr>
          <w:rFonts w:cs="Arial"/>
          <w:color w:val="000000"/>
          <w:lang w:eastAsia="en-GB"/>
        </w:rPr>
        <w:t xml:space="preserve">Since 2018, concentrations have improved across all sites within AQMA 4 (average </w:t>
      </w:r>
      <w:bookmarkStart w:id="50" w:name="_Hlk137720520"/>
    </w:p>
    <w:p w14:paraId="11569ACC" w14:textId="7EDE4AA7" w:rsidR="008954E2" w:rsidRPr="0073085E" w:rsidRDefault="008954E2" w:rsidP="006F35A2">
      <w:pPr>
        <w:spacing w:before="0" w:after="0"/>
        <w:contextualSpacing/>
        <w:rPr>
          <w:rFonts w:cs="Arial"/>
          <w:color w:val="000000"/>
          <w:lang w:eastAsia="en-GB"/>
        </w:rPr>
      </w:pPr>
      <w:r w:rsidRPr="006F35A2">
        <w:rPr>
          <w:rFonts w:cs="Arial"/>
          <w:color w:val="000000"/>
          <w:lang w:eastAsia="en-GB"/>
        </w:rPr>
        <w:t>-8.1</w:t>
      </w:r>
      <w:r w:rsidRPr="00D70E31">
        <w:t>µg/m</w:t>
      </w:r>
      <w:r w:rsidRPr="006F35A2">
        <w:rPr>
          <w:vertAlign w:val="superscript"/>
        </w:rPr>
        <w:t>3</w:t>
      </w:r>
      <w:bookmarkEnd w:id="50"/>
      <w:r>
        <w:t>, 22%</w:t>
      </w:r>
      <w:r w:rsidRPr="006F35A2">
        <w:rPr>
          <w:rFonts w:cs="Arial"/>
          <w:color w:val="000000"/>
          <w:lang w:eastAsia="en-GB"/>
        </w:rPr>
        <w:t>), the greatest being at Blair Road (SLO 37) with a -12.8µg/m</w:t>
      </w:r>
      <w:r w:rsidRPr="006F35A2">
        <w:rPr>
          <w:rFonts w:cs="Arial"/>
          <w:color w:val="000000"/>
          <w:vertAlign w:val="superscript"/>
          <w:lang w:eastAsia="en-GB"/>
        </w:rPr>
        <w:t xml:space="preserve">3 </w:t>
      </w:r>
      <w:r w:rsidRPr="006F35A2">
        <w:rPr>
          <w:rFonts w:cs="Arial"/>
          <w:color w:val="000000"/>
          <w:lang w:eastAsia="en-GB"/>
        </w:rPr>
        <w:t>decrease in NO</w:t>
      </w:r>
      <w:r w:rsidRPr="006F35A2">
        <w:rPr>
          <w:rFonts w:cs="Arial"/>
          <w:color w:val="000000"/>
          <w:vertAlign w:val="subscript"/>
          <w:lang w:eastAsia="en-GB"/>
        </w:rPr>
        <w:t xml:space="preserve">2 </w:t>
      </w:r>
      <w:r>
        <w:t>(32%). The Wellington Street triplicate (SLO 60, SLO 61 and SLO 62) has improved the least by -4.4</w:t>
      </w:r>
      <w:r w:rsidRPr="006F35A2">
        <w:rPr>
          <w:rFonts w:cs="Arial"/>
          <w:color w:val="000000"/>
          <w:lang w:eastAsia="en-GB"/>
        </w:rPr>
        <w:t>µg/m</w:t>
      </w:r>
      <w:r w:rsidRPr="006F35A2">
        <w:rPr>
          <w:rFonts w:cs="Arial"/>
          <w:color w:val="000000"/>
          <w:vertAlign w:val="superscript"/>
          <w:lang w:eastAsia="en-GB"/>
        </w:rPr>
        <w:t>3</w:t>
      </w:r>
      <w:r w:rsidRPr="006F35A2">
        <w:rPr>
          <w:rFonts w:cs="Arial"/>
          <w:color w:val="000000"/>
          <w:lang w:eastAsia="en-GB"/>
        </w:rPr>
        <w:t xml:space="preserve"> (12.8%), however NO</w:t>
      </w:r>
      <w:r w:rsidRPr="006F35A2">
        <w:rPr>
          <w:rFonts w:cs="Arial"/>
          <w:color w:val="000000"/>
          <w:vertAlign w:val="subscript"/>
          <w:lang w:eastAsia="en-GB"/>
        </w:rPr>
        <w:t>2</w:t>
      </w:r>
      <w:r w:rsidRPr="006F35A2">
        <w:rPr>
          <w:rFonts w:cs="Arial"/>
          <w:color w:val="000000"/>
          <w:lang w:eastAsia="en-GB"/>
        </w:rPr>
        <w:t xml:space="preserve"> concentrations measured over the last five years have remained below 10% of the AQO. This site has also seen the slowest year on year rate of improvement by -1.1µg/m</w:t>
      </w:r>
      <w:r w:rsidRPr="006F35A2">
        <w:rPr>
          <w:rFonts w:cs="Arial"/>
          <w:color w:val="000000"/>
          <w:vertAlign w:val="superscript"/>
          <w:lang w:eastAsia="en-GB"/>
        </w:rPr>
        <w:t>3</w:t>
      </w:r>
      <w:r w:rsidRPr="006F35A2">
        <w:rPr>
          <w:rFonts w:cs="Arial"/>
          <w:color w:val="000000"/>
          <w:lang w:eastAsia="en-GB"/>
        </w:rPr>
        <w:t xml:space="preserve"> </w:t>
      </w:r>
      <w:r w:rsidR="007259AA">
        <w:rPr>
          <w:rFonts w:cs="Arial"/>
          <w:color w:val="000000"/>
          <w:lang w:eastAsia="en-GB"/>
        </w:rPr>
        <w:t xml:space="preserve">(2%) </w:t>
      </w:r>
      <w:r w:rsidRPr="006F35A2">
        <w:rPr>
          <w:rFonts w:cs="Arial"/>
          <w:color w:val="000000"/>
          <w:lang w:eastAsia="en-GB"/>
        </w:rPr>
        <w:t>on average, alongside Wellington Street Stratfield (SLO 33).</w:t>
      </w:r>
      <w:r w:rsidR="0073085E">
        <w:rPr>
          <w:rFonts w:cs="Arial"/>
          <w:color w:val="000000"/>
          <w:lang w:eastAsia="en-GB"/>
        </w:rPr>
        <w:t xml:space="preserve"> Continuous monitoring data (SLH 10) shows a 7.7</w:t>
      </w:r>
      <w:r w:rsidR="00D705F2">
        <w:rPr>
          <w:rFonts w:cs="Arial"/>
          <w:color w:val="0B0C0C"/>
        </w:rPr>
        <w:t>µ</w:t>
      </w:r>
      <w:r w:rsidR="0073085E">
        <w:rPr>
          <w:rFonts w:cs="Arial"/>
          <w:color w:val="000000"/>
          <w:lang w:eastAsia="en-GB"/>
        </w:rPr>
        <w:t>g/m</w:t>
      </w:r>
      <w:r w:rsidR="0073085E" w:rsidRPr="007D5CC7">
        <w:rPr>
          <w:rFonts w:cs="Arial"/>
          <w:color w:val="000000"/>
          <w:vertAlign w:val="superscript"/>
          <w:lang w:eastAsia="en-GB"/>
        </w:rPr>
        <w:t>3</w:t>
      </w:r>
      <w:r w:rsidR="0073085E">
        <w:rPr>
          <w:rFonts w:cs="Arial"/>
          <w:color w:val="000000"/>
          <w:lang w:eastAsia="en-GB"/>
        </w:rPr>
        <w:t xml:space="preserve"> reduction in NO</w:t>
      </w:r>
      <w:r w:rsidR="0073085E">
        <w:rPr>
          <w:rFonts w:cs="Arial"/>
          <w:color w:val="000000"/>
          <w:vertAlign w:val="subscript"/>
          <w:lang w:eastAsia="en-GB"/>
        </w:rPr>
        <w:t>2</w:t>
      </w:r>
      <w:r w:rsidR="0073085E">
        <w:rPr>
          <w:rFonts w:cs="Arial"/>
          <w:color w:val="000000"/>
          <w:lang w:eastAsia="en-GB"/>
        </w:rPr>
        <w:t xml:space="preserve"> since 2018, with concentrations at 28.3</w:t>
      </w:r>
      <w:r w:rsidR="00D705F2">
        <w:rPr>
          <w:rFonts w:cs="Arial"/>
          <w:color w:val="0B0C0C"/>
        </w:rPr>
        <w:t>µ</w:t>
      </w:r>
      <w:r w:rsidR="0073085E">
        <w:rPr>
          <w:rFonts w:cs="Arial"/>
          <w:color w:val="000000"/>
          <w:lang w:eastAsia="en-GB"/>
        </w:rPr>
        <w:t>g/m</w:t>
      </w:r>
      <w:r w:rsidR="0073085E" w:rsidRPr="007D5CC7">
        <w:rPr>
          <w:rFonts w:cs="Arial"/>
          <w:color w:val="000000"/>
          <w:vertAlign w:val="superscript"/>
          <w:lang w:eastAsia="en-GB"/>
        </w:rPr>
        <w:t>3</w:t>
      </w:r>
      <w:r w:rsidR="0073085E">
        <w:rPr>
          <w:rFonts w:cs="Arial"/>
          <w:color w:val="000000"/>
          <w:lang w:eastAsia="en-GB"/>
        </w:rPr>
        <w:t xml:space="preserve"> in 2022. </w:t>
      </w:r>
    </w:p>
    <w:p w14:paraId="0EE73668" w14:textId="5AB595DB" w:rsidR="007259AA" w:rsidRDefault="007259AA" w:rsidP="006F35A2">
      <w:pPr>
        <w:spacing w:before="0" w:after="0"/>
        <w:contextualSpacing/>
        <w:rPr>
          <w:rFonts w:cs="Arial"/>
          <w:color w:val="000000"/>
          <w:lang w:eastAsia="en-GB"/>
        </w:rPr>
      </w:pPr>
      <w:bookmarkStart w:id="51" w:name="_Hlk159882185"/>
      <w:r>
        <w:rPr>
          <w:rFonts w:cs="Arial"/>
          <w:color w:val="000000"/>
          <w:lang w:eastAsia="en-GB"/>
        </w:rPr>
        <w:t>The pandemic brought widespread compliance with the AQO within AQMA 4, with Yew Tree Road (SLO 29) dropping by 14.7</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from 2019 to 2020, resulting in all sites </w:t>
      </w:r>
      <w:r w:rsidR="00D044AE">
        <w:rPr>
          <w:rFonts w:cs="Arial"/>
          <w:color w:val="000000"/>
          <w:lang w:eastAsia="en-GB"/>
        </w:rPr>
        <w:t xml:space="preserve">within AQMA 4 </w:t>
      </w:r>
      <w:r>
        <w:rPr>
          <w:rFonts w:cs="Arial"/>
          <w:color w:val="000000"/>
          <w:lang w:eastAsia="en-GB"/>
        </w:rPr>
        <w:t>falling below 10% of the AQO.</w:t>
      </w:r>
      <w:bookmarkEnd w:id="51"/>
      <w:r>
        <w:rPr>
          <w:rFonts w:cs="Arial"/>
          <w:color w:val="000000"/>
          <w:lang w:eastAsia="en-GB"/>
        </w:rPr>
        <w:t xml:space="preserve"> Compliance was sustained for the majority of sites in</w:t>
      </w:r>
      <w:r w:rsidRPr="00C54124">
        <w:rPr>
          <w:rFonts w:cs="Arial"/>
          <w:color w:val="000000"/>
          <w:lang w:eastAsia="en-GB"/>
        </w:rPr>
        <w:t xml:space="preserve">to 2021, however Yew Tree Road increased </w:t>
      </w:r>
      <w:bookmarkStart w:id="52" w:name="_Hlk159882253"/>
      <w:r w:rsidRPr="00C54124">
        <w:rPr>
          <w:rFonts w:cs="Arial"/>
          <w:color w:val="000000"/>
          <w:lang w:eastAsia="en-GB"/>
        </w:rPr>
        <w:t>by 5.1</w:t>
      </w:r>
      <w:r w:rsidR="00D705F2" w:rsidRPr="00C54124">
        <w:rPr>
          <w:rFonts w:cs="Arial"/>
          <w:color w:val="0B0C0C"/>
        </w:rPr>
        <w:t>µ</w:t>
      </w:r>
      <w:r w:rsidRPr="00C54124">
        <w:rPr>
          <w:rFonts w:cs="Arial"/>
          <w:color w:val="000000"/>
          <w:lang w:eastAsia="en-GB"/>
        </w:rPr>
        <w:t>g/m</w:t>
      </w:r>
      <w:r w:rsidRPr="00C54124">
        <w:rPr>
          <w:rFonts w:cs="Arial"/>
          <w:color w:val="000000"/>
          <w:vertAlign w:val="superscript"/>
          <w:lang w:eastAsia="en-GB"/>
        </w:rPr>
        <w:t>3</w:t>
      </w:r>
      <w:r w:rsidRPr="00C54124">
        <w:rPr>
          <w:rFonts w:cs="Arial"/>
          <w:color w:val="000000"/>
          <w:lang w:eastAsia="en-GB"/>
        </w:rPr>
        <w:t xml:space="preserve"> (15%) to just under the AQO at 39</w:t>
      </w:r>
      <w:r w:rsidR="00D044AE" w:rsidRPr="00C54124">
        <w:rPr>
          <w:rFonts w:cs="Arial"/>
          <w:color w:val="000000"/>
          <w:lang w:eastAsia="en-GB"/>
        </w:rPr>
        <w:t>.0</w:t>
      </w:r>
      <w:r w:rsidR="00D705F2" w:rsidRPr="00C54124">
        <w:rPr>
          <w:rFonts w:cs="Arial"/>
          <w:color w:val="0B0C0C"/>
        </w:rPr>
        <w:t>µ</w:t>
      </w:r>
      <w:r w:rsidRPr="00C54124">
        <w:rPr>
          <w:rFonts w:cs="Arial"/>
          <w:color w:val="000000"/>
          <w:lang w:eastAsia="en-GB"/>
        </w:rPr>
        <w:t>g/m</w:t>
      </w:r>
      <w:r w:rsidRPr="00C54124">
        <w:rPr>
          <w:rFonts w:cs="Arial"/>
          <w:color w:val="000000"/>
          <w:vertAlign w:val="superscript"/>
          <w:lang w:eastAsia="en-GB"/>
        </w:rPr>
        <w:t>3</w:t>
      </w:r>
      <w:r w:rsidRPr="00C54124">
        <w:rPr>
          <w:rFonts w:cs="Arial"/>
          <w:color w:val="000000"/>
          <w:lang w:eastAsia="en-GB"/>
        </w:rPr>
        <w:t>.</w:t>
      </w:r>
      <w:bookmarkEnd w:id="52"/>
      <w:r>
        <w:rPr>
          <w:rFonts w:cs="Arial"/>
          <w:color w:val="000000"/>
          <w:lang w:eastAsia="en-GB"/>
        </w:rPr>
        <w:t xml:space="preserve"> </w:t>
      </w:r>
      <w:bookmarkStart w:id="53" w:name="_Hlk159882271"/>
      <w:r>
        <w:rPr>
          <w:rFonts w:cs="Arial"/>
          <w:color w:val="000000"/>
          <w:lang w:eastAsia="en-GB"/>
        </w:rPr>
        <w:t>2022 saw a further increase to 44.2</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however once distance corrected, this falls to 36.6</w:t>
      </w:r>
      <w:r w:rsidR="00D705F2">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As this is within 10% of the AQO, 2022 cannot be considered a year of compliance for AQMA 4.</w:t>
      </w:r>
      <w:bookmarkEnd w:id="53"/>
      <w:r>
        <w:rPr>
          <w:rFonts w:cs="Arial"/>
          <w:color w:val="000000"/>
          <w:lang w:eastAsia="en-GB"/>
        </w:rPr>
        <w:t xml:space="preserve"> The earliest that revocation can be considered would therefore be 2026, but only if concentrations below 10% of the AQO are achieved from 2023 onwards. </w:t>
      </w:r>
    </w:p>
    <w:p w14:paraId="0F5952DB" w14:textId="6BA2482C" w:rsidR="00894959" w:rsidRPr="000420C9" w:rsidRDefault="00D044AE" w:rsidP="000420C9">
      <w:pPr>
        <w:pStyle w:val="AQAPText"/>
        <w:spacing w:before="240"/>
        <w:rPr>
          <w:b/>
          <w:bCs/>
          <w:color w:val="008938"/>
        </w:rPr>
      </w:pPr>
      <w:r>
        <w:rPr>
          <w:b/>
          <w:bCs/>
          <w:color w:val="008938"/>
        </w:rPr>
        <w:t xml:space="preserve">Nitrogen </w:t>
      </w:r>
      <w:r w:rsidR="002F05CA">
        <w:rPr>
          <w:b/>
          <w:bCs/>
          <w:color w:val="008938"/>
        </w:rPr>
        <w:t>d</w:t>
      </w:r>
      <w:r>
        <w:rPr>
          <w:b/>
          <w:bCs/>
          <w:color w:val="008938"/>
        </w:rPr>
        <w:t>ioxide (</w:t>
      </w:r>
      <w:r w:rsidR="00894959" w:rsidRPr="000420C9">
        <w:rPr>
          <w:b/>
          <w:bCs/>
          <w:color w:val="008938"/>
        </w:rPr>
        <w:t>NO</w:t>
      </w:r>
      <w:r w:rsidR="00894959" w:rsidRPr="000420C9">
        <w:rPr>
          <w:b/>
          <w:bCs/>
          <w:color w:val="008938"/>
          <w:vertAlign w:val="subscript"/>
        </w:rPr>
        <w:t>2</w:t>
      </w:r>
      <w:r>
        <w:rPr>
          <w:b/>
          <w:bCs/>
          <w:color w:val="008938"/>
        </w:rPr>
        <w:t>)</w:t>
      </w:r>
      <w:r w:rsidR="00894959" w:rsidRPr="000420C9">
        <w:rPr>
          <w:b/>
          <w:bCs/>
          <w:color w:val="008938"/>
        </w:rPr>
        <w:t xml:space="preserve"> outside of AQMAs</w:t>
      </w:r>
    </w:p>
    <w:p w14:paraId="70CC4764" w14:textId="7E7C0C74" w:rsidR="00894959" w:rsidRDefault="00DE1CD0" w:rsidP="000420C9">
      <w:pPr>
        <w:pStyle w:val="ListParagraph"/>
        <w:numPr>
          <w:ilvl w:val="0"/>
          <w:numId w:val="12"/>
        </w:numPr>
      </w:pPr>
      <w:r>
        <w:t>At industrial sites, r</w:t>
      </w:r>
      <w:r w:rsidR="00894959">
        <w:t>elative to 2018, the average improvement in NO</w:t>
      </w:r>
      <w:r w:rsidR="00894959" w:rsidRPr="007A76D1">
        <w:rPr>
          <w:vertAlign w:val="subscript"/>
        </w:rPr>
        <w:t>2</w:t>
      </w:r>
      <w:r w:rsidR="00894959">
        <w:t xml:space="preserve"> </w:t>
      </w:r>
      <w:r w:rsidR="00D044AE">
        <w:t>was</w:t>
      </w:r>
      <w:r w:rsidR="00894959">
        <w:t xml:space="preserve"> </w:t>
      </w:r>
      <w:r w:rsidR="00D044AE">
        <w:t>-</w:t>
      </w:r>
      <w:r w:rsidR="00894959">
        <w:t>13.1</w:t>
      </w:r>
      <w:r w:rsidR="00D705F2">
        <w:rPr>
          <w:rFonts w:cs="Arial"/>
          <w:color w:val="0B0C0C"/>
        </w:rPr>
        <w:t>µ</w:t>
      </w:r>
      <w:r w:rsidR="00894959">
        <w:t>g/m</w:t>
      </w:r>
      <w:r w:rsidR="00894959" w:rsidRPr="007D5CC7">
        <w:rPr>
          <w:vertAlign w:val="superscript"/>
        </w:rPr>
        <w:t>3</w:t>
      </w:r>
      <w:r w:rsidR="00894959">
        <w:t xml:space="preserve"> (33%), with an average year on year improvement of -3.3</w:t>
      </w:r>
      <w:r w:rsidR="00D705F2">
        <w:rPr>
          <w:rFonts w:cs="Arial"/>
          <w:color w:val="0B0C0C"/>
        </w:rPr>
        <w:t>µ</w:t>
      </w:r>
      <w:r w:rsidR="00894959">
        <w:t>g/m</w:t>
      </w:r>
      <w:r w:rsidR="00894959" w:rsidRPr="007D5CC7">
        <w:rPr>
          <w:vertAlign w:val="superscript"/>
        </w:rPr>
        <w:t>3</w:t>
      </w:r>
      <w:r w:rsidR="00894959">
        <w:t xml:space="preserve"> (8%). The biggest improvement is observed at Lakeside Road (SLO 12) by </w:t>
      </w:r>
      <w:r w:rsidR="00D044AE">
        <w:t>-</w:t>
      </w:r>
      <w:r w:rsidR="00894959">
        <w:t>16.3</w:t>
      </w:r>
      <w:r w:rsidR="007B7676">
        <w:rPr>
          <w:rFonts w:cs="Arial"/>
          <w:color w:val="0B0C0C"/>
        </w:rPr>
        <w:t>µ</w:t>
      </w:r>
      <w:r w:rsidR="00894959">
        <w:t>g/m</w:t>
      </w:r>
      <w:r w:rsidR="00894959" w:rsidRPr="007D5CC7">
        <w:rPr>
          <w:vertAlign w:val="superscript"/>
        </w:rPr>
        <w:t>3</w:t>
      </w:r>
      <w:r w:rsidR="00894959">
        <w:t xml:space="preserve"> (40%). The highest concentration in 2022 is observed at Horton Road (SLO 17), however concentrations are still far below the AQO at 28.3</w:t>
      </w:r>
      <w:r w:rsidR="007B7676">
        <w:rPr>
          <w:rFonts w:cs="Arial"/>
          <w:color w:val="0B0C0C"/>
        </w:rPr>
        <w:t>µ</w:t>
      </w:r>
      <w:r w:rsidR="00894959">
        <w:t>g/m</w:t>
      </w:r>
      <w:r w:rsidR="00894959" w:rsidRPr="007D5CC7">
        <w:rPr>
          <w:vertAlign w:val="superscript"/>
        </w:rPr>
        <w:t>3</w:t>
      </w:r>
      <w:r w:rsidR="00894959">
        <w:t xml:space="preserve">. </w:t>
      </w:r>
    </w:p>
    <w:p w14:paraId="67DBAB21" w14:textId="27D662F6" w:rsidR="00894959" w:rsidRDefault="00894959" w:rsidP="00CA4AAD">
      <w:pPr>
        <w:pStyle w:val="ListParagraph"/>
        <w:numPr>
          <w:ilvl w:val="0"/>
          <w:numId w:val="12"/>
        </w:numPr>
        <w:spacing w:before="0"/>
      </w:pPr>
      <w:r>
        <w:lastRenderedPageBreak/>
        <w:t>Roadside and kerbside sites have shown compliance with the AQO since 2018, however concentrations were very close to the AQO at Windsor Road (B) (SLO 49) in 2019, at 39.5</w:t>
      </w:r>
      <w:r w:rsidR="007B7676">
        <w:rPr>
          <w:rFonts w:cs="Arial"/>
          <w:color w:val="0B0C0C"/>
        </w:rPr>
        <w:t>µ</w:t>
      </w:r>
      <w:r>
        <w:t>g/m</w:t>
      </w:r>
      <w:r w:rsidRPr="007D5CC7">
        <w:rPr>
          <w:vertAlign w:val="superscript"/>
        </w:rPr>
        <w:t>3</w:t>
      </w:r>
      <w:r>
        <w:t xml:space="preserve">. Since 2018, concentrations have reduced by </w:t>
      </w:r>
      <w:r w:rsidR="00D044AE">
        <w:t>-</w:t>
      </w:r>
      <w:r>
        <w:t>9.0</w:t>
      </w:r>
      <w:r w:rsidR="007B7676">
        <w:rPr>
          <w:rFonts w:cs="Arial"/>
          <w:color w:val="0B0C0C"/>
        </w:rPr>
        <w:t>µ</w:t>
      </w:r>
      <w:r>
        <w:t>g/m</w:t>
      </w:r>
      <w:r w:rsidRPr="007D5CC7">
        <w:rPr>
          <w:vertAlign w:val="superscript"/>
        </w:rPr>
        <w:t>3</w:t>
      </w:r>
      <w:r>
        <w:t xml:space="preserve"> on average. The highest concentration in 2022 </w:t>
      </w:r>
      <w:r w:rsidR="00D044AE">
        <w:t>was</w:t>
      </w:r>
      <w:r>
        <w:t xml:space="preserve"> Windsor Road (B) (SLO 49) at 28.2</w:t>
      </w:r>
      <w:r w:rsidR="007B7676">
        <w:rPr>
          <w:rFonts w:cs="Arial"/>
          <w:color w:val="0B0C0C"/>
        </w:rPr>
        <w:t>µ</w:t>
      </w:r>
      <w:r>
        <w:t>g/m</w:t>
      </w:r>
      <w:r w:rsidRPr="007D5CC7">
        <w:rPr>
          <w:vertAlign w:val="superscript"/>
        </w:rPr>
        <w:t>3</w:t>
      </w:r>
      <w:r>
        <w:t xml:space="preserve">, far below the AQO. </w:t>
      </w:r>
    </w:p>
    <w:p w14:paraId="71410F17" w14:textId="17D47194" w:rsidR="00894959" w:rsidRDefault="00894959" w:rsidP="00CA4AAD">
      <w:pPr>
        <w:pStyle w:val="ListParagraph"/>
        <w:numPr>
          <w:ilvl w:val="0"/>
          <w:numId w:val="12"/>
        </w:numPr>
        <w:spacing w:before="0"/>
      </w:pPr>
      <w:r>
        <w:t xml:space="preserve">The two suburban sites at Elbow Meadows (SLO 13) and the Pippins Colnbrook </w:t>
      </w:r>
      <w:r w:rsidR="00D044AE">
        <w:t>t</w:t>
      </w:r>
      <w:r>
        <w:t>riplicate (SLO 14, SLO 15 and SLO 16) have both remained below 10% of the AQO in the last 5 years. Concentrations were at their lowest in 2021 at 17.5</w:t>
      </w:r>
      <w:r w:rsidR="007B7676">
        <w:rPr>
          <w:rFonts w:cs="Arial"/>
          <w:color w:val="0B0C0C"/>
        </w:rPr>
        <w:t>µ</w:t>
      </w:r>
      <w:r>
        <w:t>g/m</w:t>
      </w:r>
      <w:r w:rsidRPr="007D5CC7">
        <w:rPr>
          <w:vertAlign w:val="superscript"/>
        </w:rPr>
        <w:t>3</w:t>
      </w:r>
      <w:r>
        <w:t xml:space="preserve"> for the triplicate location and 19.6</w:t>
      </w:r>
      <w:r w:rsidR="007B7676">
        <w:rPr>
          <w:rFonts w:cs="Arial"/>
          <w:color w:val="0B0C0C"/>
        </w:rPr>
        <w:t>µ</w:t>
      </w:r>
      <w:r>
        <w:t>g/m</w:t>
      </w:r>
      <w:r w:rsidRPr="007D5CC7">
        <w:rPr>
          <w:vertAlign w:val="superscript"/>
        </w:rPr>
        <w:t>3</w:t>
      </w:r>
      <w:r>
        <w:t xml:space="preserve"> at Elbow Meadows. Although concentrations increased in 2022, they remain far below the AQO at a maximum of 21.9</w:t>
      </w:r>
      <w:r w:rsidR="007B7676">
        <w:rPr>
          <w:rFonts w:cs="Arial"/>
          <w:color w:val="0B0C0C"/>
        </w:rPr>
        <w:t>µ</w:t>
      </w:r>
      <w:r>
        <w:t>g/m</w:t>
      </w:r>
      <w:r w:rsidRPr="007D5CC7">
        <w:rPr>
          <w:vertAlign w:val="superscript"/>
        </w:rPr>
        <w:t>3</w:t>
      </w:r>
      <w:r>
        <w:t xml:space="preserve">. </w:t>
      </w:r>
    </w:p>
    <w:p w14:paraId="67ECDA17" w14:textId="016166B0" w:rsidR="00894959" w:rsidRDefault="00894959" w:rsidP="00CA4AAD">
      <w:pPr>
        <w:pStyle w:val="ListParagraph"/>
        <w:numPr>
          <w:ilvl w:val="0"/>
          <w:numId w:val="12"/>
        </w:numPr>
        <w:spacing w:before="0"/>
      </w:pPr>
      <w:r>
        <w:t>The six sites in Langley are described separately as they were originally deployed to determine whether the Langley area should be declared as an AQMA. The data presented in the previous ASR indicated that this would be unlikely. Concentrations were particularly high at High Street Langley (SLO 53), which peaked at 39.9</w:t>
      </w:r>
      <w:r w:rsidR="007B7676">
        <w:rPr>
          <w:rFonts w:cs="Arial"/>
          <w:color w:val="0B0C0C"/>
        </w:rPr>
        <w:t>µ</w:t>
      </w:r>
      <w:r>
        <w:t>g/m</w:t>
      </w:r>
      <w:r w:rsidRPr="007D5CC7">
        <w:rPr>
          <w:vertAlign w:val="superscript"/>
        </w:rPr>
        <w:t>3</w:t>
      </w:r>
      <w:r>
        <w:t xml:space="preserve"> in 2019. Concentrations at this location have since dropped due to the pandemic with a </w:t>
      </w:r>
      <w:r w:rsidR="00D044AE">
        <w:t>-</w:t>
      </w:r>
      <w:r>
        <w:t>12</w:t>
      </w:r>
      <w:r w:rsidR="007B7676">
        <w:rPr>
          <w:rFonts w:cs="Arial"/>
          <w:color w:val="0B0C0C"/>
        </w:rPr>
        <w:t>µ</w:t>
      </w:r>
      <w:r>
        <w:t>g/m</w:t>
      </w:r>
      <w:r w:rsidRPr="007D5CC7">
        <w:rPr>
          <w:vertAlign w:val="superscript"/>
        </w:rPr>
        <w:t>3</w:t>
      </w:r>
      <w:r>
        <w:t xml:space="preserve"> reduction (30%) in NO</w:t>
      </w:r>
      <w:r>
        <w:rPr>
          <w:vertAlign w:val="subscript"/>
        </w:rPr>
        <w:t>2</w:t>
      </w:r>
      <w:r>
        <w:t>. Since 2020, all monitoring sites have recorded concentrations below 30</w:t>
      </w:r>
      <w:r w:rsidR="007B7676">
        <w:rPr>
          <w:rFonts w:cs="Arial"/>
          <w:color w:val="0B0C0C"/>
        </w:rPr>
        <w:t>µ</w:t>
      </w:r>
      <w:r>
        <w:t>g/m</w:t>
      </w:r>
      <w:r w:rsidRPr="007D5CC7">
        <w:rPr>
          <w:vertAlign w:val="superscript"/>
        </w:rPr>
        <w:t>3</w:t>
      </w:r>
      <w:r>
        <w:t xml:space="preserve">, with an overall year on year reduction of </w:t>
      </w:r>
      <w:r w:rsidR="00D044AE">
        <w:t>-</w:t>
      </w:r>
      <w:r>
        <w:t>2.3</w:t>
      </w:r>
      <w:r w:rsidR="007B7676">
        <w:rPr>
          <w:rFonts w:cs="Arial"/>
          <w:color w:val="0B0C0C"/>
        </w:rPr>
        <w:t>µ</w:t>
      </w:r>
      <w:r>
        <w:t>g/m</w:t>
      </w:r>
      <w:r w:rsidRPr="007D5CC7">
        <w:rPr>
          <w:vertAlign w:val="superscript"/>
        </w:rPr>
        <w:t>3</w:t>
      </w:r>
      <w:r>
        <w:t xml:space="preserve"> (7%) on average since 2018.</w:t>
      </w:r>
    </w:p>
    <w:p w14:paraId="33207846" w14:textId="23E44E8C" w:rsidR="00412F35" w:rsidRPr="00C50E14" w:rsidRDefault="00894959" w:rsidP="00CC01BC">
      <w:pPr>
        <w:pStyle w:val="ListParagraph"/>
        <w:numPr>
          <w:ilvl w:val="0"/>
          <w:numId w:val="12"/>
        </w:numPr>
        <w:spacing w:before="0"/>
      </w:pPr>
      <w:r>
        <w:t xml:space="preserve">One continuous analyser outside of the AQMAs, Pippins Colnbrook (SLH 3), was operational in 2022 (but has since been discontinued). </w:t>
      </w:r>
      <w:bookmarkStart w:id="54" w:name="_Hlk137730846"/>
      <w:r>
        <w:rPr>
          <w:rFonts w:cs="Arial"/>
          <w:color w:val="000000"/>
          <w:lang w:eastAsia="en-GB"/>
        </w:rPr>
        <w:t xml:space="preserve">This site had </w:t>
      </w:r>
      <w:r w:rsidRPr="0073085E">
        <w:rPr>
          <w:rFonts w:cs="Arial"/>
          <w:color w:val="000000"/>
          <w:lang w:eastAsia="en-GB"/>
        </w:rPr>
        <w:t>the lowest year on year improvement on average at -0.2µg/m</w:t>
      </w:r>
      <w:r w:rsidRPr="0073085E">
        <w:rPr>
          <w:rFonts w:cs="Arial"/>
          <w:color w:val="000000"/>
          <w:vertAlign w:val="superscript"/>
          <w:lang w:eastAsia="en-GB"/>
        </w:rPr>
        <w:t>3</w:t>
      </w:r>
      <w:r>
        <w:rPr>
          <w:rFonts w:cs="Arial"/>
          <w:color w:val="000000"/>
          <w:vertAlign w:val="superscript"/>
          <w:lang w:eastAsia="en-GB"/>
        </w:rPr>
        <w:t xml:space="preserve"> </w:t>
      </w:r>
      <w:r>
        <w:rPr>
          <w:rFonts w:cs="Arial"/>
          <w:color w:val="000000"/>
          <w:lang w:eastAsia="en-GB"/>
        </w:rPr>
        <w:t>since 2018</w:t>
      </w:r>
      <w:r w:rsidRPr="0073085E">
        <w:rPr>
          <w:rFonts w:cs="Arial"/>
          <w:color w:val="000000"/>
          <w:lang w:eastAsia="en-GB"/>
        </w:rPr>
        <w:t xml:space="preserve">, </w:t>
      </w:r>
      <w:bookmarkEnd w:id="54"/>
      <w:r w:rsidRPr="0073085E">
        <w:rPr>
          <w:rFonts w:cs="Arial"/>
          <w:color w:val="000000"/>
          <w:lang w:eastAsia="en-GB"/>
        </w:rPr>
        <w:t>however concentrations have been very low since monitoring began</w:t>
      </w:r>
      <w:r>
        <w:rPr>
          <w:rFonts w:cs="Arial"/>
          <w:color w:val="000000"/>
          <w:lang w:eastAsia="en-GB"/>
        </w:rPr>
        <w:t>, averaging at 20.6</w:t>
      </w:r>
      <w:r w:rsidR="007B7676">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 xml:space="preserve"> from 2018 to 2022</w:t>
      </w:r>
      <w:r w:rsidRPr="0073085E">
        <w:rPr>
          <w:rFonts w:cs="Arial"/>
          <w:color w:val="000000"/>
          <w:lang w:eastAsia="en-GB"/>
        </w:rPr>
        <w:t>. This is expected given the monitor’s background location.</w:t>
      </w:r>
      <w:bookmarkEnd w:id="48"/>
    </w:p>
    <w:p w14:paraId="35B2B243" w14:textId="329B08EE" w:rsidR="003C0339" w:rsidRPr="000420C9" w:rsidRDefault="003C0339" w:rsidP="000420C9">
      <w:pPr>
        <w:pStyle w:val="AQAPText"/>
        <w:spacing w:before="240"/>
        <w:rPr>
          <w:b/>
          <w:bCs/>
          <w:color w:val="008938"/>
        </w:rPr>
      </w:pPr>
      <w:r w:rsidRPr="000420C9">
        <w:rPr>
          <w:b/>
          <w:bCs/>
          <w:color w:val="008938"/>
        </w:rPr>
        <w:t>PM</w:t>
      </w:r>
      <w:r w:rsidRPr="00D044AE">
        <w:rPr>
          <w:b/>
          <w:bCs/>
          <w:color w:val="008938"/>
          <w:vertAlign w:val="subscript"/>
        </w:rPr>
        <w:t>10</w:t>
      </w:r>
      <w:r w:rsidRPr="000420C9">
        <w:rPr>
          <w:b/>
          <w:bCs/>
          <w:color w:val="008938"/>
        </w:rPr>
        <w:t xml:space="preserve"> </w:t>
      </w:r>
      <w:r w:rsidR="00894959" w:rsidRPr="000420C9">
        <w:rPr>
          <w:b/>
          <w:bCs/>
          <w:color w:val="008938"/>
        </w:rPr>
        <w:t xml:space="preserve">in Slough </w:t>
      </w:r>
    </w:p>
    <w:p w14:paraId="236D8CAF" w14:textId="4E7EC877" w:rsidR="003C0339" w:rsidRPr="00D840B8" w:rsidRDefault="003C0339" w:rsidP="003C0339">
      <w:pPr>
        <w:rPr>
          <w:noProof/>
        </w:rPr>
      </w:pPr>
      <w:bookmarkStart w:id="55" w:name="_Hlk159881569"/>
      <w:r>
        <w:rPr>
          <w:noProof/>
        </w:rPr>
        <w:t xml:space="preserve">In 2022, </w:t>
      </w:r>
      <w:r w:rsidRPr="001A4894">
        <w:rPr>
          <w:noProof/>
        </w:rPr>
        <w:t>Slough monitor</w:t>
      </w:r>
      <w:r>
        <w:rPr>
          <w:noProof/>
        </w:rPr>
        <w:t>ed</w:t>
      </w:r>
      <w:r w:rsidRPr="001A4894">
        <w:rPr>
          <w:noProof/>
        </w:rPr>
        <w:t xml:space="preserve"> PM</w:t>
      </w:r>
      <w:r w:rsidRPr="00D46642">
        <w:rPr>
          <w:noProof/>
          <w:vertAlign w:val="subscript"/>
        </w:rPr>
        <w:t>10</w:t>
      </w:r>
      <w:r w:rsidRPr="001A4894">
        <w:rPr>
          <w:noProof/>
        </w:rPr>
        <w:t xml:space="preserve"> within AQMA 1 (Spackmans Way</w:t>
      </w:r>
      <w:r w:rsidR="00D044AE">
        <w:rPr>
          <w:noProof/>
        </w:rPr>
        <w:t>,</w:t>
      </w:r>
      <w:r>
        <w:rPr>
          <w:noProof/>
        </w:rPr>
        <w:t xml:space="preserve"> SLH 13</w:t>
      </w:r>
      <w:r w:rsidRPr="001A4894">
        <w:rPr>
          <w:noProof/>
        </w:rPr>
        <w:t>), AQMA 2 (Brands Hill</w:t>
      </w:r>
      <w:r w:rsidR="00D044AE">
        <w:rPr>
          <w:noProof/>
        </w:rPr>
        <w:t xml:space="preserve">, </w:t>
      </w:r>
      <w:r>
        <w:rPr>
          <w:noProof/>
        </w:rPr>
        <w:t>SLH 11</w:t>
      </w:r>
      <w:r w:rsidRPr="001A4894">
        <w:rPr>
          <w:noProof/>
        </w:rPr>
        <w:t>), AQMA 3 Extension (Windmill</w:t>
      </w:r>
      <w:r w:rsidR="00D044AE">
        <w:rPr>
          <w:noProof/>
        </w:rPr>
        <w:t>,</w:t>
      </w:r>
      <w:r>
        <w:rPr>
          <w:noProof/>
        </w:rPr>
        <w:t xml:space="preserve"> SLH 12</w:t>
      </w:r>
      <w:r w:rsidRPr="001A4894">
        <w:rPr>
          <w:noProof/>
        </w:rPr>
        <w:t>)</w:t>
      </w:r>
      <w:r>
        <w:rPr>
          <w:noProof/>
        </w:rPr>
        <w:t>,</w:t>
      </w:r>
      <w:r w:rsidRPr="001A4894">
        <w:rPr>
          <w:noProof/>
        </w:rPr>
        <w:t xml:space="preserve"> and outside of the AQMAs at the EfW site</w:t>
      </w:r>
      <w:r>
        <w:rPr>
          <w:noProof/>
        </w:rPr>
        <w:t xml:space="preserve"> and at Pippins Colnbrook </w:t>
      </w:r>
      <w:r w:rsidR="00D044AE">
        <w:rPr>
          <w:noProof/>
        </w:rPr>
        <w:t>(</w:t>
      </w:r>
      <w:r>
        <w:rPr>
          <w:noProof/>
        </w:rPr>
        <w:t>SLH 3</w:t>
      </w:r>
      <w:r w:rsidR="00D044AE">
        <w:rPr>
          <w:noProof/>
        </w:rPr>
        <w:t>)</w:t>
      </w:r>
      <w:r>
        <w:rPr>
          <w:noProof/>
        </w:rPr>
        <w:t xml:space="preserve"> (only until March 2022).</w:t>
      </w:r>
      <w:r w:rsidRPr="001A4894">
        <w:rPr>
          <w:noProof/>
        </w:rPr>
        <w:t xml:space="preserve"> Due to the health effects associated with particulate matter, Slough Borough Council strive</w:t>
      </w:r>
      <w:r>
        <w:rPr>
          <w:noProof/>
        </w:rPr>
        <w:t>s</w:t>
      </w:r>
      <w:r w:rsidRPr="001A4894">
        <w:rPr>
          <w:noProof/>
        </w:rPr>
        <w:t xml:space="preserve"> to reduce concentrations as </w:t>
      </w:r>
      <w:r>
        <w:rPr>
          <w:noProof/>
        </w:rPr>
        <w:t>much</w:t>
      </w:r>
      <w:r w:rsidRPr="001A4894">
        <w:rPr>
          <w:noProof/>
        </w:rPr>
        <w:t xml:space="preserve"> as possible, however in some locations, progress is slow</w:t>
      </w:r>
      <w:r>
        <w:rPr>
          <w:noProof/>
        </w:rPr>
        <w:t xml:space="preserve">. The greatest year on year improvement from 2018 to 2022 on </w:t>
      </w:r>
      <w:r>
        <w:rPr>
          <w:noProof/>
        </w:rPr>
        <w:lastRenderedPageBreak/>
        <w:t>average is -1.4</w:t>
      </w:r>
      <w:r w:rsidRPr="00E33DDC">
        <w:t>µg/m</w:t>
      </w:r>
      <w:r w:rsidRPr="00E33DDC">
        <w:rPr>
          <w:vertAlign w:val="superscript"/>
        </w:rPr>
        <w:t>3</w:t>
      </w:r>
      <w:r>
        <w:rPr>
          <w:noProof/>
        </w:rPr>
        <w:t xml:space="preserve"> (5%) observed at Brands Hill (SLH 11) whilst Lakeside 2 (SLH 9) has seen a greater fluctation with an overall worsening of PM</w:t>
      </w:r>
      <w:r>
        <w:rPr>
          <w:noProof/>
          <w:vertAlign w:val="subscript"/>
        </w:rPr>
        <w:t>10</w:t>
      </w:r>
      <w:r>
        <w:rPr>
          <w:noProof/>
        </w:rPr>
        <w:t xml:space="preserve"> by +0.9</w:t>
      </w:r>
      <w:r w:rsidRPr="00E33DDC">
        <w:t>µg/m</w:t>
      </w:r>
      <w:r w:rsidRPr="00E33DDC">
        <w:rPr>
          <w:vertAlign w:val="superscript"/>
        </w:rPr>
        <w:t>3</w:t>
      </w:r>
      <w:r>
        <w:t xml:space="preserve"> (9%) on average across the time series.</w:t>
      </w:r>
    </w:p>
    <w:p w14:paraId="3CBACEF8" w14:textId="18A89193" w:rsidR="003C0339" w:rsidRDefault="003C0339" w:rsidP="003C0339">
      <w:r>
        <w:rPr>
          <w:noProof/>
        </w:rPr>
        <w:t>Prior to 2022, the</w:t>
      </w:r>
      <w:r w:rsidRPr="001A4894">
        <w:rPr>
          <w:noProof/>
        </w:rPr>
        <w:t xml:space="preserve"> </w:t>
      </w:r>
      <w:r>
        <w:rPr>
          <w:noProof/>
        </w:rPr>
        <w:t>five</w:t>
      </w:r>
      <w:r w:rsidRPr="001A4894">
        <w:rPr>
          <w:noProof/>
        </w:rPr>
        <w:t xml:space="preserve"> year trend </w:t>
      </w:r>
      <w:r>
        <w:rPr>
          <w:noProof/>
        </w:rPr>
        <w:t>had</w:t>
      </w:r>
      <w:r w:rsidRPr="001A4894">
        <w:rPr>
          <w:noProof/>
        </w:rPr>
        <w:t xml:space="preserve"> shown </w:t>
      </w:r>
      <w:r>
        <w:rPr>
          <w:noProof/>
        </w:rPr>
        <w:t>a gradual decline o</w:t>
      </w:r>
      <w:r w:rsidRPr="001A4894">
        <w:rPr>
          <w:noProof/>
        </w:rPr>
        <w:t xml:space="preserve">ver the monitoring period, </w:t>
      </w:r>
      <w:r>
        <w:rPr>
          <w:noProof/>
        </w:rPr>
        <w:t>however 2022 saw an increase in PM</w:t>
      </w:r>
      <w:r>
        <w:rPr>
          <w:noProof/>
          <w:vertAlign w:val="subscript"/>
        </w:rPr>
        <w:t>10</w:t>
      </w:r>
      <w:r>
        <w:rPr>
          <w:noProof/>
        </w:rPr>
        <w:t xml:space="preserve"> at five of the six monitoring sites by +1.9</w:t>
      </w:r>
      <w:r w:rsidRPr="00E33DDC">
        <w:t>µg/m</w:t>
      </w:r>
      <w:r w:rsidRPr="00E33DDC">
        <w:rPr>
          <w:vertAlign w:val="superscript"/>
        </w:rPr>
        <w:t>3</w:t>
      </w:r>
      <w:r>
        <w:rPr>
          <w:vertAlign w:val="subscript"/>
        </w:rPr>
        <w:t xml:space="preserve"> </w:t>
      </w:r>
      <w:r>
        <w:t>on average, the greatest being an increase of +5.7</w:t>
      </w:r>
      <w:r w:rsidRPr="00E33DDC">
        <w:t>µg/m</w:t>
      </w:r>
      <w:r w:rsidRPr="00E33DDC">
        <w:rPr>
          <w:vertAlign w:val="superscript"/>
        </w:rPr>
        <w:t>3</w:t>
      </w:r>
      <w:r>
        <w:t xml:space="preserve"> observed at Lakeside 2 (SLH 9). This site however is monitored using an Osiris which is indicative only, therefore this data may be more unreliable relative to MCERTS accredited monitors. Comparing to the co-located </w:t>
      </w:r>
      <w:r w:rsidR="00F77171">
        <w:t>PM</w:t>
      </w:r>
      <w:r w:rsidR="00F77171">
        <w:rPr>
          <w:vertAlign w:val="subscript"/>
        </w:rPr>
        <w:t>10</w:t>
      </w:r>
      <w:r w:rsidR="00F77171">
        <w:t xml:space="preserve"> monitor (</w:t>
      </w:r>
      <w:r>
        <w:t>BAM</w:t>
      </w:r>
      <w:r w:rsidR="00F77171">
        <w:t>)</w:t>
      </w:r>
      <w:r>
        <w:t xml:space="preserve"> (SLH 8), the data shows an increase but at a lower value of +2.1</w:t>
      </w:r>
      <w:r w:rsidRPr="00E33DDC">
        <w:t>µg/</w:t>
      </w:r>
      <w:r w:rsidRPr="00D840B8">
        <w:t>m</w:t>
      </w:r>
      <w:r w:rsidRPr="00D840B8">
        <w:rPr>
          <w:vertAlign w:val="superscript"/>
        </w:rPr>
        <w:t>3</w:t>
      </w:r>
      <w:r>
        <w:t>.</w:t>
      </w:r>
    </w:p>
    <w:bookmarkEnd w:id="55"/>
    <w:p w14:paraId="65A2DF2D" w14:textId="5403B347" w:rsidR="003C0339" w:rsidRDefault="003C0339" w:rsidP="003C0339">
      <w:pPr>
        <w:rPr>
          <w:noProof/>
        </w:rPr>
      </w:pPr>
      <w:r w:rsidRPr="00D840B8">
        <w:t>Brands</w:t>
      </w:r>
      <w:r>
        <w:t xml:space="preserve"> Hill (SLH 11) was the only site that saw an improvement in PM</w:t>
      </w:r>
      <w:r>
        <w:rPr>
          <w:vertAlign w:val="subscript"/>
        </w:rPr>
        <w:t>10</w:t>
      </w:r>
      <w:r>
        <w:t xml:space="preserve"> from 2021 to 2022 by -1.3</w:t>
      </w:r>
      <w:r w:rsidRPr="00E33DDC">
        <w:t>µg/m</w:t>
      </w:r>
      <w:r w:rsidRPr="00E33DDC">
        <w:rPr>
          <w:vertAlign w:val="superscript"/>
        </w:rPr>
        <w:t>3</w:t>
      </w:r>
      <w:r>
        <w:t>, however all sites have remained far below the AQO over the five year period.</w:t>
      </w:r>
      <w:r w:rsidRPr="001A4894">
        <w:rPr>
          <w:noProof/>
        </w:rPr>
        <w:t xml:space="preserve"> </w:t>
      </w:r>
      <w:r>
        <w:rPr>
          <w:noProof/>
        </w:rPr>
        <w:t xml:space="preserve">In reference to the </w:t>
      </w:r>
      <w:r w:rsidRPr="00C54124">
        <w:rPr>
          <w:noProof/>
        </w:rPr>
        <w:t xml:space="preserve">WHO 2021 </w:t>
      </w:r>
      <w:r w:rsidR="00C54124" w:rsidRPr="00C54124">
        <w:rPr>
          <w:noProof/>
        </w:rPr>
        <w:t>air q</w:t>
      </w:r>
      <w:r w:rsidR="00C54124">
        <w:rPr>
          <w:noProof/>
        </w:rPr>
        <w:t>uality guidelines</w:t>
      </w:r>
      <w:r>
        <w:rPr>
          <w:noProof/>
        </w:rPr>
        <w:t xml:space="preserve">, all but one site </w:t>
      </w:r>
      <w:r>
        <w:t xml:space="preserve">(Lakeside 2, SLH 8) </w:t>
      </w:r>
      <w:r>
        <w:rPr>
          <w:noProof/>
        </w:rPr>
        <w:t>exceeded the air quality guideline level of 15</w:t>
      </w:r>
      <w:r w:rsidRPr="00E33DDC">
        <w:t>µg/m</w:t>
      </w:r>
      <w:r w:rsidRPr="00E33DDC">
        <w:rPr>
          <w:vertAlign w:val="superscript"/>
        </w:rPr>
        <w:t>3</w:t>
      </w:r>
      <w:r>
        <w:t xml:space="preserve">, therefore it is evident that </w:t>
      </w:r>
      <w:r w:rsidRPr="001A4894">
        <w:rPr>
          <w:noProof/>
        </w:rPr>
        <w:t>further initiatives are required to reduce concentrations</w:t>
      </w:r>
      <w:r w:rsidR="00F77171">
        <w:rPr>
          <w:noProof/>
        </w:rPr>
        <w:t xml:space="preserve"> in the interest of public health</w:t>
      </w:r>
      <w:r w:rsidRPr="001A4894">
        <w:rPr>
          <w:noProof/>
        </w:rPr>
        <w:t>.</w:t>
      </w:r>
    </w:p>
    <w:p w14:paraId="3458AE72" w14:textId="77777777" w:rsidR="003C0339" w:rsidRDefault="003C0339" w:rsidP="003C0339">
      <w:pPr>
        <w:rPr>
          <w:noProof/>
        </w:rPr>
      </w:pPr>
      <w:r>
        <w:rPr>
          <w:noProof/>
        </w:rPr>
        <w:t>In regards to the 24 hour mean, the trend from 2018 to 2022 shows a gradual decrease in the number of exceedances per year at Pippins Colnbrook (SLH 3), and Brands Hill (SLH 11), whereas Windmill (SLH 12), Lakeside 2 (SLH 9) and Spackmans Way (SLH 13) have seen an increase from 2021 to 2022.</w:t>
      </w:r>
    </w:p>
    <w:p w14:paraId="47792376" w14:textId="00B26689" w:rsidR="003C0339" w:rsidRPr="000420C9" w:rsidRDefault="003C0339" w:rsidP="000420C9">
      <w:pPr>
        <w:pStyle w:val="AQAPText"/>
        <w:spacing w:before="240"/>
        <w:rPr>
          <w:b/>
          <w:bCs/>
          <w:color w:val="008938"/>
        </w:rPr>
      </w:pPr>
      <w:r w:rsidRPr="000420C9">
        <w:rPr>
          <w:b/>
          <w:bCs/>
          <w:color w:val="008938"/>
        </w:rPr>
        <w:t>PM</w:t>
      </w:r>
      <w:r w:rsidRPr="00F77171">
        <w:rPr>
          <w:b/>
          <w:bCs/>
          <w:color w:val="008938"/>
          <w:vertAlign w:val="subscript"/>
        </w:rPr>
        <w:t>2.5</w:t>
      </w:r>
      <w:r w:rsidRPr="000420C9">
        <w:rPr>
          <w:b/>
          <w:bCs/>
          <w:color w:val="008938"/>
        </w:rPr>
        <w:t xml:space="preserve"> </w:t>
      </w:r>
      <w:r w:rsidR="00894959" w:rsidRPr="000420C9">
        <w:rPr>
          <w:b/>
          <w:bCs/>
          <w:color w:val="008938"/>
        </w:rPr>
        <w:t>in Slough</w:t>
      </w:r>
    </w:p>
    <w:p w14:paraId="0D5247A7" w14:textId="6939CCC6" w:rsidR="003C0339" w:rsidRDefault="003C0339" w:rsidP="003C0339">
      <w:pPr>
        <w:rPr>
          <w:rFonts w:cs="Arial"/>
          <w:color w:val="000000"/>
          <w:lang w:eastAsia="en-GB"/>
        </w:rPr>
      </w:pPr>
      <w:r w:rsidRPr="00D21E0F">
        <w:t>PM</w:t>
      </w:r>
      <w:r w:rsidRPr="00D46642">
        <w:rPr>
          <w:vertAlign w:val="subscript"/>
        </w:rPr>
        <w:t>2.5</w:t>
      </w:r>
      <w:r w:rsidRPr="00CE06F6">
        <w:rPr>
          <w:noProof/>
        </w:rPr>
        <w:t xml:space="preserve"> is the pollutant which has the biggest impact on public health and on which the Public Health Outcomes Framework (PHOF) indicator </w:t>
      </w:r>
      <w:r w:rsidRPr="00C54124">
        <w:rPr>
          <w:noProof/>
        </w:rPr>
        <w:t xml:space="preserve">is based. </w:t>
      </w:r>
      <w:r w:rsidRPr="00C54124">
        <w:t>P</w:t>
      </w:r>
      <w:r w:rsidRPr="00D21E0F">
        <w:t>M</w:t>
      </w:r>
      <w:r w:rsidRPr="00D46642">
        <w:rPr>
          <w:vertAlign w:val="subscript"/>
        </w:rPr>
        <w:t>2.5</w:t>
      </w:r>
      <w:r w:rsidRPr="00CE06F6">
        <w:rPr>
          <w:noProof/>
        </w:rPr>
        <w:t xml:space="preserve"> is monitored at one location in Slough (Osiris at Lakeside 2 EfW – SLO 9)</w:t>
      </w:r>
      <w:r>
        <w:rPr>
          <w:noProof/>
        </w:rPr>
        <w:t xml:space="preserve"> (a</w:t>
      </w:r>
      <w:r w:rsidRPr="00CE06F6">
        <w:rPr>
          <w:noProof/>
        </w:rPr>
        <w:t xml:space="preserve"> number of Slough operated Osiris units were discontinued after 2</w:t>
      </w:r>
      <w:r w:rsidRPr="001922FE">
        <w:rPr>
          <w:noProof/>
        </w:rPr>
        <w:t xml:space="preserve">019). </w:t>
      </w:r>
      <w:r>
        <w:rPr>
          <w:noProof/>
        </w:rPr>
        <w:t>Concentrations of PM</w:t>
      </w:r>
      <w:r>
        <w:rPr>
          <w:noProof/>
          <w:vertAlign w:val="subscript"/>
        </w:rPr>
        <w:t>2.5</w:t>
      </w:r>
      <w:r>
        <w:rPr>
          <w:noProof/>
        </w:rPr>
        <w:t xml:space="preserve"> have worsened from 2021 to 2022 by +2.1</w:t>
      </w:r>
      <w:r w:rsidRPr="00D726F0">
        <w:rPr>
          <w:rFonts w:cs="Arial"/>
          <w:color w:val="000000"/>
          <w:lang w:eastAsia="en-GB"/>
        </w:rPr>
        <w:t>µg/m</w:t>
      </w:r>
      <w:r w:rsidRPr="00D726F0">
        <w:rPr>
          <w:rFonts w:cs="Arial"/>
          <w:color w:val="000000"/>
          <w:vertAlign w:val="superscript"/>
          <w:lang w:eastAsia="en-GB"/>
        </w:rPr>
        <w:t>3</w:t>
      </w:r>
      <w:r>
        <w:rPr>
          <w:rFonts w:cs="Arial"/>
          <w:color w:val="000000"/>
          <w:lang w:eastAsia="en-GB"/>
        </w:rPr>
        <w:t>, with 2022 showing the highest concentration recorded over the last five years at 7.6</w:t>
      </w:r>
      <w:r w:rsidR="007B7676">
        <w:rPr>
          <w:rFonts w:cs="Arial"/>
          <w:color w:val="0B0C0C"/>
        </w:rPr>
        <w:t>µ</w:t>
      </w:r>
      <w:r>
        <w:rPr>
          <w:rFonts w:cs="Arial"/>
          <w:color w:val="000000"/>
          <w:lang w:eastAsia="en-GB"/>
        </w:rPr>
        <w:t>g/m</w:t>
      </w:r>
      <w:r w:rsidRPr="007D5CC7">
        <w:rPr>
          <w:rFonts w:cs="Arial"/>
          <w:color w:val="000000"/>
          <w:vertAlign w:val="superscript"/>
          <w:lang w:eastAsia="en-GB"/>
        </w:rPr>
        <w:t>3</w:t>
      </w:r>
      <w:r>
        <w:rPr>
          <w:rFonts w:cs="Arial"/>
          <w:color w:val="000000"/>
          <w:lang w:eastAsia="en-GB"/>
        </w:rPr>
        <w:t>.</w:t>
      </w:r>
    </w:p>
    <w:p w14:paraId="72321093" w14:textId="6675FE37" w:rsidR="007259AA" w:rsidRDefault="003C0339" w:rsidP="00412F35">
      <w:pPr>
        <w:pStyle w:val="Style1"/>
      </w:pPr>
      <w:r>
        <w:rPr>
          <w:noProof/>
        </w:rPr>
        <w:t xml:space="preserve">As Slough only has one location monitoring </w:t>
      </w:r>
      <w:r w:rsidRPr="00B803B3">
        <w:rPr>
          <w:noProof/>
        </w:rPr>
        <w:t>PM</w:t>
      </w:r>
      <w:r w:rsidRPr="00B803B3">
        <w:rPr>
          <w:noProof/>
          <w:vertAlign w:val="subscript"/>
        </w:rPr>
        <w:t>2.5</w:t>
      </w:r>
      <w:r>
        <w:rPr>
          <w:noProof/>
        </w:rPr>
        <w:t>,</w:t>
      </w:r>
      <w:r w:rsidRPr="00B803B3">
        <w:rPr>
          <w:noProof/>
        </w:rPr>
        <w:softHyphen/>
        <w:t xml:space="preserve"> </w:t>
      </w:r>
      <w:r w:rsidRPr="00B803B3">
        <w:rPr>
          <w:noProof/>
        </w:rPr>
        <w:softHyphen/>
        <w:t>an exercise</w:t>
      </w:r>
      <w:r w:rsidRPr="00CE06F6">
        <w:rPr>
          <w:noProof/>
        </w:rPr>
        <w:t xml:space="preserve"> </w:t>
      </w:r>
      <w:r w:rsidR="00F77171">
        <w:rPr>
          <w:noProof/>
        </w:rPr>
        <w:t>was</w:t>
      </w:r>
      <w:r w:rsidRPr="00CE06F6">
        <w:rPr>
          <w:noProof/>
        </w:rPr>
        <w:t xml:space="preserve"> completed</w:t>
      </w:r>
      <w:r w:rsidR="00F77171">
        <w:rPr>
          <w:noProof/>
        </w:rPr>
        <w:t xml:space="preserve"> within ASR 2023</w:t>
      </w:r>
      <w:r w:rsidRPr="00CE06F6">
        <w:rPr>
          <w:noProof/>
        </w:rPr>
        <w:t xml:space="preserve"> to estimate </w:t>
      </w:r>
      <w:r w:rsidRPr="00D21E0F">
        <w:t>PM</w:t>
      </w:r>
      <w:r w:rsidRPr="00D46642">
        <w:rPr>
          <w:vertAlign w:val="subscript"/>
        </w:rPr>
        <w:t>2.5</w:t>
      </w:r>
      <w:r w:rsidRPr="00CE06F6">
        <w:rPr>
          <w:noProof/>
        </w:rPr>
        <w:t xml:space="preserve"> from </w:t>
      </w:r>
      <w:r w:rsidRPr="001A4894">
        <w:rPr>
          <w:noProof/>
        </w:rPr>
        <w:t>PM</w:t>
      </w:r>
      <w:r w:rsidRPr="00D46642">
        <w:rPr>
          <w:noProof/>
          <w:vertAlign w:val="subscript"/>
        </w:rPr>
        <w:t>10</w:t>
      </w:r>
      <w:r w:rsidRPr="00CE06F6">
        <w:rPr>
          <w:noProof/>
        </w:rPr>
        <w:t xml:space="preserve"> monitoring data</w:t>
      </w:r>
      <w:r>
        <w:rPr>
          <w:noProof/>
        </w:rPr>
        <w:t>, t</w:t>
      </w:r>
      <w:r w:rsidRPr="00CE06F6">
        <w:rPr>
          <w:noProof/>
        </w:rPr>
        <w:t xml:space="preserve">o provide further insight into likely </w:t>
      </w:r>
      <w:r w:rsidRPr="00D21E0F">
        <w:t>PM</w:t>
      </w:r>
      <w:r w:rsidRPr="00D46642">
        <w:rPr>
          <w:vertAlign w:val="subscript"/>
        </w:rPr>
        <w:t>2.5</w:t>
      </w:r>
      <w:r w:rsidRPr="00CE06F6">
        <w:rPr>
          <w:noProof/>
        </w:rPr>
        <w:t xml:space="preserve"> concentrations across Slough</w:t>
      </w:r>
      <w:r>
        <w:rPr>
          <w:noProof/>
        </w:rPr>
        <w:t>. The results indicate that all calculated PM</w:t>
      </w:r>
      <w:r>
        <w:rPr>
          <w:noProof/>
          <w:vertAlign w:val="subscript"/>
        </w:rPr>
        <w:t>2.5</w:t>
      </w:r>
      <w:r>
        <w:rPr>
          <w:noProof/>
        </w:rPr>
        <w:t xml:space="preserve"> results are below the annual objective, however two of the four sites active in </w:t>
      </w:r>
      <w:r>
        <w:rPr>
          <w:noProof/>
        </w:rPr>
        <w:lastRenderedPageBreak/>
        <w:t>2022 show an exceedance of the interim 2028 target level of 12</w:t>
      </w:r>
      <w:r w:rsidRPr="00D726F0">
        <w:rPr>
          <w:rFonts w:cs="Arial"/>
          <w:color w:val="000000"/>
          <w:lang w:eastAsia="en-GB"/>
        </w:rPr>
        <w:t>µg/m</w:t>
      </w:r>
      <w:r w:rsidRPr="00D726F0">
        <w:rPr>
          <w:rFonts w:cs="Arial"/>
          <w:color w:val="000000"/>
          <w:vertAlign w:val="superscript"/>
          <w:lang w:eastAsia="en-GB"/>
        </w:rPr>
        <w:t>3</w:t>
      </w:r>
      <w:r>
        <w:rPr>
          <w:rFonts w:cs="Arial"/>
          <w:color w:val="000000"/>
          <w:lang w:eastAsia="en-GB"/>
        </w:rPr>
        <w:t xml:space="preserve"> at Brands Hill (SLH 11) and Windmill (SLH 12) at 16.7</w:t>
      </w:r>
      <w:r w:rsidRPr="00D726F0">
        <w:rPr>
          <w:rFonts w:cs="Arial"/>
          <w:color w:val="000000"/>
          <w:lang w:eastAsia="en-GB"/>
        </w:rPr>
        <w:t>µg/m</w:t>
      </w:r>
      <w:r w:rsidRPr="00D726F0">
        <w:rPr>
          <w:rFonts w:cs="Arial"/>
          <w:color w:val="000000"/>
          <w:vertAlign w:val="superscript"/>
          <w:lang w:eastAsia="en-GB"/>
        </w:rPr>
        <w:t>3</w:t>
      </w:r>
      <w:r>
        <w:rPr>
          <w:rFonts w:cs="Arial"/>
          <w:color w:val="000000"/>
          <w:lang w:eastAsia="en-GB"/>
        </w:rPr>
        <w:t xml:space="preserve"> and 13.4</w:t>
      </w:r>
      <w:r w:rsidRPr="00D726F0">
        <w:rPr>
          <w:rFonts w:cs="Arial"/>
          <w:color w:val="000000"/>
          <w:lang w:eastAsia="en-GB"/>
        </w:rPr>
        <w:t>µg/m</w:t>
      </w:r>
      <w:r w:rsidRPr="00D726F0">
        <w:rPr>
          <w:rFonts w:cs="Arial"/>
          <w:color w:val="000000"/>
          <w:vertAlign w:val="superscript"/>
          <w:lang w:eastAsia="en-GB"/>
        </w:rPr>
        <w:t>3</w:t>
      </w:r>
      <w:r>
        <w:rPr>
          <w:rFonts w:cs="Arial"/>
          <w:color w:val="000000"/>
          <w:lang w:eastAsia="en-GB"/>
        </w:rPr>
        <w:t xml:space="preserve">, respectively. Although the trend at Brands Hill shows improvement from 2018 to 2022, falling by </w:t>
      </w:r>
      <w:r w:rsidR="00F77171">
        <w:rPr>
          <w:rFonts w:cs="Arial"/>
          <w:color w:val="000000"/>
          <w:lang w:eastAsia="en-GB"/>
        </w:rPr>
        <w:t>-</w:t>
      </w:r>
      <w:r>
        <w:rPr>
          <w:rFonts w:cs="Arial"/>
          <w:color w:val="000000"/>
          <w:lang w:eastAsia="en-GB"/>
        </w:rPr>
        <w:t>3.4</w:t>
      </w:r>
      <w:r w:rsidRPr="00D726F0">
        <w:rPr>
          <w:rFonts w:cs="Arial"/>
          <w:color w:val="000000"/>
          <w:lang w:eastAsia="en-GB"/>
        </w:rPr>
        <w:t>µg/m</w:t>
      </w:r>
      <w:r w:rsidRPr="00D726F0">
        <w:rPr>
          <w:rFonts w:cs="Arial"/>
          <w:color w:val="000000"/>
          <w:vertAlign w:val="superscript"/>
          <w:lang w:eastAsia="en-GB"/>
        </w:rPr>
        <w:t>3</w:t>
      </w:r>
      <w:r>
        <w:rPr>
          <w:rFonts w:cs="Arial"/>
          <w:color w:val="000000"/>
          <w:lang w:eastAsia="en-GB"/>
        </w:rPr>
        <w:t xml:space="preserve"> over the time series, it is clear that further intervention is required to bring this concentration down to 12</w:t>
      </w:r>
      <w:r w:rsidRPr="00D726F0">
        <w:rPr>
          <w:rFonts w:cs="Arial"/>
          <w:color w:val="000000"/>
          <w:lang w:eastAsia="en-GB"/>
        </w:rPr>
        <w:t>µg/m</w:t>
      </w:r>
      <w:r w:rsidRPr="00D726F0">
        <w:rPr>
          <w:rFonts w:cs="Arial"/>
          <w:color w:val="000000"/>
          <w:vertAlign w:val="superscript"/>
          <w:lang w:eastAsia="en-GB"/>
        </w:rPr>
        <w:t>3</w:t>
      </w:r>
      <w:r>
        <w:rPr>
          <w:rFonts w:cs="Arial"/>
          <w:color w:val="000000"/>
          <w:vertAlign w:val="subscript"/>
          <w:lang w:eastAsia="en-GB"/>
        </w:rPr>
        <w:t xml:space="preserve"> </w:t>
      </w:r>
      <w:r>
        <w:rPr>
          <w:noProof/>
        </w:rPr>
        <w:t>by the target date of 2028. All sites are above the WHO 2021 AQG level and only Spackmans Way (SLH 13) falls below the WHO 2005 AQG level.</w:t>
      </w:r>
    </w:p>
    <w:p w14:paraId="0681CA1D" w14:textId="5B6A083D" w:rsidR="008954E2" w:rsidRPr="003C0339" w:rsidRDefault="00514E66" w:rsidP="0025036F">
      <w:pPr>
        <w:pStyle w:val="Heading2"/>
        <w:numPr>
          <w:ilvl w:val="1"/>
          <w:numId w:val="69"/>
        </w:numPr>
      </w:pPr>
      <w:bookmarkStart w:id="56" w:name="_Toc160129555"/>
      <w:bookmarkEnd w:id="49"/>
      <w:r w:rsidRPr="00514E66">
        <w:t>Summary</w:t>
      </w:r>
      <w:r w:rsidR="00E65E08">
        <w:t xml:space="preserve"> of air quality trends in Slough</w:t>
      </w:r>
      <w:bookmarkEnd w:id="56"/>
    </w:p>
    <w:p w14:paraId="4A2C7687" w14:textId="2622A7EE" w:rsidR="00514E66" w:rsidRPr="00DD505B" w:rsidRDefault="00EB31D1" w:rsidP="008954E2">
      <w:pPr>
        <w:spacing w:before="0"/>
      </w:pPr>
      <w:bookmarkStart w:id="57" w:name="_Hlk159881199"/>
      <w:r>
        <w:t>Overall, both NO</w:t>
      </w:r>
      <w:r>
        <w:rPr>
          <w:vertAlign w:val="subscript"/>
        </w:rPr>
        <w:t>2</w:t>
      </w:r>
      <w:r>
        <w:t xml:space="preserve"> and PM have improved over the last 5 years. The pandemic accelerated this improvement, which has been sustained across a number of monitoring sites. Despite this improvement</w:t>
      </w:r>
      <w:r w:rsidR="00514E66">
        <w:t>, more needs to be done to meet compliance across the AQMAs in their entirety</w:t>
      </w:r>
      <w:r>
        <w:t xml:space="preserve"> and address particular hotspot areas</w:t>
      </w:r>
      <w:r w:rsidR="00514E66">
        <w:t>. In addition, there are areas outside of Slough’s AQMAs</w:t>
      </w:r>
      <w:r>
        <w:t>,</w:t>
      </w:r>
      <w:r w:rsidR="00514E66">
        <w:t xml:space="preserve"> which</w:t>
      </w:r>
      <w:r>
        <w:t>,</w:t>
      </w:r>
      <w:r w:rsidR="00514E66">
        <w:t xml:space="preserve"> </w:t>
      </w:r>
      <w:r w:rsidR="003C0339">
        <w:t>pre-pandemic</w:t>
      </w:r>
      <w:r>
        <w:t>,</w:t>
      </w:r>
      <w:r w:rsidR="003C0339">
        <w:t xml:space="preserve"> were</w:t>
      </w:r>
      <w:r w:rsidR="00514E66">
        <w:t xml:space="preserve"> approaching non-compliance, therefore intervention is required to ensure that </w:t>
      </w:r>
      <w:r w:rsidR="003C0339">
        <w:t xml:space="preserve">poor </w:t>
      </w:r>
      <w:r w:rsidR="00514E66">
        <w:t xml:space="preserve">air quality in these areas </w:t>
      </w:r>
      <w:r w:rsidR="003C0339">
        <w:t>remains suppressed</w:t>
      </w:r>
      <w:r w:rsidR="00514E66">
        <w:t xml:space="preserve">. </w:t>
      </w:r>
      <w:r w:rsidR="004F6926">
        <w:t xml:space="preserve">As such, this </w:t>
      </w:r>
      <w:r w:rsidR="00F77171">
        <w:t>AQAP</w:t>
      </w:r>
      <w:r w:rsidR="004F6926">
        <w:t xml:space="preserve"> has been designed to address boroughwide air pollution. The focus remains on </w:t>
      </w:r>
      <w:r>
        <w:t>NO</w:t>
      </w:r>
      <w:r>
        <w:rPr>
          <w:vertAlign w:val="subscript"/>
        </w:rPr>
        <w:t>2</w:t>
      </w:r>
      <w:r w:rsidR="004F6926">
        <w:t xml:space="preserve"> </w:t>
      </w:r>
      <w:r>
        <w:t>reduction measures</w:t>
      </w:r>
      <w:r w:rsidR="004F6926">
        <w:t xml:space="preserve">, however some measures </w:t>
      </w:r>
      <w:r>
        <w:t>will also a</w:t>
      </w:r>
      <w:r w:rsidR="004F6926">
        <w:t xml:space="preserve">ssist in addressing </w:t>
      </w:r>
      <w:r>
        <w:t>p</w:t>
      </w:r>
      <w:r w:rsidR="004F6926">
        <w:t xml:space="preserve">articulate matter </w:t>
      </w:r>
      <w:r w:rsidR="004F6926" w:rsidRPr="00C54124">
        <w:t>and indoor air quality.</w:t>
      </w:r>
      <w:r w:rsidR="004F6926">
        <w:t xml:space="preserve"> </w:t>
      </w:r>
    </w:p>
    <w:bookmarkEnd w:id="57"/>
    <w:p w14:paraId="3AB68431" w14:textId="742B35C9" w:rsidR="008954E2" w:rsidRPr="008954E2" w:rsidRDefault="008954E2" w:rsidP="008954E2">
      <w:pPr>
        <w:spacing w:before="0" w:after="0"/>
      </w:pPr>
    </w:p>
    <w:p w14:paraId="650E8DEA" w14:textId="77777777" w:rsidR="00B21F58" w:rsidRDefault="00B21F58" w:rsidP="00B21F58"/>
    <w:p w14:paraId="70BC0AD6" w14:textId="3E28D0F0" w:rsidR="00B21F58" w:rsidRDefault="00B21F58" w:rsidP="00B21F58">
      <w:r>
        <w:t xml:space="preserve">   </w:t>
      </w:r>
    </w:p>
    <w:p w14:paraId="78BFF536" w14:textId="77777777" w:rsidR="00B21F58" w:rsidRDefault="00B21F58" w:rsidP="00B21F58"/>
    <w:p w14:paraId="64148AD4" w14:textId="77777777" w:rsidR="00B21F58" w:rsidRDefault="00B21F58" w:rsidP="00B21F58"/>
    <w:p w14:paraId="4A5683EE" w14:textId="1E1163AA" w:rsidR="00B21F58" w:rsidRPr="00B21F58" w:rsidRDefault="00B21F58" w:rsidP="00B21F58">
      <w:pPr>
        <w:pStyle w:val="2digitnumnormal"/>
        <w:ind w:left="0" w:firstLine="0"/>
        <w:jc w:val="left"/>
        <w:rPr>
          <w:rFonts w:ascii="Arial" w:hAnsi="Arial" w:cs="Arial"/>
        </w:rPr>
        <w:sectPr w:rsidR="00B21F58" w:rsidRPr="00B21F58" w:rsidSect="00C10027">
          <w:pgSz w:w="11906" w:h="16838" w:code="9"/>
          <w:pgMar w:top="1474" w:right="1418" w:bottom="1418" w:left="1418" w:header="964" w:footer="454" w:gutter="0"/>
          <w:cols w:space="708"/>
          <w:docGrid w:linePitch="360"/>
        </w:sectPr>
      </w:pPr>
    </w:p>
    <w:p w14:paraId="74101946" w14:textId="1AF16519" w:rsidR="00F95C9A" w:rsidRPr="00C51F09" w:rsidRDefault="00CE7DE1" w:rsidP="00DC1213">
      <w:pPr>
        <w:pStyle w:val="Heading1"/>
        <w:ind w:left="720" w:hanging="720"/>
      </w:pPr>
      <w:bookmarkStart w:id="58" w:name="_Toc88485995"/>
      <w:bookmarkStart w:id="59" w:name="_Toc160129556"/>
      <w:r>
        <w:lastRenderedPageBreak/>
        <w:t xml:space="preserve">3 </w:t>
      </w:r>
      <w:r>
        <w:tab/>
      </w:r>
      <w:r w:rsidR="008F1B7C" w:rsidRPr="00DC1213">
        <w:t>Slough Borough Coun</w:t>
      </w:r>
      <w:r w:rsidR="00E0510F" w:rsidRPr="00DC1213">
        <w:t>c</w:t>
      </w:r>
      <w:r w:rsidR="008F1B7C" w:rsidRPr="00DC1213">
        <w:t>il</w:t>
      </w:r>
      <w:r w:rsidR="00CE793F" w:rsidRPr="00DC1213">
        <w:t xml:space="preserve">’s </w:t>
      </w:r>
      <w:r w:rsidR="00F95C9A" w:rsidRPr="00DC1213">
        <w:t xml:space="preserve">Air Quality </w:t>
      </w:r>
      <w:r w:rsidR="00CE793F" w:rsidRPr="00DC1213">
        <w:t>Priorities</w:t>
      </w:r>
      <w:bookmarkEnd w:id="58"/>
      <w:bookmarkEnd w:id="59"/>
    </w:p>
    <w:p w14:paraId="41B24892" w14:textId="7200D788" w:rsidR="00F060FB" w:rsidRDefault="00F060FB" w:rsidP="0025036F">
      <w:pPr>
        <w:pStyle w:val="Heading2"/>
        <w:numPr>
          <w:ilvl w:val="1"/>
          <w:numId w:val="70"/>
        </w:numPr>
      </w:pPr>
      <w:bookmarkStart w:id="60" w:name="_Toc160129557"/>
      <w:bookmarkStart w:id="61" w:name="_Toc88485996"/>
      <w:bookmarkStart w:id="62" w:name="_Toc72901069"/>
      <w:r>
        <w:t>Slough Context</w:t>
      </w:r>
      <w:bookmarkEnd w:id="60"/>
      <w:r>
        <w:t xml:space="preserve"> </w:t>
      </w:r>
    </w:p>
    <w:p w14:paraId="103A9219" w14:textId="548E1E3B" w:rsidR="00F060FB" w:rsidRPr="00C41398" w:rsidRDefault="00F060FB" w:rsidP="0025036F">
      <w:pPr>
        <w:pStyle w:val="Heading3"/>
        <w:numPr>
          <w:ilvl w:val="2"/>
          <w:numId w:val="70"/>
        </w:numPr>
      </w:pPr>
      <w:bookmarkStart w:id="63" w:name="_Toc160129558"/>
      <w:r w:rsidRPr="00C41398">
        <w:t>Population, Age and Ethnicity</w:t>
      </w:r>
      <w:bookmarkEnd w:id="63"/>
      <w:r w:rsidRPr="00C41398">
        <w:t xml:space="preserve"> </w:t>
      </w:r>
    </w:p>
    <w:p w14:paraId="32038327" w14:textId="3EAD011E" w:rsidR="00F060FB" w:rsidRDefault="00F060FB" w:rsidP="00F060FB">
      <w:r w:rsidRPr="00024724">
        <w:t>Slough’s population in the 2021 Census was 158,500. This is an increase of 13.0% from 2011, compared to increases of 7.5% i</w:t>
      </w:r>
      <w:r w:rsidRPr="00DC1213">
        <w:t>n the South</w:t>
      </w:r>
      <w:r w:rsidR="00DC1213" w:rsidRPr="00DC1213">
        <w:t xml:space="preserve"> E</w:t>
      </w:r>
      <w:r w:rsidRPr="00DC1213">
        <w:t>ast</w:t>
      </w:r>
      <w:r w:rsidRPr="00024724">
        <w:t xml:space="preserve"> and 6.6% in England (Census 2021 and 2011)</w:t>
      </w:r>
      <w:r>
        <w:t xml:space="preserve"> and </w:t>
      </w:r>
      <w:r w:rsidRPr="00DE397E">
        <w:t>is the largest population growth relative to other neighbouring authorities</w:t>
      </w:r>
      <w:r>
        <w:t>.</w:t>
      </w:r>
      <w:r w:rsidRPr="00DE397E">
        <w:t xml:space="preserve"> </w:t>
      </w:r>
      <w:bookmarkStart w:id="64" w:name="_Hlk159878494"/>
      <w:r w:rsidRPr="00DE397E">
        <w:t>Slough is the third most densely populated local authority in the South East (following Portsmouth and Southampton), and the fifth most densely populated local authority outside of London</w:t>
      </w:r>
      <w:r>
        <w:t>,</w:t>
      </w:r>
      <w:r w:rsidRPr="00DE397E">
        <w:t xml:space="preserve"> </w:t>
      </w:r>
      <w:r w:rsidRPr="00024724">
        <w:t xml:space="preserve">with 4,871 usual residents per square kilometre (48.7 per hectare compared to 45.8 in 2011, South East: 4.87, England: 4.34) </w:t>
      </w:r>
      <w:bookmarkEnd w:id="64"/>
      <w:r w:rsidRPr="00024724">
        <w:t xml:space="preserve">(Census 2021 and 2011). Slough has high levels of overcrowding and the largest average household size in England </w:t>
      </w:r>
      <w:r w:rsidRPr="00DE397E">
        <w:t>of three people per household</w:t>
      </w:r>
      <w:r>
        <w:t xml:space="preserve"> (2.4 in </w:t>
      </w:r>
      <w:r w:rsidRPr="00DE397E">
        <w:t>England and Wales).</w:t>
      </w:r>
    </w:p>
    <w:p w14:paraId="3381D8BD" w14:textId="678F7B35" w:rsidR="00D73FFE" w:rsidRDefault="00F060FB" w:rsidP="00F060FB">
      <w:r w:rsidRPr="00DE397E">
        <w:t>In terms of age distribution, Slough’s average age is 34, compared to 41 for the South East and 40 for England</w:t>
      </w:r>
      <w:r w:rsidR="00DC1213">
        <w:t xml:space="preserve"> (see Figure 3.1 below)</w:t>
      </w:r>
      <w:r w:rsidRPr="00DE397E">
        <w:t>. This is primarily driven by a high proportion of Slough’s residents being aged 0-15 years old (25%), making Slough have the second largest proportion of children aged 15 or under in England and Wales, second to Barking and Dagenham (26.1%).</w:t>
      </w:r>
    </w:p>
    <w:p w14:paraId="4F9DAB8A" w14:textId="0F535908" w:rsidR="00DE1CD0" w:rsidRDefault="00DE1CD0" w:rsidP="00DE1CD0">
      <w:pPr>
        <w:pStyle w:val="Figures"/>
      </w:pPr>
      <w:bookmarkStart w:id="65" w:name="_Toc160129354"/>
      <w:r>
        <w:lastRenderedPageBreak/>
        <w:t>Figure 3.1: Age distribution of Slough’s population</w:t>
      </w:r>
      <w:bookmarkEnd w:id="65"/>
      <w:r>
        <w:t xml:space="preserve"> </w:t>
      </w:r>
    </w:p>
    <w:p w14:paraId="18CBBE74" w14:textId="5D73F438" w:rsidR="00F77171" w:rsidRDefault="00FE3F8E" w:rsidP="00F060FB">
      <w:r w:rsidRPr="00FD5CBA">
        <w:rPr>
          <w:noProof/>
        </w:rPr>
        <w:drawing>
          <wp:inline distT="0" distB="0" distL="0" distR="0" wp14:anchorId="446D0327" wp14:editId="46F8DD5A">
            <wp:extent cx="5759450" cy="3825876"/>
            <wp:effectExtent l="0" t="0" r="0" b="3175"/>
            <wp:docPr id="20" name="Picture 19" descr="A bar chart showing the proportion of Slough's population split into age groups, with the male population on the left and female population on the right. A black line overlaying the bars shows England's proportions for comparison. Slough has larger proportions of people aged 0-49 than the England average (except for age 20-24). Slough has smaller proportions of people aged 50 and over than the England average. ">
              <a:extLst xmlns:a="http://schemas.openxmlformats.org/drawingml/2006/main">
                <a:ext uri="{FF2B5EF4-FFF2-40B4-BE49-F238E27FC236}">
                  <a16:creationId xmlns:a16="http://schemas.microsoft.com/office/drawing/2014/main" id="{B34A5963-7C0F-E3C7-3198-140A395386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bar chart showing the proportion of Slough's population split into age groups, with the male population on the left and female population on the right. A black line overlaying the bars shows England's proportions for comparison. Slough has larger proportions of people aged 0-49 than the England average (except for age 20-24). Slough has smaller proportions of people aged 50 and over than the England average. ">
                      <a:extLst>
                        <a:ext uri="{FF2B5EF4-FFF2-40B4-BE49-F238E27FC236}">
                          <a16:creationId xmlns:a16="http://schemas.microsoft.com/office/drawing/2014/main" id="{B34A5963-7C0F-E3C7-3198-140A395386C3}"/>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3825876"/>
                    </a:xfrm>
                    <a:prstGeom prst="rect">
                      <a:avLst/>
                    </a:prstGeom>
                  </pic:spPr>
                </pic:pic>
              </a:graphicData>
            </a:graphic>
          </wp:inline>
        </w:drawing>
      </w:r>
    </w:p>
    <w:p w14:paraId="4F6C5287" w14:textId="1ADE69B6" w:rsidR="00F060FB" w:rsidRDefault="00F060FB" w:rsidP="00F060FB">
      <w:r w:rsidRPr="00DE397E">
        <w:t xml:space="preserve">Slough has a diverse ethnic background. 56% of Slough’s population were born in the UK, whilst 24.3% were born in the Middle East and Asia, and 12.0% were born in the EU. 46.7% </w:t>
      </w:r>
      <w:r w:rsidR="00F77171">
        <w:t>o</w:t>
      </w:r>
      <w:r w:rsidRPr="00DE397E">
        <w:t xml:space="preserve">f Slough’s population are from Asian ethnic groups and 36.0% are from White ethnic groups. As such, there are a number of different languages spoken in Slough (only 72.7% </w:t>
      </w:r>
      <w:r w:rsidR="00252F8E">
        <w:t>s</w:t>
      </w:r>
      <w:r w:rsidRPr="00DE397E">
        <w:t>peak English as their main language compared to 90.8% in England) and multiple different religions, with the top three being 32.0% Christian, 29.4% Muslim and 11.3% Sikh.</w:t>
      </w:r>
    </w:p>
    <w:p w14:paraId="09A6F43D" w14:textId="32DA1EF3" w:rsidR="00F060FB" w:rsidRPr="00DE397E" w:rsidRDefault="00F060FB" w:rsidP="0025036F">
      <w:pPr>
        <w:pStyle w:val="Heading3"/>
        <w:numPr>
          <w:ilvl w:val="2"/>
          <w:numId w:val="71"/>
        </w:numPr>
      </w:pPr>
      <w:bookmarkStart w:id="66" w:name="_Toc160129559"/>
      <w:r>
        <w:t>Deprivation</w:t>
      </w:r>
      <w:bookmarkEnd w:id="66"/>
    </w:p>
    <w:p w14:paraId="64F490EA" w14:textId="2769B5D5" w:rsidR="00F060FB" w:rsidRDefault="00F060FB" w:rsidP="00F060FB">
      <w:r>
        <w:t xml:space="preserve">Deprivation is described in dimensions based on four key indicators, including education, employment, health and housing. A household is classified as deprived in the education dimension if no </w:t>
      </w:r>
      <w:r w:rsidR="00252F8E">
        <w:t>occupant</w:t>
      </w:r>
      <w:r>
        <w:t xml:space="preserve"> has at least a level 2 qualification and no </w:t>
      </w:r>
      <w:r w:rsidR="00252F8E">
        <w:t>occupant</w:t>
      </w:r>
      <w:r>
        <w:t xml:space="preserve"> aged 16 to 18 years old is a full-time student. A household is classified as deprived in</w:t>
      </w:r>
      <w:r w:rsidR="00252F8E">
        <w:t xml:space="preserve"> an</w:t>
      </w:r>
      <w:r>
        <w:t xml:space="preserve"> employment dimension if any member is unemployed or economically inactive due to long term sickness or disability (unless a full-time student). In terms of health, a household is classified as deprived if any person is in bad or very bad health, or is considered disabled in line with the Equality Act (2010). In a housing </w:t>
      </w:r>
      <w:r>
        <w:lastRenderedPageBreak/>
        <w:t xml:space="preserve">context, a household is considered deprived if the accommodation is overcrowded, in a shared dwelling or has no central heating. </w:t>
      </w:r>
    </w:p>
    <w:p w14:paraId="15684929" w14:textId="220D80AB" w:rsidR="00F060FB" w:rsidRDefault="00F060FB" w:rsidP="00F060FB">
      <w:r w:rsidRPr="00024724">
        <w:t xml:space="preserve">The </w:t>
      </w:r>
      <w:r w:rsidR="00252F8E">
        <w:t>b</w:t>
      </w:r>
      <w:r w:rsidRPr="00024724">
        <w:t xml:space="preserve">orough falls within the top 25% most deprived local authorities in England and </w:t>
      </w:r>
      <w:bookmarkStart w:id="67" w:name="_Hlk159878454"/>
      <w:r w:rsidRPr="00024724">
        <w:t xml:space="preserve">is the 5th most deprived decile of local authorities in England, scoring highly in </w:t>
      </w:r>
      <w:r w:rsidR="00252F8E">
        <w:t>c</w:t>
      </w:r>
      <w:r w:rsidRPr="00024724">
        <w:t>rime including violent crime.</w:t>
      </w:r>
      <w:bookmarkEnd w:id="67"/>
      <w:r w:rsidRPr="00024724">
        <w:t xml:space="preserve"> There has been a larger increase in economically inactive people than active people in Slough since 2011. There is a gap in income of £84 per week between Slough residents and those who commute into Slough for work. </w:t>
      </w:r>
    </w:p>
    <w:p w14:paraId="5CCB6FCD" w14:textId="584A9E26" w:rsidR="00F060FB" w:rsidRDefault="00F060FB" w:rsidP="00F060FB">
      <w:r>
        <w:t xml:space="preserve">Slough is more deprived than the England average of the 2019 Index of Multiple Deprivation (IMD), with 57.7% deprived in one or more dimensions. 71% of Slough’s Lower-tier Super Output Areas (LSOAs) fall below the national average of the IMD in 2021. </w:t>
      </w:r>
      <w:r w:rsidRPr="00024724">
        <w:t>Slough has a number of wards with high deprivation,</w:t>
      </w:r>
      <w:r>
        <w:t xml:space="preserve"> </w:t>
      </w:r>
      <w:r w:rsidRPr="00024724">
        <w:t xml:space="preserve">with Chalvey considered one of the most deprived areas in the </w:t>
      </w:r>
      <w:r w:rsidR="00252F8E">
        <w:t>b</w:t>
      </w:r>
      <w:r w:rsidRPr="00024724">
        <w:t>orough</w:t>
      </w:r>
      <w:r w:rsidR="00DC1213">
        <w:t xml:space="preserve"> (see Figure 3.2 below)</w:t>
      </w:r>
      <w:r>
        <w:t>. There are particularly severe areas of deprivation in Britwell, Chalvey, Herschel Park, Elliman, Wexham Court and Colnbrook with Poyle</w:t>
      </w:r>
      <w:r w:rsidR="00252F8E">
        <w:t xml:space="preserve"> wards</w:t>
      </w:r>
      <w:r>
        <w:t>.</w:t>
      </w:r>
    </w:p>
    <w:p w14:paraId="12FA173E" w14:textId="6D3328F8" w:rsidR="00DC1213" w:rsidRDefault="00DC1213" w:rsidP="00DC1213">
      <w:pPr>
        <w:pStyle w:val="Figures"/>
        <w:spacing w:after="0"/>
      </w:pPr>
      <w:bookmarkStart w:id="68" w:name="_Toc160129355"/>
      <w:r>
        <w:t>Figure 3.2: Distribution of areas of deprivation in Slough</w:t>
      </w:r>
      <w:bookmarkEnd w:id="68"/>
      <w:r>
        <w:t xml:space="preserve"> </w:t>
      </w:r>
    </w:p>
    <w:p w14:paraId="122349FF" w14:textId="4E0B3060" w:rsidR="00DC1213" w:rsidRDefault="00FE3F8E" w:rsidP="00F060FB">
      <w:r w:rsidRPr="00412A0A">
        <w:rPr>
          <w:noProof/>
        </w:rPr>
        <w:drawing>
          <wp:inline distT="0" distB="0" distL="0" distR="0" wp14:anchorId="1E4BA96B" wp14:editId="57AF3FD7">
            <wp:extent cx="5731510" cy="4053205"/>
            <wp:effectExtent l="0" t="0" r="2540" b="4445"/>
            <wp:docPr id="3" name="Picture 2" descr="A heat map of Slough, showing areas of higher and lower deprivation using the Index of Multiple Deprivation.">
              <a:extLst xmlns:a="http://schemas.openxmlformats.org/drawingml/2006/main">
                <a:ext uri="{FF2B5EF4-FFF2-40B4-BE49-F238E27FC236}">
                  <a16:creationId xmlns:a16="http://schemas.microsoft.com/office/drawing/2014/main" id="{99C7539B-305D-7890-C1E4-EFC042996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eat map of Slough, showing areas of higher and lower deprivation using the Index of Multiple Deprivation.">
                      <a:extLst>
                        <a:ext uri="{FF2B5EF4-FFF2-40B4-BE49-F238E27FC236}">
                          <a16:creationId xmlns:a16="http://schemas.microsoft.com/office/drawing/2014/main" id="{99C7539B-305D-7890-C1E4-EFC04299646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3EC96B0D" w14:textId="71A0D257" w:rsidR="00CE793F" w:rsidRPr="002B4B5B" w:rsidRDefault="00C51F09" w:rsidP="0025036F">
      <w:pPr>
        <w:pStyle w:val="Heading2"/>
        <w:numPr>
          <w:ilvl w:val="1"/>
          <w:numId w:val="71"/>
        </w:numPr>
      </w:pPr>
      <w:bookmarkStart w:id="69" w:name="_Toc160129560"/>
      <w:r w:rsidRPr="002B4B5B">
        <w:lastRenderedPageBreak/>
        <w:t>Public Health Context</w:t>
      </w:r>
      <w:bookmarkEnd w:id="61"/>
      <w:bookmarkEnd w:id="69"/>
    </w:p>
    <w:p w14:paraId="74FD19CE" w14:textId="665F1AF2" w:rsidR="00CC01BC" w:rsidRDefault="00024724" w:rsidP="0025036F">
      <w:pPr>
        <w:pStyle w:val="Heading3"/>
        <w:numPr>
          <w:ilvl w:val="2"/>
          <w:numId w:val="72"/>
        </w:numPr>
      </w:pPr>
      <w:bookmarkStart w:id="70" w:name="_Toc160129561"/>
      <w:r>
        <w:t>Health in All Policies</w:t>
      </w:r>
      <w:bookmarkEnd w:id="70"/>
      <w:r>
        <w:t xml:space="preserve"> </w:t>
      </w:r>
    </w:p>
    <w:p w14:paraId="445CA66E" w14:textId="64361580" w:rsidR="00024724" w:rsidRDefault="00024724" w:rsidP="00CC01BC">
      <w:r>
        <w:t xml:space="preserve">Health and </w:t>
      </w:r>
      <w:r w:rsidR="00252F8E">
        <w:t>w</w:t>
      </w:r>
      <w:r>
        <w:t xml:space="preserve">ellbeing is influenced by a range of different factors. </w:t>
      </w:r>
      <w:r w:rsidRPr="00FD5CBA">
        <w:t xml:space="preserve">The wider determinants of health are a diverse range of social, economic and environmental factors which influence </w:t>
      </w:r>
      <w:r w:rsidR="00252F8E">
        <w:t>a person’s</w:t>
      </w:r>
      <w:r w:rsidRPr="00FD5CBA">
        <w:t xml:space="preserve"> mental and physical health</w:t>
      </w:r>
      <w:r w:rsidR="00DC1213">
        <w:t xml:space="preserve"> (see Figure 3.3 below).</w:t>
      </w:r>
    </w:p>
    <w:p w14:paraId="2C2E6842" w14:textId="49F3C538" w:rsidR="00DE1CD0" w:rsidRPr="00FD5CBA" w:rsidRDefault="00DE1CD0" w:rsidP="00DE1CD0">
      <w:pPr>
        <w:pStyle w:val="Figures"/>
      </w:pPr>
      <w:bookmarkStart w:id="71" w:name="_Toc160129356"/>
      <w:r>
        <w:t>Figure 3.3: The wider determinants of Health</w:t>
      </w:r>
      <w:bookmarkEnd w:id="71"/>
      <w:r>
        <w:t xml:space="preserve"> </w:t>
      </w:r>
    </w:p>
    <w:p w14:paraId="4128AC1F" w14:textId="77777777" w:rsidR="005312D9" w:rsidRDefault="005312D9" w:rsidP="005312D9">
      <w:pPr>
        <w:jc w:val="both"/>
        <w:rPr>
          <w:i/>
          <w:iCs/>
        </w:rPr>
      </w:pPr>
      <w:r>
        <w:rPr>
          <w:noProof/>
        </w:rPr>
        <w:drawing>
          <wp:inline distT="0" distB="0" distL="0" distR="0" wp14:anchorId="1347C70F" wp14:editId="4FBBB597">
            <wp:extent cx="2965837" cy="3024450"/>
            <wp:effectExtent l="0" t="0" r="6350" b="5080"/>
            <wp:docPr id="1904132320" name="Picture 1" descr="A diagram showing the wider determinants of health. This includes built &amp; natural environment; work &amp; labour market; vulnerability; income; crime; education, all of which surround health &amp;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32320" name="Picture 1" descr="A diagram showing the wider determinants of health. This includes built &amp; natural environment; work &amp; labour market; vulnerability; income; crime; education, all of which surround health &amp; wellbeing"/>
                    <pic:cNvPicPr/>
                  </pic:nvPicPr>
                  <pic:blipFill>
                    <a:blip r:embed="rId20"/>
                    <a:stretch>
                      <a:fillRect/>
                    </a:stretch>
                  </pic:blipFill>
                  <pic:spPr>
                    <a:xfrm>
                      <a:off x="0" y="0"/>
                      <a:ext cx="2974185" cy="3032963"/>
                    </a:xfrm>
                    <a:prstGeom prst="rect">
                      <a:avLst/>
                    </a:prstGeom>
                  </pic:spPr>
                </pic:pic>
              </a:graphicData>
            </a:graphic>
          </wp:inline>
        </w:drawing>
      </w:r>
      <w:r w:rsidRPr="005312D9">
        <w:rPr>
          <w:i/>
          <w:iCs/>
        </w:rPr>
        <w:t xml:space="preserve"> </w:t>
      </w:r>
    </w:p>
    <w:p w14:paraId="5D082B85" w14:textId="54B865DD" w:rsidR="005312D9" w:rsidRPr="00FD5CBA" w:rsidRDefault="005312D9" w:rsidP="005312D9">
      <w:pPr>
        <w:jc w:val="both"/>
        <w:rPr>
          <w:i/>
          <w:iCs/>
        </w:rPr>
      </w:pPr>
      <w:r w:rsidRPr="00FD5CBA">
        <w:rPr>
          <w:i/>
          <w:iCs/>
        </w:rPr>
        <w:t>Source: Public Health Outcomes Framework</w:t>
      </w:r>
    </w:p>
    <w:p w14:paraId="2B0C5630" w14:textId="77777777" w:rsidR="00024724" w:rsidRPr="00FD5CBA" w:rsidRDefault="00024724" w:rsidP="00024724">
      <w:pPr>
        <w:jc w:val="both"/>
      </w:pPr>
      <w:r w:rsidRPr="00FD5CBA">
        <w:t>Relative contribution of determinants of health:</w:t>
      </w:r>
    </w:p>
    <w:p w14:paraId="13533353" w14:textId="77777777" w:rsidR="00024724" w:rsidRPr="00FD5CBA" w:rsidRDefault="00024724" w:rsidP="00CA4AAD">
      <w:pPr>
        <w:numPr>
          <w:ilvl w:val="0"/>
          <w:numId w:val="13"/>
        </w:numPr>
        <w:spacing w:before="0" w:after="160" w:line="259" w:lineRule="auto"/>
        <w:jc w:val="both"/>
      </w:pPr>
      <w:r w:rsidRPr="00FD5CBA">
        <w:t>30% - Health Behaviours</w:t>
      </w:r>
    </w:p>
    <w:p w14:paraId="79E4C05B" w14:textId="77777777" w:rsidR="00024724" w:rsidRPr="00FD5CBA" w:rsidRDefault="00024724" w:rsidP="00CA4AAD">
      <w:pPr>
        <w:numPr>
          <w:ilvl w:val="0"/>
          <w:numId w:val="13"/>
        </w:numPr>
        <w:spacing w:before="0" w:after="160" w:line="259" w:lineRule="auto"/>
        <w:jc w:val="both"/>
      </w:pPr>
      <w:r w:rsidRPr="00FD5CBA">
        <w:t>40% - Socio-economic Factors</w:t>
      </w:r>
    </w:p>
    <w:p w14:paraId="57B44EA8" w14:textId="77777777" w:rsidR="00024724" w:rsidRPr="00FD5CBA" w:rsidRDefault="00024724" w:rsidP="00CA4AAD">
      <w:pPr>
        <w:numPr>
          <w:ilvl w:val="0"/>
          <w:numId w:val="13"/>
        </w:numPr>
        <w:spacing w:before="0" w:after="160" w:line="259" w:lineRule="auto"/>
        <w:jc w:val="both"/>
      </w:pPr>
      <w:r w:rsidRPr="00FD5CBA">
        <w:t>20% - Clinical Care</w:t>
      </w:r>
    </w:p>
    <w:p w14:paraId="4818338C" w14:textId="6FA2110B" w:rsidR="00024724" w:rsidRDefault="00024724" w:rsidP="00CA4AAD">
      <w:pPr>
        <w:numPr>
          <w:ilvl w:val="0"/>
          <w:numId w:val="13"/>
        </w:numPr>
        <w:spacing w:before="0" w:after="160" w:line="259" w:lineRule="auto"/>
        <w:jc w:val="both"/>
      </w:pPr>
      <w:r w:rsidRPr="00FD5CBA">
        <w:t xml:space="preserve">10% - Built Environment </w:t>
      </w:r>
    </w:p>
    <w:p w14:paraId="637E5C25" w14:textId="36030D80" w:rsidR="00024724" w:rsidRDefault="00024724" w:rsidP="00CA19F7">
      <w:pPr>
        <w:spacing w:before="0" w:after="0"/>
        <w:jc w:val="both"/>
      </w:pPr>
      <w:r>
        <w:t>Some areas of Slough have pockets of severe deprivation and poor environmental quality, with the built environment, open spaces, and air quality all suffering</w:t>
      </w:r>
      <w:r w:rsidR="00252F8E">
        <w:t xml:space="preserve"> as a result</w:t>
      </w:r>
      <w:r>
        <w:t xml:space="preserve">. These factors all contribute to the health inequalities seen across the borough. </w:t>
      </w:r>
    </w:p>
    <w:p w14:paraId="46DD0470" w14:textId="77777777" w:rsidR="00CA19F7" w:rsidRDefault="00CA19F7" w:rsidP="00CA19F7">
      <w:pPr>
        <w:spacing w:before="0" w:after="0"/>
        <w:jc w:val="both"/>
      </w:pPr>
    </w:p>
    <w:p w14:paraId="0473D9BF" w14:textId="77777777" w:rsidR="00D73FFE" w:rsidRDefault="00D73FFE" w:rsidP="00CA19F7">
      <w:pPr>
        <w:pStyle w:val="ListParagraph"/>
        <w:spacing w:before="0" w:after="0"/>
        <w:ind w:left="0"/>
        <w:jc w:val="both"/>
      </w:pPr>
      <w:r>
        <w:lastRenderedPageBreak/>
        <w:t xml:space="preserve">Slough is a relatively young town, with a high proportion of people aged 0-17 (28% of the population). </w:t>
      </w:r>
      <w:r w:rsidR="00024724">
        <w:t xml:space="preserve">When we compare the health and wellbeing of children in Slough to that of the rest of the country, a number of high priority areas emerge. </w:t>
      </w:r>
    </w:p>
    <w:p w14:paraId="12F5AEC2" w14:textId="77777777" w:rsidR="00CA19F7" w:rsidRDefault="00CA19F7" w:rsidP="00CA19F7">
      <w:pPr>
        <w:pStyle w:val="ListParagraph"/>
        <w:spacing w:before="0" w:after="0"/>
        <w:ind w:left="0"/>
        <w:jc w:val="both"/>
      </w:pPr>
    </w:p>
    <w:p w14:paraId="470FFC01" w14:textId="77777777" w:rsidR="00D73FFE" w:rsidRDefault="00024724" w:rsidP="005312D9">
      <w:pPr>
        <w:pStyle w:val="ListParagraph"/>
        <w:spacing w:before="0" w:after="0"/>
        <w:ind w:left="0"/>
        <w:jc w:val="both"/>
      </w:pPr>
      <w:r w:rsidRPr="008066E4">
        <w:t>Mental health disorders in young people in Slough have risen, with 9.6% of young people aged 5 to 16 years in Slough having a mental health condition in 2015.</w:t>
      </w:r>
    </w:p>
    <w:p w14:paraId="1B49119F" w14:textId="6B71F3EB" w:rsidR="00D73FFE" w:rsidRDefault="00D73FFE" w:rsidP="00CA19F7">
      <w:r>
        <w:t xml:space="preserve">Slough also has high rates of physical inactivity. Being ‘Physically active’ is defined as undertaking a minimum of 150 moderate intensity equivalent minutes (2.5 hours) of physical activity per week, or 75 minutes of vigorous physical activity per week or an equivalent combination of the two, in bouts of 10 minutes or more in the previous 28 days. Data on this metric is obtained from the Active Lives Adult survey, conducted annually by Sport England. </w:t>
      </w:r>
    </w:p>
    <w:p w14:paraId="5D35BA74" w14:textId="2923B162" w:rsidR="00D73FFE" w:rsidRDefault="00D73FFE" w:rsidP="00D73FFE">
      <w:bookmarkStart w:id="72" w:name="_Hlk159878600"/>
      <w:r>
        <w:t xml:space="preserve">The percentage of physically active adults in Slough is 51.6%, which is </w:t>
      </w:r>
      <w:r w:rsidR="00F522ED">
        <w:t xml:space="preserve">the lowest out of </w:t>
      </w:r>
      <w:r>
        <w:t>all England authorities (the next lowest after Slough is Blackburn with Darwen at 53.7%) and the average for the South (70.5%).</w:t>
      </w:r>
      <w:bookmarkEnd w:id="72"/>
      <w:r>
        <w:t xml:space="preserve"> </w:t>
      </w:r>
    </w:p>
    <w:p w14:paraId="5AC1C621" w14:textId="44ADA20D" w:rsidR="00024724" w:rsidRDefault="00D73FFE" w:rsidP="005312D9">
      <w:r>
        <w:t>Physical inactivity is the 4th leading risk factor for global mortality accounting for 6% of deaths globally. People who have a physically active lifestyle have a 20</w:t>
      </w:r>
      <w:r w:rsidR="00252F8E">
        <w:t>%</w:t>
      </w:r>
      <w:r>
        <w:t xml:space="preserve"> to 35% lower risk of cardiovascular disease, coronary heart disease and stroke compared to those who have a sedentary lifestyle.  As such, </w:t>
      </w:r>
      <w:bookmarkStart w:id="73" w:name="_Hlk159878630"/>
      <w:r>
        <w:t>Slough has high mortality rates attributed to cardiovascular diseases, with 108.9 deaths per 100,000 under 75 years old, and a high prevalence of obesity in Year 6 children over 28.4%, high</w:t>
      </w:r>
      <w:r w:rsidR="00F522ED">
        <w:t>er than</w:t>
      </w:r>
      <w:r>
        <w:t xml:space="preserve"> the South East and England averages</w:t>
      </w:r>
      <w:r w:rsidR="00DC1213">
        <w:t xml:space="preserve"> (Figure 3.4)</w:t>
      </w:r>
      <w:r>
        <w:t>.</w:t>
      </w:r>
      <w:bookmarkEnd w:id="73"/>
      <w:r>
        <w:t xml:space="preserve"> Furthermore,</w:t>
      </w:r>
      <w:bookmarkStart w:id="74" w:name="_Hlk159878698"/>
      <w:r>
        <w:t xml:space="preserve"> 62% of adults in Slough were overweight or obese in 2020/21, which is approximately 71,112 people</w:t>
      </w:r>
      <w:bookmarkEnd w:id="74"/>
      <w:r>
        <w:t xml:space="preserve">. Mortality rates of people under 75 years are significantly higher in areas such as Britwell &amp; Northborough, Chalvey and Foxborough. Only </w:t>
      </w:r>
      <w:r w:rsidR="00024724">
        <w:t xml:space="preserve">50% of Slough adults met the recommended 5-a-day fruit and vegetable portions per day in 2019/20. </w:t>
      </w:r>
    </w:p>
    <w:p w14:paraId="62FEE34E" w14:textId="50101C97" w:rsidR="00024724" w:rsidRDefault="00511D2B" w:rsidP="005312D9">
      <w:pPr>
        <w:jc w:val="both"/>
      </w:pPr>
      <w:r>
        <w:t>L</w:t>
      </w:r>
      <w:r w:rsidR="00024724">
        <w:t>ife expectancy</w:t>
      </w:r>
      <w:r w:rsidR="00CA19F7">
        <w:t xml:space="preserve"> </w:t>
      </w:r>
      <w:r w:rsidR="00024724">
        <w:t xml:space="preserve">in Slough is lower than the average for the rest of the </w:t>
      </w:r>
      <w:r w:rsidR="00024724" w:rsidRPr="00DC1213">
        <w:t>South</w:t>
      </w:r>
      <w:r w:rsidR="00DC1213" w:rsidRPr="00DC1213">
        <w:t xml:space="preserve"> E</w:t>
      </w:r>
      <w:r w:rsidR="00024724" w:rsidRPr="00DC1213">
        <w:t>ast</w:t>
      </w:r>
      <w:r w:rsidR="00CA19F7" w:rsidRPr="00CA19F7">
        <w:t xml:space="preserve"> </w:t>
      </w:r>
      <w:r w:rsidR="00CA19F7">
        <w:t>and cardiovascular disease, obesity and diabetes are high. Slough also has high-rates of preventable ill health amongst children including obesity, tooth decay and higher levels of hospital admissions for long-term conditions such as asthma.</w:t>
      </w:r>
    </w:p>
    <w:p w14:paraId="00A32B1B" w14:textId="21D2164F" w:rsidR="00CA19F7" w:rsidRDefault="00024724" w:rsidP="005312D9">
      <w:pPr>
        <w:pStyle w:val="ListParagraph"/>
        <w:ind w:left="0"/>
        <w:jc w:val="both"/>
      </w:pPr>
      <w:r>
        <w:t xml:space="preserve">As a result, life expectancy for both men and women in Slough is below the England average. Looking at trends across the borough, life expectancy is 6 years lower for </w:t>
      </w:r>
      <w:r>
        <w:lastRenderedPageBreak/>
        <w:t xml:space="preserve">men and 4.4 years lower for women in the most deprived areas of the borough when compared to the least deprived areas. </w:t>
      </w:r>
    </w:p>
    <w:p w14:paraId="73237B95" w14:textId="5495FCB7" w:rsidR="00CA19F7" w:rsidRDefault="00CA19F7" w:rsidP="005312D9">
      <w:pPr>
        <w:pStyle w:val="ListParagraph"/>
        <w:ind w:left="0"/>
        <w:jc w:val="both"/>
      </w:pPr>
      <w:r w:rsidRPr="00252F8E">
        <w:t>Healthy life expectancy is a measure of the number of years a person can typically expect to live in full health without disabling illness or injury. In</w:t>
      </w:r>
      <w:r>
        <w:t xml:space="preserve"> Slough, </w:t>
      </w:r>
      <w:bookmarkStart w:id="75" w:name="_Hlk159878751"/>
      <w:r>
        <w:t>the healthy life expectancy for a male and female are 58.1 and 60.3 years old</w:t>
      </w:r>
      <w:bookmarkEnd w:id="75"/>
      <w:r w:rsidR="00252F8E">
        <w:t>, respectively</w:t>
      </w:r>
      <w:r>
        <w:t xml:space="preserve">. This is significantly lower than neighbouring boroughs (Windsor and Maidenhead’s healthy life expectancy is 69.7 for males and 70.3 for females), and </w:t>
      </w:r>
      <w:bookmarkStart w:id="76" w:name="_Hlk159878785"/>
      <w:r>
        <w:t>lower than the South East average (7.4yrs and 5.6yrs higher for males and females, respectively</w:t>
      </w:r>
      <w:bookmarkEnd w:id="76"/>
      <w:r>
        <w:t>)</w:t>
      </w:r>
    </w:p>
    <w:p w14:paraId="5FE86236" w14:textId="6E322335" w:rsidR="00024724" w:rsidRDefault="00CA19F7" w:rsidP="005312D9">
      <w:pPr>
        <w:pStyle w:val="ListParagraph"/>
        <w:ind w:left="0"/>
        <w:jc w:val="both"/>
      </w:pPr>
      <w:r>
        <w:t>To put into context, b</w:t>
      </w:r>
      <w:r w:rsidR="00024724">
        <w:t xml:space="preserve">oys born in Slough today can expect to live to 78 and will spend approximately 26% of their life in poor health (20 years). Girls born in Slough today can expect to live to 82 and will spend approximately 27% of their life in poor health (22 years). </w:t>
      </w:r>
    </w:p>
    <w:p w14:paraId="0912B4EB" w14:textId="00FA4286" w:rsidR="00DE1CD0" w:rsidRDefault="00DE1CD0" w:rsidP="00DE1CD0">
      <w:pPr>
        <w:pStyle w:val="Figures"/>
      </w:pPr>
      <w:bookmarkStart w:id="77" w:name="_Toc160129357"/>
      <w:r>
        <w:t>Figure 3.4: Health statistics in Slough compared with the Royal Borough of Windsor and Maidenhead and the average for the South East</w:t>
      </w:r>
      <w:bookmarkEnd w:id="77"/>
      <w:r>
        <w:t xml:space="preserve"> </w:t>
      </w:r>
    </w:p>
    <w:p w14:paraId="710C9C03" w14:textId="77777777" w:rsidR="00024724" w:rsidRDefault="00024724" w:rsidP="005312D9">
      <w:pPr>
        <w:pStyle w:val="ListParagraph"/>
        <w:ind w:left="0"/>
        <w:jc w:val="both"/>
      </w:pPr>
      <w:r>
        <w:rPr>
          <w:noProof/>
        </w:rPr>
        <w:drawing>
          <wp:inline distT="0" distB="0" distL="0" distR="0" wp14:anchorId="36A216CB" wp14:editId="3F4F927D">
            <wp:extent cx="5683826" cy="2662698"/>
            <wp:effectExtent l="19050" t="19050" r="12700" b="23495"/>
            <wp:docPr id="812632625" name="Picture 4" descr="Health statistics in Slough compared to the Royal Borough of Windsor and Maidenhead, and the average for the South East. Slough scores lower than the RBWM and the SE for every statistic. This includes healthy life expectancy for males and females, cardiovascular mortality, Year 6 prevalence of obesity, low birth weight term babies, and percentage of physically active ad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32625" name="Picture 4" descr="Health statistics in Slough compared to the Royal Borough of Windsor and Maidenhead, and the average for the South East. Slough scores lower than the RBWM and the SE for every statistic. This includes healthy life expectancy for males and females, cardiovascular mortality, Year 6 prevalence of obesity, low birth weight term babies, and percentage of physically active adults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3826" cy="2662698"/>
                    </a:xfrm>
                    <a:prstGeom prst="rect">
                      <a:avLst/>
                    </a:prstGeom>
                    <a:noFill/>
                    <a:ln>
                      <a:solidFill>
                        <a:schemeClr val="tx1"/>
                      </a:solidFill>
                    </a:ln>
                  </pic:spPr>
                </pic:pic>
              </a:graphicData>
            </a:graphic>
          </wp:inline>
        </w:drawing>
      </w:r>
    </w:p>
    <w:p w14:paraId="63B7D6A6" w14:textId="41786797" w:rsidR="00024724" w:rsidRDefault="00024724" w:rsidP="005312D9">
      <w:pPr>
        <w:jc w:val="both"/>
      </w:pPr>
      <w:r>
        <w:t>In 2021, 459 people in Slough died prematurely (aged under 75). This was 45% of all deaths in Slough, compared to 33% of deaths in England. The main causes of premature mortality in Slough were cancer and circulatory disease which accounted for 24% and 22% of premature deaths respectively (</w:t>
      </w:r>
      <w:r w:rsidR="00252F8E">
        <w:t>ONS,</w:t>
      </w:r>
      <w:r>
        <w:t xml:space="preserve"> 2023). </w:t>
      </w:r>
    </w:p>
    <w:p w14:paraId="725CB6DB" w14:textId="432AEE50" w:rsidR="00511D2B" w:rsidRDefault="00511D2B" w:rsidP="005312D9">
      <w:pPr>
        <w:jc w:val="both"/>
      </w:pPr>
      <w:r>
        <w:t>There are inequalities in health, primarily between different areas of the borough and between different groups. In the context of air quality specifically, different groups can be disproportionately affected by exposure to pollutants</w:t>
      </w:r>
      <w:r w:rsidR="00D06620">
        <w:t>:</w:t>
      </w:r>
      <w:r>
        <w:t xml:space="preserve"> </w:t>
      </w:r>
    </w:p>
    <w:p w14:paraId="5A121DD2" w14:textId="43C77DB0" w:rsidR="00D06620" w:rsidRDefault="00511D2B" w:rsidP="005312D9">
      <w:pPr>
        <w:pStyle w:val="ListParagraph"/>
        <w:numPr>
          <w:ilvl w:val="0"/>
          <w:numId w:val="12"/>
        </w:numPr>
        <w:jc w:val="both"/>
      </w:pPr>
      <w:r>
        <w:lastRenderedPageBreak/>
        <w:t>Children are particularly susceptible to poor air quality</w:t>
      </w:r>
      <w:r w:rsidR="006E7A09">
        <w:t>,</w:t>
      </w:r>
      <w:r>
        <w:t xml:space="preserve"> as </w:t>
      </w:r>
      <w:r w:rsidR="00D06620">
        <w:t xml:space="preserve">their lungs are </w:t>
      </w:r>
      <w:r w:rsidR="006E7A09">
        <w:t>underdeveloped,</w:t>
      </w:r>
      <w:r w:rsidR="00D06620">
        <w:t xml:space="preserve"> and they inhale more air per body weight than adults. </w:t>
      </w:r>
    </w:p>
    <w:p w14:paraId="3B8B21CE" w14:textId="551CEC6E" w:rsidR="00D06620" w:rsidRDefault="006E7A09" w:rsidP="005312D9">
      <w:pPr>
        <w:pStyle w:val="ListParagraph"/>
        <w:numPr>
          <w:ilvl w:val="0"/>
          <w:numId w:val="12"/>
        </w:numPr>
        <w:jc w:val="both"/>
      </w:pPr>
      <w:r>
        <w:t>Elderly people</w:t>
      </w:r>
      <w:r w:rsidR="00D06620">
        <w:t xml:space="preserve"> are also susceptible, as poor air quality can contribute towards an accelerated decline in lung function and increase risk of developing </w:t>
      </w:r>
      <w:r w:rsidR="00DE1CD0">
        <w:t>heart diseases</w:t>
      </w:r>
      <w:r w:rsidR="00D06620">
        <w:t xml:space="preserve">. </w:t>
      </w:r>
    </w:p>
    <w:p w14:paraId="08513EB9" w14:textId="77777777" w:rsidR="00D06620" w:rsidRDefault="00D06620" w:rsidP="005312D9">
      <w:pPr>
        <w:pStyle w:val="ListParagraph"/>
        <w:numPr>
          <w:ilvl w:val="0"/>
          <w:numId w:val="12"/>
        </w:numPr>
        <w:jc w:val="both"/>
      </w:pPr>
      <w:r>
        <w:t xml:space="preserve">During a woman’s pregnancy, exposure to poor air quality increases the risk of term low birth weight and there is a growing evidence base between prenatal, early-life and childhood exposure to particulate matter and lung function during childhood. </w:t>
      </w:r>
    </w:p>
    <w:p w14:paraId="2BB80BBF" w14:textId="0B8822B8" w:rsidR="0020366C" w:rsidRDefault="00D06620" w:rsidP="005312D9">
      <w:pPr>
        <w:pStyle w:val="ListParagraph"/>
        <w:numPr>
          <w:ilvl w:val="0"/>
          <w:numId w:val="12"/>
        </w:numPr>
        <w:jc w:val="both"/>
      </w:pPr>
      <w:r>
        <w:t>People in lower socio-economic groups are more likely to have existing health conditions that can be exacerbated by poor air quality, and are more likely to live in an area with high deprivation,</w:t>
      </w:r>
      <w:r w:rsidR="0020366C">
        <w:t xml:space="preserve"> and</w:t>
      </w:r>
      <w:r>
        <w:t xml:space="preserve"> </w:t>
      </w:r>
      <w:r w:rsidR="006E7A09">
        <w:t xml:space="preserve">high </w:t>
      </w:r>
      <w:r>
        <w:t xml:space="preserve">traffic </w:t>
      </w:r>
      <w:r w:rsidR="0020366C">
        <w:t>and industrial activity due to affordability.</w:t>
      </w:r>
    </w:p>
    <w:p w14:paraId="00732D6C" w14:textId="69300186" w:rsidR="006E7A09" w:rsidRDefault="006E7A09" w:rsidP="005312D9">
      <w:pPr>
        <w:jc w:val="both"/>
      </w:pPr>
      <w:r>
        <w:t xml:space="preserve">Air pollution can have a significant impact on an individual’s health throughout their life, </w:t>
      </w:r>
      <w:r w:rsidR="00E37C71">
        <w:t xml:space="preserve">starting </w:t>
      </w:r>
      <w:r>
        <w:t xml:space="preserve">from before birth, into adulthood and in later stages of life. There is clear evidence that exposure to poor air quality can initiate and contribute towards the development of cardiovascular and respiratory diseases, including lung cancer. In children, exposure to poor air quality can result in slower development of lung functions, asthma and initiate atherosclerosis. </w:t>
      </w:r>
      <w:r w:rsidR="00E37C71">
        <w:t>In adulthood, these conditions can worsen, leading to coronary heart disease, chronic obstructive pulmonary disease and diabetes. Health impacts to elderly people can include issues with heart function including heart failure, heart attacks and strokes. PM</w:t>
      </w:r>
      <w:r w:rsidR="00E37C71" w:rsidRPr="00A23144">
        <w:rPr>
          <w:vertAlign w:val="subscript"/>
        </w:rPr>
        <w:t>2.5</w:t>
      </w:r>
      <w:r w:rsidR="00E37C71">
        <w:t xml:space="preserve"> specifically can directly cross the olfactory nerve and cause damage to the blood-brain barrier, affecting cognitive performance and increasing the risk of developing dementia.</w:t>
      </w:r>
      <w:r w:rsidR="00E60598">
        <w:rPr>
          <w:rStyle w:val="FootnoteReference"/>
        </w:rPr>
        <w:footnoteReference w:id="12"/>
      </w:r>
      <w:r w:rsidR="00E37C71">
        <w:t xml:space="preserve"> </w:t>
      </w:r>
    </w:p>
    <w:p w14:paraId="6F4CC000" w14:textId="749265AF" w:rsidR="00511D2B" w:rsidRDefault="00985300" w:rsidP="005312D9">
      <w:pPr>
        <w:jc w:val="both"/>
      </w:pPr>
      <w:r>
        <w:t xml:space="preserve">In </w:t>
      </w:r>
      <w:r w:rsidR="005312D9">
        <w:t>2020</w:t>
      </w:r>
      <w:r>
        <w:t xml:space="preserve">, </w:t>
      </w:r>
      <w:r w:rsidR="006E7A09">
        <w:t xml:space="preserve">the first </w:t>
      </w:r>
      <w:r w:rsidR="00E37C71">
        <w:t xml:space="preserve">person in the world </w:t>
      </w:r>
      <w:r>
        <w:t>had</w:t>
      </w:r>
      <w:r w:rsidR="00E37C71">
        <w:t xml:space="preserve"> air pollution listed as a cause of death on </w:t>
      </w:r>
      <w:r>
        <w:t>their</w:t>
      </w:r>
      <w:r w:rsidR="00E37C71">
        <w:t xml:space="preserve"> death certific</w:t>
      </w:r>
      <w:r w:rsidR="00E37C71" w:rsidRPr="00C54124">
        <w:t>ate</w:t>
      </w:r>
      <w:r w:rsidRPr="00C54124">
        <w:t xml:space="preserve"> and was a high profile case in air quality</w:t>
      </w:r>
      <w:r w:rsidR="00C54124">
        <w:t xml:space="preserve"> management</w:t>
      </w:r>
      <w:r w:rsidR="00E37C71">
        <w:t>. Matters of concern raised in the coroners report</w:t>
      </w:r>
      <w:r w:rsidR="00C54124">
        <w:rPr>
          <w:rStyle w:val="FootnoteReference"/>
        </w:rPr>
        <w:footnoteReference w:id="13"/>
      </w:r>
      <w:r w:rsidR="00E37C71">
        <w:t xml:space="preserve"> include </w:t>
      </w:r>
      <w:r w:rsidR="00E60598">
        <w:t>existing concentrations of particulate matter being much higher than recommended WHO standards, which if reduced, would reduce the number of deaths from air pollution in the UK</w:t>
      </w:r>
      <w:r>
        <w:t>;</w:t>
      </w:r>
      <w:r w:rsidR="00E60598">
        <w:t xml:space="preserve"> low awareness of </w:t>
      </w:r>
      <w:r w:rsidR="00E60598">
        <w:lastRenderedPageBreak/>
        <w:t>sources of information to allow individuals to reduce their personal exposure to poor air quality</w:t>
      </w:r>
      <w:r>
        <w:t>;</w:t>
      </w:r>
      <w:r w:rsidR="00E60598">
        <w:t xml:space="preserve"> and insufficient communication of the adverse effects of air pollution on health by medical and nursing professionals. These aspects have been considered in the development of this AQAP. </w:t>
      </w:r>
    </w:p>
    <w:p w14:paraId="5F6F38BB" w14:textId="1B074DA4" w:rsidR="00024724" w:rsidRDefault="00A01745" w:rsidP="0025036F">
      <w:pPr>
        <w:pStyle w:val="Heading3"/>
        <w:numPr>
          <w:ilvl w:val="2"/>
          <w:numId w:val="72"/>
        </w:numPr>
      </w:pPr>
      <w:bookmarkStart w:id="78" w:name="_Toc160129562"/>
      <w:r>
        <w:t>Additional air quality challenges</w:t>
      </w:r>
      <w:bookmarkEnd w:id="78"/>
      <w:r>
        <w:t xml:space="preserve"> </w:t>
      </w:r>
    </w:p>
    <w:p w14:paraId="3B733BBE" w14:textId="5D420BBB" w:rsidR="00096C97" w:rsidRDefault="00096C97" w:rsidP="005312D9">
      <w:bookmarkStart w:id="79" w:name="_Hlk159878853"/>
      <w:r>
        <w:t>Slough’s strategic location in proximity to London and Heathrow</w:t>
      </w:r>
      <w:bookmarkEnd w:id="79"/>
      <w:r w:rsidR="00985300">
        <w:t>,</w:t>
      </w:r>
      <w:r>
        <w:t xml:space="preserve"> and</w:t>
      </w:r>
      <w:r w:rsidR="00985300">
        <w:t xml:space="preserve"> the</w:t>
      </w:r>
      <w:r>
        <w:t xml:space="preserve"> number of headquarters located in Slough makes it an attractive employment location, however due to low skilled workers being based on Slough, this results in a high proportion of workers who commute to Slough from elsewhere. This contributes towards high levels of congestion and worsens air quality for Slough’s residents. </w:t>
      </w:r>
    </w:p>
    <w:p w14:paraId="6CE076AB" w14:textId="0957B934" w:rsidR="00096C97" w:rsidRDefault="00096C97" w:rsidP="005312D9">
      <w:r>
        <w:t xml:space="preserve">Slough is also well connected via the Strategic Road Network (SRN), therefore the mode of choice for those travelling to and from Slough is more likely to be by private </w:t>
      </w:r>
      <w:r w:rsidR="00985300">
        <w:t>vehicle</w:t>
      </w:r>
      <w:r>
        <w:t xml:space="preserve">. </w:t>
      </w:r>
      <w:r w:rsidR="00985300">
        <w:t>Hi</w:t>
      </w:r>
      <w:r>
        <w:t>gh costs, accessibility issues and poor reliability associated with public transport</w:t>
      </w:r>
      <w:r w:rsidR="00985300">
        <w:t xml:space="preserve"> </w:t>
      </w:r>
      <w:r>
        <w:t xml:space="preserve">discourages its use in favour of private </w:t>
      </w:r>
      <w:r w:rsidR="00985300">
        <w:t>vehicle</w:t>
      </w:r>
      <w:r>
        <w:t xml:space="preserve"> use, which is typically seen as a more affordable </w:t>
      </w:r>
      <w:r w:rsidR="00985300">
        <w:t xml:space="preserve">and convenient </w:t>
      </w:r>
      <w:r>
        <w:t xml:space="preserve">travel option. </w:t>
      </w:r>
    </w:p>
    <w:p w14:paraId="5056A297" w14:textId="0AB6C58B" w:rsidR="007D7628" w:rsidRDefault="00096C97" w:rsidP="007D7628">
      <w:r>
        <w:t xml:space="preserve">In addition to the challenges outlined in </w:t>
      </w:r>
      <w:r w:rsidR="00985300">
        <w:t>this</w:t>
      </w:r>
      <w:r>
        <w:t xml:space="preserve"> section, there are certain behaviours and attitudes that are prominent in Slough that contribute towards a worsening of air quality and subsequently poor health. Appendix </w:t>
      </w:r>
      <w:r w:rsidR="00EB4D2B">
        <w:t>E.2</w:t>
      </w:r>
      <w:r>
        <w:t xml:space="preserve"> contains a review of prior consultations undertaken with Slough’s residents, from which the following can be drawn: </w:t>
      </w:r>
    </w:p>
    <w:p w14:paraId="72A464E9" w14:textId="7E8B033F" w:rsidR="006E4DD0" w:rsidRPr="00CE7DE1" w:rsidRDefault="006E4DD0" w:rsidP="007D7628">
      <w:pPr>
        <w:rPr>
          <w:b/>
          <w:bCs/>
        </w:rPr>
      </w:pPr>
      <w:r w:rsidRPr="00CE7DE1">
        <w:rPr>
          <w:b/>
          <w:bCs/>
        </w:rPr>
        <w:t>Vehicle use and ownership</w:t>
      </w:r>
    </w:p>
    <w:p w14:paraId="3B37C0F3" w14:textId="06B34B9A" w:rsidR="00096C97" w:rsidRDefault="001235E2" w:rsidP="00CA4AAD">
      <w:pPr>
        <w:pStyle w:val="ListParagraph"/>
        <w:numPr>
          <w:ilvl w:val="0"/>
          <w:numId w:val="12"/>
        </w:numPr>
      </w:pPr>
      <w:bookmarkStart w:id="80" w:name="_Hlk159878958"/>
      <w:r>
        <w:t>Residents support having a high quantity of private vehicles in Sloug</w:t>
      </w:r>
      <w:r w:rsidR="00A0269A">
        <w:t>h</w:t>
      </w:r>
      <w:r>
        <w:t xml:space="preserve"> and public transport schemes have received little public support (Slough 2040 Vision engagement survey, 2020)</w:t>
      </w:r>
    </w:p>
    <w:p w14:paraId="3EF8CF02" w14:textId="7E3AFAE4" w:rsidR="006E4DD0" w:rsidRPr="007D7628" w:rsidRDefault="006E4DD0" w:rsidP="00CA4AAD">
      <w:pPr>
        <w:pStyle w:val="ListParagraph"/>
        <w:numPr>
          <w:ilvl w:val="0"/>
          <w:numId w:val="12"/>
        </w:numPr>
      </w:pPr>
      <w:bookmarkStart w:id="81" w:name="_Hlk159878986"/>
      <w:bookmarkEnd w:id="80"/>
      <w:r>
        <w:rPr>
          <w:rFonts w:cs="Arial"/>
        </w:rPr>
        <w:t xml:space="preserve">Slough has a high proportion of households with </w:t>
      </w:r>
      <w:r w:rsidR="00BE3E8F">
        <w:rPr>
          <w:rFonts w:cs="Arial"/>
        </w:rPr>
        <w:t>one or more</w:t>
      </w:r>
      <w:r>
        <w:rPr>
          <w:rFonts w:cs="Arial"/>
        </w:rPr>
        <w:t xml:space="preserve"> vehicles relative to its population density </w:t>
      </w:r>
      <w:r w:rsidR="00BE3E8F">
        <w:rPr>
          <w:rFonts w:cs="Arial"/>
        </w:rPr>
        <w:t xml:space="preserve">(79.7%) </w:t>
      </w:r>
      <w:r>
        <w:rPr>
          <w:rFonts w:cs="Arial"/>
        </w:rPr>
        <w:t>when compared with other high density areas including Reading</w:t>
      </w:r>
      <w:r w:rsidR="00BE3E8F">
        <w:rPr>
          <w:rFonts w:cs="Arial"/>
        </w:rPr>
        <w:t xml:space="preserve"> (71.6%)</w:t>
      </w:r>
      <w:r>
        <w:rPr>
          <w:rFonts w:cs="Arial"/>
        </w:rPr>
        <w:t xml:space="preserve">, Portsmouth </w:t>
      </w:r>
      <w:r w:rsidR="00BE3E8F">
        <w:rPr>
          <w:rFonts w:cs="Arial"/>
        </w:rPr>
        <w:t xml:space="preserve">(69.7%) </w:t>
      </w:r>
      <w:r>
        <w:rPr>
          <w:rFonts w:cs="Arial"/>
        </w:rPr>
        <w:t>and Southampton</w:t>
      </w:r>
      <w:r w:rsidR="00BE3E8F">
        <w:rPr>
          <w:rFonts w:cs="Arial"/>
        </w:rPr>
        <w:t xml:space="preserve"> (72.6%)</w:t>
      </w:r>
      <w:r>
        <w:rPr>
          <w:rFonts w:cs="Arial"/>
        </w:rPr>
        <w:t xml:space="preserve">. Likewise Slough has a lower proportion of households without access to a car or van </w:t>
      </w:r>
      <w:r w:rsidR="00BE3E8F">
        <w:rPr>
          <w:rFonts w:cs="Arial"/>
        </w:rPr>
        <w:t xml:space="preserve">(20.3%), compared </w:t>
      </w:r>
      <w:r>
        <w:rPr>
          <w:rFonts w:cs="Arial"/>
        </w:rPr>
        <w:t xml:space="preserve">to </w:t>
      </w:r>
      <w:r w:rsidR="00BE3E8F">
        <w:rPr>
          <w:rFonts w:cs="Arial"/>
        </w:rPr>
        <w:t>Reading (28.4%), Portsmouth (30.3%) and Southampton (27.4%) (ONS, 2021).</w:t>
      </w:r>
    </w:p>
    <w:p w14:paraId="6588D172" w14:textId="51FC4092" w:rsidR="00CE5B1C" w:rsidRPr="006E4DD0" w:rsidRDefault="00985300" w:rsidP="00CA4AAD">
      <w:pPr>
        <w:pStyle w:val="ListParagraph"/>
        <w:numPr>
          <w:ilvl w:val="0"/>
          <w:numId w:val="12"/>
        </w:numPr>
      </w:pPr>
      <w:bookmarkStart w:id="82" w:name="_Hlk159879014"/>
      <w:bookmarkEnd w:id="81"/>
      <w:r>
        <w:lastRenderedPageBreak/>
        <w:t>O</w:t>
      </w:r>
      <w:r w:rsidR="00CE5B1C">
        <w:t>f respondents who engaged in the A4 cycle lane scheme consultation</w:t>
      </w:r>
      <w:r>
        <w:t>, 87%</w:t>
      </w:r>
      <w:r w:rsidR="00CE5B1C">
        <w:t xml:space="preserve"> use private </w:t>
      </w:r>
      <w:r>
        <w:t>car</w:t>
      </w:r>
      <w:r w:rsidR="00CE5B1C">
        <w:t xml:space="preserve"> to travel on the A4</w:t>
      </w:r>
      <w:r w:rsidR="006E4DD0">
        <w:t xml:space="preserve"> </w:t>
      </w:r>
      <w:r w:rsidR="00CE5B1C">
        <w:t>compared to 14.7% by bus</w:t>
      </w:r>
      <w:bookmarkEnd w:id="82"/>
      <w:r w:rsidR="00CE5B1C">
        <w:t xml:space="preserve">, for </w:t>
      </w:r>
      <w:r w:rsidR="006E4DD0">
        <w:t>trips to</w:t>
      </w:r>
      <w:r w:rsidR="00CE5B1C">
        <w:t xml:space="preserve"> shops (79.3%), </w:t>
      </w:r>
      <w:r w:rsidR="00CE5B1C">
        <w:rPr>
          <w:rFonts w:cs="Arial"/>
        </w:rPr>
        <w:t>social / leisure activities (58.7%) and work (54.3%). 71% of respondents said that the scheme would not encourage them to change to a different mode of travel</w:t>
      </w:r>
      <w:r w:rsidR="00BE3E8F">
        <w:rPr>
          <w:rFonts w:cs="Arial"/>
        </w:rPr>
        <w:t xml:space="preserve"> (A4 Cycle Scheme Consultation, 2023). </w:t>
      </w:r>
    </w:p>
    <w:p w14:paraId="4A228EA8" w14:textId="7C9EAE67" w:rsidR="00BE3E8F" w:rsidRPr="003F4FC2" w:rsidRDefault="00BE3E8F" w:rsidP="00CA4AAD">
      <w:pPr>
        <w:pStyle w:val="ListParagraph"/>
        <w:numPr>
          <w:ilvl w:val="0"/>
          <w:numId w:val="12"/>
        </w:numPr>
        <w:spacing w:before="0" w:after="0"/>
        <w:contextualSpacing/>
        <w:rPr>
          <w:rFonts w:cs="Arial"/>
        </w:rPr>
      </w:pPr>
      <w:bookmarkStart w:id="83" w:name="_Hlk159879044"/>
      <w:r>
        <w:rPr>
          <w:rFonts w:cs="Arial"/>
        </w:rPr>
        <w:t xml:space="preserve">For school travel from 2018/19 to 2022/23, car sharing was the second most popular usual mode choice until 2021/22, when this was overtaken by the single child car mode. Single child car mode remains the second most popular usual mode choice, peaking at 38% in 2022/23 (Hands Up </w:t>
      </w:r>
      <w:r w:rsidR="00985300">
        <w:rPr>
          <w:rFonts w:cs="Arial"/>
        </w:rPr>
        <w:t>s</w:t>
      </w:r>
      <w:r>
        <w:rPr>
          <w:rFonts w:cs="Arial"/>
        </w:rPr>
        <w:t>urveys, 2018-2023)</w:t>
      </w:r>
    </w:p>
    <w:p w14:paraId="07EF6311" w14:textId="29351EF2" w:rsidR="006E4DD0" w:rsidRPr="003F4FC2" w:rsidRDefault="006E4DD0" w:rsidP="00CA4AAD">
      <w:pPr>
        <w:pStyle w:val="ListParagraph"/>
        <w:numPr>
          <w:ilvl w:val="0"/>
          <w:numId w:val="12"/>
        </w:numPr>
      </w:pPr>
      <w:bookmarkStart w:id="84" w:name="_Hlk159879052"/>
      <w:bookmarkEnd w:id="83"/>
      <w:r>
        <w:rPr>
          <w:rFonts w:cs="Arial"/>
        </w:rPr>
        <w:t>Of residents who travel to work, the majority (71%) travel in a car or van, and often travel using this mode for short journeys under 10km (68%)</w:t>
      </w:r>
      <w:r w:rsidR="00BE3E8F">
        <w:rPr>
          <w:rFonts w:cs="Arial"/>
        </w:rPr>
        <w:t xml:space="preserve"> (ONS, 2021)</w:t>
      </w:r>
      <w:bookmarkEnd w:id="84"/>
      <w:r w:rsidR="00BE3E8F">
        <w:rPr>
          <w:rFonts w:cs="Arial"/>
        </w:rPr>
        <w:t>.</w:t>
      </w:r>
    </w:p>
    <w:p w14:paraId="7649A043" w14:textId="524BA759" w:rsidR="006E4DD0" w:rsidRPr="00CE7DE1" w:rsidRDefault="006E4DD0" w:rsidP="006E4DD0">
      <w:pPr>
        <w:rPr>
          <w:b/>
          <w:bCs/>
        </w:rPr>
      </w:pPr>
      <w:r w:rsidRPr="00CE7DE1">
        <w:rPr>
          <w:b/>
          <w:bCs/>
        </w:rPr>
        <w:t>Understanding and awareness</w:t>
      </w:r>
    </w:p>
    <w:p w14:paraId="5617ECAC" w14:textId="03824FB0" w:rsidR="00096C97" w:rsidRDefault="00A0269A" w:rsidP="00CA4AAD">
      <w:pPr>
        <w:pStyle w:val="ListParagraph"/>
        <w:numPr>
          <w:ilvl w:val="0"/>
          <w:numId w:val="12"/>
        </w:numPr>
      </w:pPr>
      <w:r>
        <w:t xml:space="preserve">There is a lack of understanding and awareness of the resources available to residents </w:t>
      </w:r>
      <w:r w:rsidR="00CE5B1C">
        <w:t xml:space="preserve">on healthy choices </w:t>
      </w:r>
      <w:r>
        <w:t>and how to access them</w:t>
      </w:r>
      <w:r w:rsidR="00CE5B1C">
        <w:t>, and the subsequent impact of behaviours on health</w:t>
      </w:r>
      <w:r>
        <w:t>, due to a lack of information promotion and engagement</w:t>
      </w:r>
      <w:r w:rsidR="00CE5B1C">
        <w:t xml:space="preserve"> (healthy behaviours survey, 2022).</w:t>
      </w:r>
    </w:p>
    <w:p w14:paraId="2CBE6ED9" w14:textId="55BAD155" w:rsidR="006E4DD0" w:rsidRPr="006E4DD0" w:rsidRDefault="006E4DD0" w:rsidP="00CA4AAD">
      <w:pPr>
        <w:pStyle w:val="ListParagraph"/>
        <w:numPr>
          <w:ilvl w:val="0"/>
          <w:numId w:val="12"/>
        </w:numPr>
      </w:pPr>
      <w:r>
        <w:rPr>
          <w:rFonts w:cs="Arial"/>
        </w:rPr>
        <w:t xml:space="preserve">In regards to awareness of air quality information, 62% </w:t>
      </w:r>
      <w:r w:rsidR="00985300">
        <w:rPr>
          <w:rFonts w:cs="Arial"/>
        </w:rPr>
        <w:t xml:space="preserve">of Slough respondents in the Thinks report (2023) </w:t>
      </w:r>
      <w:r>
        <w:rPr>
          <w:rFonts w:cs="Arial"/>
        </w:rPr>
        <w:t xml:space="preserve">were not aware of Heathrow’s Airwatch website and of that 62%, 44% </w:t>
      </w:r>
      <w:r w:rsidR="00985300">
        <w:rPr>
          <w:rFonts w:cs="Arial"/>
        </w:rPr>
        <w:t xml:space="preserve">voted that they </w:t>
      </w:r>
      <w:r>
        <w:rPr>
          <w:rFonts w:cs="Arial"/>
        </w:rPr>
        <w:t>would not be likely to visit it</w:t>
      </w:r>
      <w:r w:rsidR="00985300">
        <w:rPr>
          <w:rFonts w:cs="Arial"/>
        </w:rPr>
        <w:t>.</w:t>
      </w:r>
    </w:p>
    <w:p w14:paraId="468E65B3" w14:textId="186B98D7" w:rsidR="00104975" w:rsidRPr="00104975" w:rsidRDefault="00104975" w:rsidP="00CA4AAD">
      <w:pPr>
        <w:pStyle w:val="ListParagraph"/>
        <w:numPr>
          <w:ilvl w:val="0"/>
          <w:numId w:val="12"/>
        </w:numPr>
        <w:spacing w:before="0" w:after="0"/>
        <w:contextualSpacing/>
        <w:rPr>
          <w:rFonts w:cs="Arial"/>
        </w:rPr>
      </w:pPr>
      <w:bookmarkStart w:id="85" w:name="_Hlk159678097"/>
      <w:r>
        <w:t xml:space="preserve">Within schools, a strong link between sustainable </w:t>
      </w:r>
      <w:r>
        <w:rPr>
          <w:rFonts w:cs="Arial"/>
        </w:rPr>
        <w:t>travel and health is not apparent, with some schools not actively promoting active travel and others only participating in initiatives for one week of the year. The link between active travel and air quality was only apparent to one participating school in the School Engagement Survey</w:t>
      </w:r>
      <w:r w:rsidR="00985300">
        <w:rPr>
          <w:rFonts w:cs="Arial"/>
        </w:rPr>
        <w:t xml:space="preserve"> (</w:t>
      </w:r>
      <w:r>
        <w:rPr>
          <w:rFonts w:cs="Arial"/>
        </w:rPr>
        <w:t>2024</w:t>
      </w:r>
      <w:r w:rsidR="00985300">
        <w:rPr>
          <w:rFonts w:cs="Arial"/>
        </w:rPr>
        <w:t>)</w:t>
      </w:r>
      <w:r>
        <w:rPr>
          <w:rFonts w:cs="Arial"/>
        </w:rPr>
        <w:t>.</w:t>
      </w:r>
    </w:p>
    <w:p w14:paraId="3B97FD65" w14:textId="5D86F0E8" w:rsidR="00104975" w:rsidRPr="00104975" w:rsidRDefault="00BE3E8F" w:rsidP="00CA4AAD">
      <w:pPr>
        <w:pStyle w:val="ListParagraph"/>
        <w:numPr>
          <w:ilvl w:val="0"/>
          <w:numId w:val="12"/>
        </w:numPr>
      </w:pPr>
      <w:r>
        <w:rPr>
          <w:rFonts w:cs="Arial"/>
        </w:rPr>
        <w:t xml:space="preserve">In schools, 3 out of 9 who engaged in the </w:t>
      </w:r>
      <w:r w:rsidR="00985300">
        <w:rPr>
          <w:rFonts w:cs="Arial"/>
        </w:rPr>
        <w:t xml:space="preserve">school engagement </w:t>
      </w:r>
      <w:r>
        <w:rPr>
          <w:rFonts w:cs="Arial"/>
        </w:rPr>
        <w:t>survey said that they would not like to be kept informed of air quality trends and data, whilst 2 said that they would not like to be kept informed of active travel projects</w:t>
      </w:r>
      <w:r w:rsidR="00C54124">
        <w:rPr>
          <w:rFonts w:cs="Arial"/>
        </w:rPr>
        <w:t>.</w:t>
      </w:r>
      <w:r>
        <w:rPr>
          <w:rFonts w:cs="Arial"/>
        </w:rPr>
        <w:t xml:space="preserve"> Barriers to a lack of involvement in active travel initiatives include lack of resources and capacity, poor communication, and negative perceptions of active travel.</w:t>
      </w:r>
    </w:p>
    <w:p w14:paraId="79F6E69B" w14:textId="1B810B7F" w:rsidR="003F4FC2" w:rsidRPr="00104975" w:rsidRDefault="00BE3E8F" w:rsidP="00CA4AAD">
      <w:pPr>
        <w:pStyle w:val="ListParagraph"/>
        <w:numPr>
          <w:ilvl w:val="0"/>
          <w:numId w:val="12"/>
        </w:numPr>
        <w:spacing w:before="0" w:after="0"/>
        <w:contextualSpacing/>
        <w:rPr>
          <w:rFonts w:cs="Arial"/>
        </w:rPr>
      </w:pPr>
      <w:r>
        <w:rPr>
          <w:rFonts w:cs="Arial"/>
        </w:rPr>
        <w:t>Out of possible air pollutant sources, f</w:t>
      </w:r>
      <w:r w:rsidR="006E4DD0">
        <w:rPr>
          <w:rFonts w:cs="Arial"/>
        </w:rPr>
        <w:t xml:space="preserve">ireplaces (i.e. solid fuel burning) was </w:t>
      </w:r>
      <w:r w:rsidR="00985300">
        <w:rPr>
          <w:rFonts w:cs="Arial"/>
        </w:rPr>
        <w:t xml:space="preserve">not </w:t>
      </w:r>
      <w:r w:rsidR="006E4DD0">
        <w:rPr>
          <w:rFonts w:cs="Arial"/>
        </w:rPr>
        <w:t xml:space="preserve">seen </w:t>
      </w:r>
      <w:r w:rsidR="00104975">
        <w:rPr>
          <w:rFonts w:cs="Arial"/>
        </w:rPr>
        <w:t>as a significant contributor towards poor air quality (selected by</w:t>
      </w:r>
      <w:r w:rsidR="006E4DD0">
        <w:rPr>
          <w:rFonts w:cs="Arial"/>
        </w:rPr>
        <w:t xml:space="preserve"> 2% </w:t>
      </w:r>
      <w:r w:rsidR="00104975">
        <w:rPr>
          <w:rFonts w:cs="Arial"/>
        </w:rPr>
        <w:t xml:space="preserve">of </w:t>
      </w:r>
      <w:r w:rsidR="00104975">
        <w:rPr>
          <w:rFonts w:cs="Arial"/>
        </w:rPr>
        <w:lastRenderedPageBreak/>
        <w:t xml:space="preserve">participants), </w:t>
      </w:r>
      <w:r>
        <w:rPr>
          <w:rFonts w:cs="Arial"/>
        </w:rPr>
        <w:t>which s</w:t>
      </w:r>
      <w:r w:rsidR="006E4DD0">
        <w:rPr>
          <w:rFonts w:cs="Arial"/>
        </w:rPr>
        <w:t xml:space="preserve">uggests much more </w:t>
      </w:r>
      <w:r>
        <w:rPr>
          <w:rFonts w:cs="Arial"/>
        </w:rPr>
        <w:t>engagement</w:t>
      </w:r>
      <w:r w:rsidR="006E4DD0">
        <w:rPr>
          <w:rFonts w:cs="Arial"/>
        </w:rPr>
        <w:t xml:space="preserve"> is needed to raise awareness of the dangers of wood burning</w:t>
      </w:r>
      <w:bookmarkEnd w:id="85"/>
      <w:r w:rsidR="006E4DD0">
        <w:rPr>
          <w:rFonts w:cs="Arial"/>
        </w:rPr>
        <w:t xml:space="preserve"> (Thinks Report, 2023).</w:t>
      </w:r>
    </w:p>
    <w:p w14:paraId="6B972681" w14:textId="10F8F5AC" w:rsidR="00096C97" w:rsidRDefault="00096C97" w:rsidP="00096C97">
      <w:r>
        <w:t>However, th</w:t>
      </w:r>
      <w:r w:rsidR="001235E2">
        <w:t>e</w:t>
      </w:r>
      <w:r>
        <w:t xml:space="preserve"> review </w:t>
      </w:r>
      <w:r w:rsidR="001235E2">
        <w:t xml:space="preserve">in Appendix </w:t>
      </w:r>
      <w:r w:rsidR="00EB4D2B">
        <w:t>E.2</w:t>
      </w:r>
      <w:r w:rsidR="001235E2">
        <w:t xml:space="preserve"> </w:t>
      </w:r>
      <w:r>
        <w:t>has also highlighted the following positive outcomes</w:t>
      </w:r>
      <w:r w:rsidR="005312D9">
        <w:t>:</w:t>
      </w:r>
    </w:p>
    <w:p w14:paraId="4D3AAF2F" w14:textId="2B056BF5" w:rsidR="005312D9" w:rsidRPr="00F73289" w:rsidRDefault="005312D9" w:rsidP="005312D9">
      <w:pPr>
        <w:pStyle w:val="ListParagraph"/>
        <w:numPr>
          <w:ilvl w:val="0"/>
          <w:numId w:val="12"/>
        </w:numPr>
        <w:spacing w:before="0" w:after="0"/>
        <w:contextualSpacing/>
        <w:rPr>
          <w:rFonts w:cs="Arial"/>
        </w:rPr>
      </w:pPr>
      <w:r>
        <w:t xml:space="preserve">Improving </w:t>
      </w:r>
      <w:r>
        <w:rPr>
          <w:rFonts w:cs="Arial"/>
        </w:rPr>
        <w:t>children’s health is an important value for schools in Slough (school engagement survey, 2024) and children are motivated to travel sustainably (hands up surveys, 2018-2022).</w:t>
      </w:r>
    </w:p>
    <w:p w14:paraId="5F5F8327" w14:textId="7DB6B0FE" w:rsidR="005312D9" w:rsidRPr="00F73289" w:rsidRDefault="005312D9" w:rsidP="005312D9">
      <w:pPr>
        <w:pStyle w:val="ListParagraph"/>
        <w:numPr>
          <w:ilvl w:val="0"/>
          <w:numId w:val="12"/>
        </w:numPr>
        <w:spacing w:before="0" w:after="0"/>
        <w:contextualSpacing/>
        <w:rPr>
          <w:rFonts w:cs="Arial"/>
        </w:rPr>
      </w:pPr>
      <w:r>
        <w:rPr>
          <w:rFonts w:cs="Arial"/>
        </w:rPr>
        <w:t xml:space="preserve">When asked about contributors to poor air quality, the majority of respondents (52%) voted that vehicle traffic contributes towards poor air quality, which suggests that Slough residents have a good understanding </w:t>
      </w:r>
      <w:r w:rsidR="00985300">
        <w:rPr>
          <w:rFonts w:cs="Arial"/>
        </w:rPr>
        <w:t xml:space="preserve">that road traffic is </w:t>
      </w:r>
      <w:r>
        <w:rPr>
          <w:rFonts w:cs="Arial"/>
        </w:rPr>
        <w:t xml:space="preserve">the dominant pollutant source in the borough. </w:t>
      </w:r>
    </w:p>
    <w:p w14:paraId="6E374A47" w14:textId="7239613A" w:rsidR="005312D9" w:rsidRDefault="005312D9" w:rsidP="005312D9">
      <w:pPr>
        <w:pStyle w:val="ListParagraph"/>
        <w:numPr>
          <w:ilvl w:val="0"/>
          <w:numId w:val="12"/>
        </w:numPr>
      </w:pPr>
      <w:r>
        <w:t>Slough residents have concerns about their weight (67.3%) and activity levels (65.8%), with a willingness to get active (77.8%), suggesting that there is appetite for active travel related schemes and projects</w:t>
      </w:r>
      <w:r w:rsidR="00985300">
        <w:t xml:space="preserve"> (Healthy Behaviours Survey, 2022).</w:t>
      </w:r>
      <w:r>
        <w:t xml:space="preserve"> </w:t>
      </w:r>
    </w:p>
    <w:p w14:paraId="5A298133" w14:textId="77777777" w:rsidR="005312D9" w:rsidRPr="00F73289" w:rsidRDefault="005312D9" w:rsidP="005312D9">
      <w:pPr>
        <w:pStyle w:val="ListParagraph"/>
        <w:numPr>
          <w:ilvl w:val="0"/>
          <w:numId w:val="12"/>
        </w:numPr>
      </w:pPr>
      <w:r>
        <w:t>Residents</w:t>
      </w:r>
      <w:r>
        <w:rPr>
          <w:rFonts w:cs="Arial"/>
        </w:rPr>
        <w:t xml:space="preserve"> voted that cheaper sustainable travel (e.g discounted public transport), wider public transport links and better public transport infrastructure (70% in total) would encourage them to travel more sustainably (Thinks report, 2023).</w:t>
      </w:r>
    </w:p>
    <w:p w14:paraId="054E61AA" w14:textId="38F82ADE" w:rsidR="005312D9" w:rsidRDefault="005312D9" w:rsidP="005312D9">
      <w:pPr>
        <w:pStyle w:val="ListParagraph"/>
        <w:numPr>
          <w:ilvl w:val="0"/>
          <w:numId w:val="12"/>
        </w:numPr>
        <w:spacing w:before="0" w:after="0"/>
        <w:contextualSpacing/>
        <w:rPr>
          <w:rFonts w:cs="Arial"/>
        </w:rPr>
      </w:pPr>
      <w:r w:rsidRPr="00525A24">
        <w:rPr>
          <w:rFonts w:cs="Arial"/>
        </w:rPr>
        <w:t xml:space="preserve">The community would like to be more involved </w:t>
      </w:r>
      <w:r>
        <w:rPr>
          <w:rFonts w:cs="Arial"/>
        </w:rPr>
        <w:t>in</w:t>
      </w:r>
      <w:r w:rsidRPr="00525A24">
        <w:rPr>
          <w:rFonts w:cs="Arial"/>
        </w:rPr>
        <w:t xml:space="preserve"> community </w:t>
      </w:r>
      <w:r>
        <w:rPr>
          <w:rFonts w:cs="Arial"/>
        </w:rPr>
        <w:t xml:space="preserve">engagement </w:t>
      </w:r>
      <w:r w:rsidRPr="00525A24">
        <w:rPr>
          <w:rFonts w:cs="Arial"/>
        </w:rPr>
        <w:t xml:space="preserve">activities, with 72% agreeing, alongside useful </w:t>
      </w:r>
      <w:r>
        <w:rPr>
          <w:rFonts w:cs="Arial"/>
        </w:rPr>
        <w:t xml:space="preserve">engagement </w:t>
      </w:r>
      <w:r w:rsidRPr="00525A24">
        <w:rPr>
          <w:rFonts w:cs="Arial"/>
        </w:rPr>
        <w:t xml:space="preserve">suggestions including </w:t>
      </w:r>
      <w:r>
        <w:rPr>
          <w:rFonts w:cs="Arial"/>
        </w:rPr>
        <w:t>community meetings, newsletters and surveys, showing an interest in involvement</w:t>
      </w:r>
      <w:r w:rsidR="00985300">
        <w:rPr>
          <w:rFonts w:cs="Arial"/>
        </w:rPr>
        <w:t xml:space="preserve"> (Thinks Report, 2023).</w:t>
      </w:r>
    </w:p>
    <w:p w14:paraId="4EA1505A" w14:textId="0A0B6E7F" w:rsidR="00104975" w:rsidRDefault="00020E33" w:rsidP="00024724">
      <w:r>
        <w:t xml:space="preserve">Slough Borough Council’s most significant challenge </w:t>
      </w:r>
      <w:r w:rsidR="008D08F9">
        <w:t>is</w:t>
      </w:r>
      <w:r>
        <w:t xml:space="preserve"> financial.</w:t>
      </w:r>
    </w:p>
    <w:p w14:paraId="1D946051" w14:textId="43FAD58C" w:rsidR="00104975" w:rsidRDefault="00104975" w:rsidP="00104975">
      <w:r w:rsidRPr="008A09B9">
        <w:t xml:space="preserve">In July 2021, the Council’s S151 officer issued a Notice under Section 114 of the Local Government Finance Act (1988), that available resources are unlikely to meet planned budgetary demands in the financial year 2021/22. </w:t>
      </w:r>
      <w:r>
        <w:t xml:space="preserve">This has continued into 2022/23 and 2023/24, and it is expected that it will take a few more years to achieve a balanced budget alongside required annual savings targets. </w:t>
      </w:r>
      <w:r w:rsidRPr="008A09B9">
        <w:t xml:space="preserve">As a consequence, officer resource and capacity has significantly reduced, </w:t>
      </w:r>
      <w:r>
        <w:t>with two environment</w:t>
      </w:r>
      <w:r w:rsidR="005312D9">
        <w:t xml:space="preserve"> </w:t>
      </w:r>
      <w:r>
        <w:t xml:space="preserve">officers seconded to different roles in 2021, </w:t>
      </w:r>
      <w:r w:rsidRPr="008A09B9">
        <w:t xml:space="preserve">causing a delay to projects </w:t>
      </w:r>
      <w:r w:rsidRPr="00B15AD9">
        <w:t>during 2022</w:t>
      </w:r>
      <w:r>
        <w:t xml:space="preserve"> and 2023</w:t>
      </w:r>
      <w:r w:rsidRPr="00B15AD9">
        <w:t xml:space="preserve">. </w:t>
      </w:r>
    </w:p>
    <w:p w14:paraId="1358556F" w14:textId="008FB7D4" w:rsidR="00096C97" w:rsidRDefault="00104975" w:rsidP="00024724">
      <w:r>
        <w:lastRenderedPageBreak/>
        <w:t xml:space="preserve">This therefore impacts the delivery of actions outlined in Table </w:t>
      </w:r>
      <w:r w:rsidR="00DC1213">
        <w:t>5.</w:t>
      </w:r>
      <w:r w:rsidR="00AE2E6C">
        <w:t>3</w:t>
      </w:r>
      <w:r>
        <w:t xml:space="preserve">. The Council however acknowledges that </w:t>
      </w:r>
      <w:r w:rsidR="00020E33">
        <w:t xml:space="preserve">the seriousness of air quality impacts to the health of Sloughs residents </w:t>
      </w:r>
      <w:r>
        <w:t>cannot</w:t>
      </w:r>
      <w:r w:rsidR="00020E33">
        <w:t xml:space="preserve"> not be underestimated</w:t>
      </w:r>
      <w:r w:rsidR="005312D9">
        <w:t xml:space="preserve"> and</w:t>
      </w:r>
      <w:r w:rsidR="00020E33">
        <w:t xml:space="preserve"> will endeavour to deliver the </w:t>
      </w:r>
      <w:r w:rsidR="00020E33" w:rsidRPr="00C54124">
        <w:t>actions outlined within the plan.</w:t>
      </w:r>
      <w:r w:rsidR="00020E33">
        <w:t xml:space="preserve"> Partnership working</w:t>
      </w:r>
      <w:r w:rsidR="005312D9">
        <w:t xml:space="preserve"> and</w:t>
      </w:r>
      <w:r w:rsidR="00020E33">
        <w:t xml:space="preserve"> </w:t>
      </w:r>
      <w:r w:rsidR="00C54124">
        <w:t>exploring</w:t>
      </w:r>
      <w:r w:rsidR="00020E33">
        <w:t xml:space="preserve"> funding</w:t>
      </w:r>
      <w:r w:rsidR="005312D9">
        <w:t xml:space="preserve"> opportunities will be key in </w:t>
      </w:r>
      <w:r w:rsidR="00C54124">
        <w:t>enabling</w:t>
      </w:r>
      <w:r w:rsidR="00020E33">
        <w:t xml:space="preserve"> the </w:t>
      </w:r>
      <w:r w:rsidR="00C54124">
        <w:t>C</w:t>
      </w:r>
      <w:r w:rsidR="00020E33">
        <w:t>ouncil to deliver the action plan</w:t>
      </w:r>
      <w:r w:rsidR="005312D9">
        <w:t>.</w:t>
      </w:r>
    </w:p>
    <w:p w14:paraId="75EEB07E" w14:textId="77777777" w:rsidR="00C51F09" w:rsidRPr="002B4B5B" w:rsidRDefault="00C51F09" w:rsidP="0025036F">
      <w:pPr>
        <w:pStyle w:val="Heading2"/>
        <w:numPr>
          <w:ilvl w:val="1"/>
          <w:numId w:val="72"/>
        </w:numPr>
      </w:pPr>
      <w:bookmarkStart w:id="86" w:name="_Toc88485997"/>
      <w:bookmarkStart w:id="87" w:name="_Toc160129563"/>
      <w:r w:rsidRPr="002B4B5B">
        <w:t>Planning and Policy Context</w:t>
      </w:r>
      <w:bookmarkEnd w:id="86"/>
      <w:bookmarkEnd w:id="87"/>
    </w:p>
    <w:p w14:paraId="60F5C0AA" w14:textId="53A4CF74" w:rsidR="00C51F09" w:rsidRPr="002D67AF" w:rsidRDefault="002D67AF" w:rsidP="0046508E">
      <w:r w:rsidRPr="002D67AF">
        <w:t>The following section</w:t>
      </w:r>
      <w:r w:rsidR="001157EA">
        <w:t>s</w:t>
      </w:r>
      <w:r w:rsidRPr="002D67AF">
        <w:t xml:space="preserve"> provide a summary of the national legislation and guidance</w:t>
      </w:r>
      <w:r w:rsidR="001157EA">
        <w:t>, and local policy and strategy that has been</w:t>
      </w:r>
      <w:r w:rsidRPr="002D67AF">
        <w:t xml:space="preserve"> considered in the development of the AQAP.</w:t>
      </w:r>
    </w:p>
    <w:p w14:paraId="13FCD963" w14:textId="228395F5" w:rsidR="00CE7DE1" w:rsidRPr="00CE7DE1" w:rsidRDefault="00CE7DE1" w:rsidP="0025036F">
      <w:pPr>
        <w:pStyle w:val="Heading3"/>
        <w:numPr>
          <w:ilvl w:val="2"/>
          <w:numId w:val="72"/>
        </w:numPr>
      </w:pPr>
      <w:bookmarkStart w:id="88" w:name="_Toc160129564"/>
      <w:r>
        <w:t>National Air</w:t>
      </w:r>
      <w:r w:rsidR="009362D5">
        <w:t xml:space="preserve"> Quality Management and Legislation</w:t>
      </w:r>
      <w:bookmarkEnd w:id="88"/>
      <w:r w:rsidR="009362D5">
        <w:t xml:space="preserve"> </w:t>
      </w:r>
    </w:p>
    <w:p w14:paraId="2AB83CC9" w14:textId="007E9A94" w:rsidR="00CE7DE1" w:rsidRPr="00CE7DE1" w:rsidRDefault="00CE7DE1" w:rsidP="0046508E">
      <w:pPr>
        <w:rPr>
          <w:b/>
          <w:bCs/>
        </w:rPr>
      </w:pPr>
      <w:r w:rsidRPr="00CE7DE1">
        <w:rPr>
          <w:b/>
          <w:bCs/>
        </w:rPr>
        <w:t xml:space="preserve">Legislation </w:t>
      </w:r>
    </w:p>
    <w:p w14:paraId="56A8B711" w14:textId="7BCE7ECE" w:rsidR="00C6618F" w:rsidRDefault="00C6618F" w:rsidP="0046508E">
      <w:r>
        <w:t>In England, concentrations of key pollutants are regulated by the Air Quality Standards Regulations 2010</w:t>
      </w:r>
      <w:r w:rsidR="0013236F">
        <w:t>,</w:t>
      </w:r>
      <w:r>
        <w:t xml:space="preserve"> to control human exposure to pollutants by requiring concentrations to be within specified limit values. These limits are legally binding for concentrations in outdoor air for a number of major air pollutants that impact health, which includes nitrogen dioxide (NO</w:t>
      </w:r>
      <w:r w:rsidRPr="00503384">
        <w:rPr>
          <w:vertAlign w:val="subscript"/>
        </w:rPr>
        <w:t>2</w:t>
      </w:r>
      <w:r>
        <w:t>) and particulate matter (PM</w:t>
      </w:r>
      <w:r w:rsidRPr="007D5CC7">
        <w:rPr>
          <w:vertAlign w:val="subscript"/>
        </w:rPr>
        <w:t>10</w:t>
      </w:r>
      <w:r>
        <w:t xml:space="preserve"> and PM</w:t>
      </w:r>
      <w:r w:rsidRPr="007D5CC7">
        <w:rPr>
          <w:vertAlign w:val="subscript"/>
        </w:rPr>
        <w:t>2.5</w:t>
      </w:r>
      <w:r>
        <w:t>)</w:t>
      </w:r>
      <w:r w:rsidR="001157EA">
        <w:t>.</w:t>
      </w:r>
      <w:r w:rsidR="00D34427">
        <w:t xml:space="preserve"> These Regulations consolidated the National Air Quality Objectives defined in the Air Quality (England) Regulations 2000 (amended 2002) and transpose the limits specified in the Ambient </w:t>
      </w:r>
      <w:r w:rsidR="001157EA">
        <w:t>Air Quality Direc</w:t>
      </w:r>
      <w:r w:rsidR="00D34427">
        <w:t>tive 2008 (</w:t>
      </w:r>
      <w:r w:rsidR="00D34427" w:rsidRPr="00D34427">
        <w:t>2008/50/EC</w:t>
      </w:r>
      <w:r w:rsidR="00D34427">
        <w:t>)</w:t>
      </w:r>
      <w:r w:rsidR="001157EA">
        <w:t>.</w:t>
      </w:r>
    </w:p>
    <w:p w14:paraId="5A735299" w14:textId="38666FD9" w:rsidR="00C6618F" w:rsidRDefault="0013236F" w:rsidP="0046508E">
      <w:r>
        <w:t xml:space="preserve">The Secretary of State for Environment, Food and Rural Affairs is responsible for meeting the limit values in England, whilst the national administrations in Scotland, Wales and Northern Ireland are responsible for their </w:t>
      </w:r>
      <w:r w:rsidR="001157EA">
        <w:t>domains</w:t>
      </w:r>
      <w:r>
        <w:t xml:space="preserve">. Assessment of air quality and the production of air quality plans for the UK is coordinated by the Department for Environment, Food and Rural Affairs (Defra). </w:t>
      </w:r>
    </w:p>
    <w:p w14:paraId="5821ECA6" w14:textId="3857F97F" w:rsidR="00441219" w:rsidRDefault="00441219" w:rsidP="0046508E">
      <w:r>
        <w:t xml:space="preserve">A summary of the air quality objectives </w:t>
      </w:r>
      <w:r w:rsidR="001157EA">
        <w:t xml:space="preserve">relevant </w:t>
      </w:r>
      <w:r>
        <w:t>to Slough are provided</w:t>
      </w:r>
      <w:r w:rsidR="00DC1213">
        <w:t xml:space="preserve"> in Table 3.1</w:t>
      </w:r>
      <w:r>
        <w:t xml:space="preserve"> below. Full details of all the </w:t>
      </w:r>
      <w:r w:rsidR="001157EA">
        <w:t xml:space="preserve">UK air quality </w:t>
      </w:r>
      <w:r>
        <w:t>limits and the legislation they relate to</w:t>
      </w:r>
      <w:r w:rsidR="001157EA">
        <w:t xml:space="preserve"> </w:t>
      </w:r>
      <w:r>
        <w:t xml:space="preserve">are provided in Appendix </w:t>
      </w:r>
      <w:r w:rsidR="00EB4D2B">
        <w:t>G</w:t>
      </w:r>
      <w:r>
        <w:t>.</w:t>
      </w:r>
    </w:p>
    <w:p w14:paraId="4DE5B862" w14:textId="77777777" w:rsidR="00DE1CD0" w:rsidRDefault="00DE1CD0" w:rsidP="0046508E"/>
    <w:p w14:paraId="14C6BC6F" w14:textId="77777777" w:rsidR="00DE1CD0" w:rsidRDefault="00DE1CD0" w:rsidP="0046508E"/>
    <w:p w14:paraId="16BD41E7" w14:textId="3EF7FEF3" w:rsidR="00DE1CD0" w:rsidRPr="00C6618F" w:rsidRDefault="00DE1CD0" w:rsidP="00DE1CD0">
      <w:pPr>
        <w:pStyle w:val="Tables"/>
      </w:pPr>
      <w:bookmarkStart w:id="89" w:name="_Toc160128552"/>
      <w:r>
        <w:lastRenderedPageBreak/>
        <w:t>Table 3.1: Air Quality Objectives (AQOs) applicable to Slough</w:t>
      </w:r>
      <w:bookmarkEnd w:id="89"/>
      <w:r>
        <w:t xml:space="preserve"> </w:t>
      </w:r>
    </w:p>
    <w:tbl>
      <w:tblPr>
        <w:tblStyle w:val="TableStyle4"/>
        <w:tblW w:w="9067" w:type="dxa"/>
        <w:tblLook w:val="04A0" w:firstRow="1" w:lastRow="0" w:firstColumn="1" w:lastColumn="0" w:noHBand="0" w:noVBand="1"/>
        <w:tblCaption w:val="Air Quality Objectives in England"/>
      </w:tblPr>
      <w:tblGrid>
        <w:gridCol w:w="2282"/>
        <w:gridCol w:w="5226"/>
        <w:gridCol w:w="1559"/>
      </w:tblGrid>
      <w:tr w:rsidR="00B5617D" w:rsidRPr="0097313B" w14:paraId="6739A1BB" w14:textId="77777777" w:rsidTr="007E70C3">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282" w:type="dxa"/>
          </w:tcPr>
          <w:p w14:paraId="566F35F9" w14:textId="77777777" w:rsidR="00B5617D" w:rsidRPr="00130A54" w:rsidRDefault="00B5617D" w:rsidP="007E70C3">
            <w:pPr>
              <w:spacing w:line="240" w:lineRule="auto"/>
              <w:jc w:val="left"/>
              <w:rPr>
                <w:rFonts w:cs="Arial"/>
                <w:sz w:val="20"/>
              </w:rPr>
            </w:pPr>
            <w:bookmarkStart w:id="90" w:name="_Hlk159578221"/>
            <w:r w:rsidRPr="00130A54">
              <w:rPr>
                <w:rFonts w:cs="Arial"/>
                <w:sz w:val="20"/>
              </w:rPr>
              <w:t>Pollutant</w:t>
            </w:r>
          </w:p>
        </w:tc>
        <w:tc>
          <w:tcPr>
            <w:tcW w:w="5226" w:type="dxa"/>
          </w:tcPr>
          <w:p w14:paraId="037669CD" w14:textId="77777777" w:rsidR="00B5617D" w:rsidRPr="00130A54" w:rsidRDefault="00B5617D" w:rsidP="007E70C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1559" w:type="dxa"/>
          </w:tcPr>
          <w:p w14:paraId="70C596DD" w14:textId="77777777" w:rsidR="00B5617D" w:rsidRPr="00130A54" w:rsidRDefault="00B5617D" w:rsidP="007E70C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B5617D" w:rsidRPr="0097313B" w14:paraId="6DBA8FC7" w14:textId="77777777" w:rsidTr="007E70C3">
        <w:trPr>
          <w:trHeight w:val="306"/>
        </w:trPr>
        <w:tc>
          <w:tcPr>
            <w:cnfStyle w:val="001000000000" w:firstRow="0" w:lastRow="0" w:firstColumn="1" w:lastColumn="0" w:oddVBand="0" w:evenVBand="0" w:oddHBand="0" w:evenHBand="0" w:firstRowFirstColumn="0" w:firstRowLastColumn="0" w:lastRowFirstColumn="0" w:lastRowLastColumn="0"/>
            <w:tcW w:w="2282" w:type="dxa"/>
          </w:tcPr>
          <w:p w14:paraId="28FE701B" w14:textId="77777777" w:rsidR="00B5617D" w:rsidRPr="0097313B" w:rsidRDefault="00B5617D" w:rsidP="007E70C3">
            <w:pPr>
              <w:spacing w:line="240" w:lineRule="auto"/>
              <w:jc w:val="left"/>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226" w:type="dxa"/>
          </w:tcPr>
          <w:p w14:paraId="441F883C"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559" w:type="dxa"/>
          </w:tcPr>
          <w:p w14:paraId="08BA4A21"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B5617D" w:rsidRPr="0097313B" w14:paraId="628193B3" w14:textId="77777777" w:rsidTr="007E70C3">
        <w:trPr>
          <w:trHeight w:val="305"/>
        </w:trPr>
        <w:tc>
          <w:tcPr>
            <w:cnfStyle w:val="001000000000" w:firstRow="0" w:lastRow="0" w:firstColumn="1" w:lastColumn="0" w:oddVBand="0" w:evenVBand="0" w:oddHBand="0" w:evenHBand="0" w:firstRowFirstColumn="0" w:firstRowLastColumn="0" w:lastRowFirstColumn="0" w:lastRowLastColumn="0"/>
            <w:tcW w:w="2282" w:type="dxa"/>
          </w:tcPr>
          <w:p w14:paraId="292AC38D" w14:textId="77777777" w:rsidR="00B5617D" w:rsidRPr="0097313B" w:rsidRDefault="00B5617D" w:rsidP="007E70C3">
            <w:pPr>
              <w:spacing w:line="240" w:lineRule="auto"/>
              <w:jc w:val="left"/>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226" w:type="dxa"/>
          </w:tcPr>
          <w:p w14:paraId="689CAE3E"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559" w:type="dxa"/>
          </w:tcPr>
          <w:p w14:paraId="5DD57F4D"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B5617D" w:rsidRPr="0097313B" w14:paraId="5F61C1FA" w14:textId="77777777" w:rsidTr="007E70C3">
        <w:trPr>
          <w:trHeight w:val="306"/>
        </w:trPr>
        <w:tc>
          <w:tcPr>
            <w:cnfStyle w:val="001000000000" w:firstRow="0" w:lastRow="0" w:firstColumn="1" w:lastColumn="0" w:oddVBand="0" w:evenVBand="0" w:oddHBand="0" w:evenHBand="0" w:firstRowFirstColumn="0" w:firstRowLastColumn="0" w:lastRowFirstColumn="0" w:lastRowLastColumn="0"/>
            <w:tcW w:w="2282" w:type="dxa"/>
          </w:tcPr>
          <w:p w14:paraId="200C14FE" w14:textId="77777777" w:rsidR="00B5617D" w:rsidRPr="0097313B" w:rsidRDefault="00B5617D" w:rsidP="007E70C3">
            <w:pPr>
              <w:spacing w:line="240" w:lineRule="auto"/>
              <w:jc w:val="left"/>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226" w:type="dxa"/>
          </w:tcPr>
          <w:p w14:paraId="0A8E1B62"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559" w:type="dxa"/>
          </w:tcPr>
          <w:p w14:paraId="08BD408B"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B5617D" w:rsidRPr="0097313B" w14:paraId="17FA7277" w14:textId="77777777" w:rsidTr="007E70C3">
        <w:trPr>
          <w:trHeight w:val="305"/>
        </w:trPr>
        <w:tc>
          <w:tcPr>
            <w:cnfStyle w:val="001000000000" w:firstRow="0" w:lastRow="0" w:firstColumn="1" w:lastColumn="0" w:oddVBand="0" w:evenVBand="0" w:oddHBand="0" w:evenHBand="0" w:firstRowFirstColumn="0" w:firstRowLastColumn="0" w:lastRowFirstColumn="0" w:lastRowLastColumn="0"/>
            <w:tcW w:w="2282" w:type="dxa"/>
          </w:tcPr>
          <w:p w14:paraId="445B777A" w14:textId="77777777" w:rsidR="00B5617D" w:rsidRPr="0097313B" w:rsidRDefault="00B5617D" w:rsidP="007E70C3">
            <w:pPr>
              <w:spacing w:line="240" w:lineRule="auto"/>
              <w:jc w:val="left"/>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226" w:type="dxa"/>
          </w:tcPr>
          <w:p w14:paraId="04034D21"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559" w:type="dxa"/>
          </w:tcPr>
          <w:p w14:paraId="0DB29B3F" w14:textId="77777777" w:rsidR="00B5617D" w:rsidRPr="0097313B" w:rsidRDefault="00B5617D"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B5617D" w:rsidRPr="0097313B" w14:paraId="7ACFB010" w14:textId="77777777" w:rsidTr="007E70C3">
        <w:trPr>
          <w:trHeight w:val="205"/>
        </w:trPr>
        <w:tc>
          <w:tcPr>
            <w:cnfStyle w:val="001000000000" w:firstRow="0" w:lastRow="0" w:firstColumn="1" w:lastColumn="0" w:oddVBand="0" w:evenVBand="0" w:oddHBand="0" w:evenHBand="0" w:firstRowFirstColumn="0" w:firstRowLastColumn="0" w:lastRowFirstColumn="0" w:lastRowLastColumn="0"/>
            <w:tcW w:w="2282" w:type="dxa"/>
          </w:tcPr>
          <w:p w14:paraId="3FA0D23D" w14:textId="77777777" w:rsidR="00B5617D" w:rsidRDefault="0013236F" w:rsidP="007E70C3">
            <w:pPr>
              <w:spacing w:line="240" w:lineRule="auto"/>
              <w:jc w:val="left"/>
              <w:rPr>
                <w:rFonts w:cs="Arial"/>
                <w:sz w:val="20"/>
              </w:rPr>
            </w:pPr>
            <w:r>
              <w:rPr>
                <w:rFonts w:cs="Arial"/>
                <w:sz w:val="20"/>
              </w:rPr>
              <w:t xml:space="preserve">Particulate Matter </w:t>
            </w:r>
          </w:p>
          <w:p w14:paraId="7E060A01" w14:textId="4C1469A2" w:rsidR="0013236F" w:rsidRPr="0013236F" w:rsidRDefault="0013236F" w:rsidP="007E70C3">
            <w:pPr>
              <w:spacing w:line="240" w:lineRule="auto"/>
              <w:jc w:val="left"/>
              <w:rPr>
                <w:rFonts w:cs="Arial"/>
                <w:sz w:val="20"/>
              </w:rPr>
            </w:pPr>
            <w:r>
              <w:rPr>
                <w:rFonts w:cs="Arial"/>
                <w:sz w:val="20"/>
              </w:rPr>
              <w:t>(PM</w:t>
            </w:r>
            <w:r>
              <w:rPr>
                <w:rFonts w:cs="Arial"/>
                <w:sz w:val="20"/>
                <w:vertAlign w:val="subscript"/>
              </w:rPr>
              <w:t>2.5</w:t>
            </w:r>
            <w:r>
              <w:rPr>
                <w:rFonts w:cs="Arial"/>
                <w:sz w:val="20"/>
              </w:rPr>
              <w:t>)</w:t>
            </w:r>
          </w:p>
        </w:tc>
        <w:tc>
          <w:tcPr>
            <w:tcW w:w="5226" w:type="dxa"/>
          </w:tcPr>
          <w:p w14:paraId="48BAD335" w14:textId="3E6303C3" w:rsidR="00B5617D" w:rsidRPr="0013236F" w:rsidRDefault="0013236F" w:rsidP="007E70C3">
            <w:pPr>
              <w:spacing w:line="240" w:lineRule="auto"/>
              <w:jc w:val="left"/>
              <w:cnfStyle w:val="000000000000" w:firstRow="0" w:lastRow="0" w:firstColumn="0" w:lastColumn="0" w:oddVBand="0" w:evenVBand="0" w:oddHBand="0" w:evenHBand="0" w:firstRowFirstColumn="0" w:firstRowLastColumn="0" w:lastRowFirstColumn="0" w:lastRowLastColumn="0"/>
            </w:pPr>
            <w:r>
              <w:rPr>
                <w:rFonts w:cs="Arial"/>
                <w:sz w:val="20"/>
              </w:rPr>
              <w:t>20</w:t>
            </w:r>
            <w:r w:rsidRPr="0097313B">
              <w:rPr>
                <w:rFonts w:cs="Arial"/>
                <w:sz w:val="20"/>
              </w:rPr>
              <w:t>µg/m</w:t>
            </w:r>
            <w:r w:rsidRPr="0097313B">
              <w:rPr>
                <w:rFonts w:cs="Arial"/>
                <w:sz w:val="20"/>
                <w:vertAlign w:val="superscript"/>
              </w:rPr>
              <w:t>3</w:t>
            </w:r>
          </w:p>
        </w:tc>
        <w:tc>
          <w:tcPr>
            <w:tcW w:w="1559" w:type="dxa"/>
          </w:tcPr>
          <w:p w14:paraId="4245620F" w14:textId="386F3AC9" w:rsidR="00B5617D" w:rsidRPr="0097313B" w:rsidRDefault="0013236F" w:rsidP="007E70C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Annual mean</w:t>
            </w:r>
          </w:p>
        </w:tc>
      </w:tr>
      <w:tr w:rsidR="0013236F" w:rsidRPr="0097313B" w14:paraId="1AF7F145" w14:textId="77777777" w:rsidTr="007E70C3">
        <w:trPr>
          <w:trHeight w:val="205"/>
        </w:trPr>
        <w:tc>
          <w:tcPr>
            <w:cnfStyle w:val="001000000000" w:firstRow="0" w:lastRow="0" w:firstColumn="1" w:lastColumn="0" w:oddVBand="0" w:evenVBand="0" w:oddHBand="0" w:evenHBand="0" w:firstRowFirstColumn="0" w:firstRowLastColumn="0" w:lastRowFirstColumn="0" w:lastRowLastColumn="0"/>
            <w:tcW w:w="2282" w:type="dxa"/>
          </w:tcPr>
          <w:p w14:paraId="7F6790EA" w14:textId="77777777" w:rsidR="0013236F" w:rsidRDefault="0013236F" w:rsidP="0013236F">
            <w:pPr>
              <w:spacing w:line="240" w:lineRule="auto"/>
              <w:jc w:val="left"/>
              <w:rPr>
                <w:rFonts w:cs="Arial"/>
                <w:sz w:val="20"/>
              </w:rPr>
            </w:pPr>
            <w:r>
              <w:rPr>
                <w:rFonts w:cs="Arial"/>
                <w:sz w:val="20"/>
              </w:rPr>
              <w:t xml:space="preserve">Particulate Matter </w:t>
            </w:r>
          </w:p>
          <w:p w14:paraId="201149A3" w14:textId="432F56B8" w:rsidR="0013236F" w:rsidRDefault="0013236F" w:rsidP="0013236F">
            <w:pPr>
              <w:spacing w:line="240" w:lineRule="auto"/>
              <w:jc w:val="left"/>
              <w:rPr>
                <w:rFonts w:cs="Arial"/>
                <w:sz w:val="20"/>
              </w:rPr>
            </w:pPr>
            <w:r>
              <w:rPr>
                <w:rFonts w:cs="Arial"/>
                <w:sz w:val="20"/>
              </w:rPr>
              <w:t>(PM</w:t>
            </w:r>
            <w:r>
              <w:rPr>
                <w:rFonts w:cs="Arial"/>
                <w:sz w:val="20"/>
                <w:vertAlign w:val="subscript"/>
              </w:rPr>
              <w:t>2.5</w:t>
            </w:r>
            <w:r>
              <w:rPr>
                <w:rFonts w:cs="Arial"/>
                <w:sz w:val="20"/>
              </w:rPr>
              <w:t>)</w:t>
            </w:r>
          </w:p>
        </w:tc>
        <w:tc>
          <w:tcPr>
            <w:tcW w:w="5226" w:type="dxa"/>
          </w:tcPr>
          <w:p w14:paraId="61B52169" w14:textId="77777777" w:rsidR="0013236F" w:rsidRDefault="0013236F" w:rsidP="0013236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1</w:t>
            </w:r>
            <w:r w:rsidRPr="0013236F">
              <w:rPr>
                <w:rFonts w:cs="Arial"/>
                <w:sz w:val="20"/>
              </w:rPr>
              <w:t>0µg/m</w:t>
            </w:r>
            <w:r w:rsidRPr="007D5CC7">
              <w:rPr>
                <w:rFonts w:cs="Arial"/>
                <w:sz w:val="20"/>
                <w:vertAlign w:val="superscript"/>
              </w:rPr>
              <w:t>3</w:t>
            </w:r>
            <w:r w:rsidRPr="0013236F">
              <w:rPr>
                <w:rFonts w:cs="Arial"/>
                <w:sz w:val="20"/>
              </w:rPr>
              <w:t xml:space="preserve"> not to be exceeded at any relevant monitoring station</w:t>
            </w:r>
            <w:r>
              <w:rPr>
                <w:rFonts w:cs="Arial"/>
                <w:sz w:val="20"/>
              </w:rPr>
              <w:t xml:space="preserve"> by 31</w:t>
            </w:r>
            <w:r w:rsidRPr="0013236F">
              <w:rPr>
                <w:rFonts w:cs="Arial"/>
                <w:sz w:val="20"/>
                <w:vertAlign w:val="superscript"/>
              </w:rPr>
              <w:t>st</w:t>
            </w:r>
            <w:r>
              <w:rPr>
                <w:rFonts w:cs="Arial"/>
                <w:sz w:val="20"/>
              </w:rPr>
              <w:t xml:space="preserve"> December 2040</w:t>
            </w:r>
          </w:p>
          <w:p w14:paraId="5242A4B7" w14:textId="0F3F8051" w:rsidR="0013236F" w:rsidRDefault="0013236F" w:rsidP="0013236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Interim target: 12</w:t>
            </w:r>
            <w:r w:rsidRPr="0013236F">
              <w:rPr>
                <w:rFonts w:cs="Arial"/>
                <w:sz w:val="20"/>
              </w:rPr>
              <w:t>µg/m</w:t>
            </w:r>
            <w:r w:rsidRPr="007D5CC7">
              <w:rPr>
                <w:rFonts w:cs="Arial"/>
                <w:sz w:val="20"/>
                <w:vertAlign w:val="superscript"/>
              </w:rPr>
              <w:t>3</w:t>
            </w:r>
            <w:r w:rsidRPr="0013236F">
              <w:rPr>
                <w:rFonts w:cs="Arial"/>
                <w:sz w:val="20"/>
              </w:rPr>
              <w:t xml:space="preserve"> not to be exceeded at any relevant monitoring station</w:t>
            </w:r>
            <w:r>
              <w:rPr>
                <w:rFonts w:cs="Arial"/>
                <w:sz w:val="20"/>
              </w:rPr>
              <w:t xml:space="preserve"> by 31</w:t>
            </w:r>
            <w:r w:rsidRPr="0013236F">
              <w:rPr>
                <w:rFonts w:cs="Arial"/>
                <w:sz w:val="20"/>
                <w:vertAlign w:val="superscript"/>
              </w:rPr>
              <w:t>st</w:t>
            </w:r>
            <w:r>
              <w:rPr>
                <w:rFonts w:cs="Arial"/>
                <w:sz w:val="20"/>
              </w:rPr>
              <w:t xml:space="preserve"> December 2028</w:t>
            </w:r>
          </w:p>
        </w:tc>
        <w:tc>
          <w:tcPr>
            <w:tcW w:w="1559" w:type="dxa"/>
          </w:tcPr>
          <w:p w14:paraId="61B5EAA7" w14:textId="0416CD36" w:rsidR="0013236F" w:rsidRDefault="0013236F" w:rsidP="0013236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Annual mean</w:t>
            </w:r>
          </w:p>
        </w:tc>
      </w:tr>
      <w:bookmarkEnd w:id="90"/>
    </w:tbl>
    <w:p w14:paraId="0AABC9E7" w14:textId="77777777" w:rsidR="00DE1CD0" w:rsidRDefault="00DE1CD0" w:rsidP="00DE1CD0">
      <w:pPr>
        <w:spacing w:before="0" w:after="0"/>
      </w:pPr>
    </w:p>
    <w:p w14:paraId="3FBE7063" w14:textId="52E3DD40" w:rsidR="00C6618F" w:rsidRDefault="00043C8A" w:rsidP="00C6618F">
      <w:r>
        <w:t xml:space="preserve">The </w:t>
      </w:r>
      <w:r w:rsidR="00C6618F" w:rsidRPr="00C6618F">
        <w:t xml:space="preserve">Environment Act 1995 </w:t>
      </w:r>
      <w:r>
        <w:t>(amended 2</w:t>
      </w:r>
      <w:r w:rsidR="00C6618F" w:rsidRPr="00C6618F">
        <w:t>021</w:t>
      </w:r>
      <w:r>
        <w:t>) r</w:t>
      </w:r>
      <w:r w:rsidR="00C6618F" w:rsidRPr="00C6618F">
        <w:t>equires</w:t>
      </w:r>
      <w:r>
        <w:t xml:space="preserve"> the</w:t>
      </w:r>
      <w:r w:rsidR="00C6618F" w:rsidRPr="00C6618F">
        <w:t xml:space="preserve"> Government to produce</w:t>
      </w:r>
      <w:r>
        <w:t xml:space="preserve"> an</w:t>
      </w:r>
      <w:r w:rsidR="00C6618F" w:rsidRPr="00C6618F">
        <w:t xml:space="preserve"> Air Quality Strategy</w:t>
      </w:r>
      <w:r>
        <w:t xml:space="preserve">. The 2007 Air Quality Strategy was superseded by the Air Quality Strategy: Framework for Local Authority </w:t>
      </w:r>
      <w:r w:rsidR="001157EA">
        <w:t>D</w:t>
      </w:r>
      <w:r>
        <w:t>eliver</w:t>
      </w:r>
      <w:r w:rsidR="001157EA">
        <w:t>y</w:t>
      </w:r>
      <w:r w:rsidR="001157EA">
        <w:rPr>
          <w:rStyle w:val="FootnoteReference"/>
        </w:rPr>
        <w:footnoteReference w:id="14"/>
      </w:r>
      <w:r>
        <w:t xml:space="preserve"> which was published by the UK Government in April 2023. </w:t>
      </w:r>
      <w:r w:rsidR="00F964F8">
        <w:t>The priorities defined within the Strategy include:</w:t>
      </w:r>
    </w:p>
    <w:p w14:paraId="4FCC2816" w14:textId="77777777" w:rsidR="00F964F8" w:rsidRDefault="00F964F8" w:rsidP="00CA4AAD">
      <w:pPr>
        <w:pStyle w:val="ListParagraph"/>
        <w:numPr>
          <w:ilvl w:val="0"/>
          <w:numId w:val="15"/>
        </w:numPr>
        <w:spacing w:before="0" w:after="0"/>
      </w:pPr>
      <w:r>
        <w:t>Planning reforms helping to deliver on air quality.</w:t>
      </w:r>
    </w:p>
    <w:p w14:paraId="662AB7CB" w14:textId="77777777" w:rsidR="00F964F8" w:rsidRDefault="00F964F8" w:rsidP="00CA4AAD">
      <w:pPr>
        <w:pStyle w:val="ListParagraph"/>
        <w:numPr>
          <w:ilvl w:val="0"/>
          <w:numId w:val="15"/>
        </w:numPr>
        <w:spacing w:before="0" w:after="0"/>
      </w:pPr>
      <w:r>
        <w:t>Building capacity in local councils through training, guidance and knowledge sharing.</w:t>
      </w:r>
    </w:p>
    <w:p w14:paraId="0FD9E4DB" w14:textId="77777777" w:rsidR="00F964F8" w:rsidRDefault="00F964F8" w:rsidP="00CA4AAD">
      <w:pPr>
        <w:pStyle w:val="ListParagraph"/>
        <w:numPr>
          <w:ilvl w:val="0"/>
          <w:numId w:val="15"/>
        </w:numPr>
        <w:spacing w:before="0" w:after="0"/>
      </w:pPr>
      <w:r>
        <w:t>Reducing emissions from industrial sources through improved enforcement of environmental permits.</w:t>
      </w:r>
    </w:p>
    <w:p w14:paraId="352D4D92" w14:textId="77777777" w:rsidR="00F964F8" w:rsidRDefault="00F964F8" w:rsidP="00CA4AAD">
      <w:pPr>
        <w:pStyle w:val="ListParagraph"/>
        <w:numPr>
          <w:ilvl w:val="0"/>
          <w:numId w:val="15"/>
        </w:numPr>
        <w:spacing w:before="0" w:after="0"/>
      </w:pPr>
      <w:r>
        <w:t>Reducing pollution from domestic burning through smoke control areas and cleaner fuels.</w:t>
      </w:r>
    </w:p>
    <w:p w14:paraId="2605B3BB" w14:textId="77777777" w:rsidR="00F964F8" w:rsidRDefault="00F964F8" w:rsidP="00CA4AAD">
      <w:pPr>
        <w:pStyle w:val="ListParagraph"/>
        <w:numPr>
          <w:ilvl w:val="0"/>
          <w:numId w:val="15"/>
        </w:numPr>
        <w:spacing w:before="0" w:after="0"/>
      </w:pPr>
      <w:r>
        <w:t>Raising awareness within local communities of air quality impacts and how to reduce them.</w:t>
      </w:r>
    </w:p>
    <w:p w14:paraId="1485B56A" w14:textId="43CCD0AB" w:rsidR="00F964F8" w:rsidRPr="00C6618F" w:rsidRDefault="00F964F8" w:rsidP="00CA4AAD">
      <w:pPr>
        <w:pStyle w:val="ListParagraph"/>
        <w:numPr>
          <w:ilvl w:val="0"/>
          <w:numId w:val="15"/>
        </w:numPr>
        <w:spacing w:before="0" w:after="0"/>
      </w:pPr>
      <w:r>
        <w:t>Boosting active travel and public transport to improve air quality.</w:t>
      </w:r>
    </w:p>
    <w:p w14:paraId="6FC0DDB6" w14:textId="6CF92C2F" w:rsidR="00B5617D" w:rsidRDefault="00C6618F" w:rsidP="009362D5">
      <w:r w:rsidRPr="00C6618F">
        <w:lastRenderedPageBreak/>
        <w:t xml:space="preserve">Part IV </w:t>
      </w:r>
      <w:r w:rsidR="00F964F8">
        <w:t xml:space="preserve">of the Environment Act 1995 (amended 2021) outlines </w:t>
      </w:r>
      <w:r w:rsidRPr="00C6618F">
        <w:t xml:space="preserve">Local Air Quality Management </w:t>
      </w:r>
      <w:r w:rsidR="00F964F8">
        <w:t>duties that local authorities must undertake. Local authorities are responsible for undertaking a review and assessment of air quality in their a</w:t>
      </w:r>
      <w:r w:rsidR="00D93AE8">
        <w:t>re</w:t>
      </w:r>
      <w:r w:rsidR="00F964F8">
        <w:t>as, to ident</w:t>
      </w:r>
      <w:r w:rsidR="009362D5">
        <w:t xml:space="preserve">ify areas where national air quality objectives will not be achieved. Areas that are above legal limits or are likely to breach these limits, must be declared as an Air Quality Management Area </w:t>
      </w:r>
      <w:r w:rsidR="007B3BD4">
        <w:t>(</w:t>
      </w:r>
      <w:r w:rsidR="009362D5">
        <w:t>AQMA</w:t>
      </w:r>
      <w:r w:rsidR="007B3BD4">
        <w:t>)</w:t>
      </w:r>
      <w:r w:rsidR="009362D5">
        <w:t xml:space="preserve">. Once an AQMA has been declared, the local authority is required to develop an Air Quality Action Plan (AQAP), </w:t>
      </w:r>
      <w:r w:rsidRPr="00C6618F">
        <w:t xml:space="preserve">setting out measures to </w:t>
      </w:r>
      <w:r w:rsidR="00E276CB">
        <w:t xml:space="preserve">improve air quality within the specified area in order to </w:t>
      </w:r>
      <w:r w:rsidRPr="00C6618F">
        <w:t>revoke the AQMA, and dates by which they will be carried out</w:t>
      </w:r>
      <w:r>
        <w:t>.</w:t>
      </w:r>
    </w:p>
    <w:p w14:paraId="518C8B64" w14:textId="3370A3AD" w:rsidR="00C6618F" w:rsidRPr="00412F35" w:rsidRDefault="00C6618F" w:rsidP="0046508E">
      <w:r w:rsidRPr="00C6618F">
        <w:t xml:space="preserve">All local authorities are expected to take proactive action to improve air quality, whether or not they have an </w:t>
      </w:r>
      <w:r w:rsidR="00E276CB">
        <w:t>AQMA</w:t>
      </w:r>
      <w:r w:rsidR="00F964F8">
        <w:t xml:space="preserve">. </w:t>
      </w:r>
      <w:r w:rsidRPr="00C6618F">
        <w:t xml:space="preserve"> </w:t>
      </w:r>
      <w:r w:rsidR="009362D5">
        <w:t>Local authorities which have no active AQMAs are required to produce a</w:t>
      </w:r>
      <w:r w:rsidRPr="00C6618F">
        <w:t>n Air Quality Strategy</w:t>
      </w:r>
      <w:r w:rsidR="009362D5">
        <w:t xml:space="preserve"> which details how compliance with air quality objectives will be</w:t>
      </w:r>
      <w:r w:rsidR="00412F35">
        <w:t xml:space="preserve"> </w:t>
      </w:r>
      <w:r w:rsidR="00C54124">
        <w:t>maintained</w:t>
      </w:r>
      <w:r w:rsidR="00E276CB" w:rsidRPr="00C54124">
        <w:t xml:space="preserve">, therefore </w:t>
      </w:r>
      <w:r w:rsidR="00C54124">
        <w:t xml:space="preserve">long term air quality management is a statutory duty and </w:t>
      </w:r>
      <w:r w:rsidR="00892DB3">
        <w:t xml:space="preserve">this requirement ensures </w:t>
      </w:r>
      <w:r w:rsidR="00C54124">
        <w:t xml:space="preserve">that air quality management remains a high priority for local authorities. </w:t>
      </w:r>
    </w:p>
    <w:p w14:paraId="36A66B80" w14:textId="300F6371" w:rsidR="00A972FD" w:rsidRPr="00CE7DE1" w:rsidRDefault="00A972FD" w:rsidP="00CE7DE1">
      <w:pPr>
        <w:rPr>
          <w:b/>
          <w:bCs/>
        </w:rPr>
      </w:pPr>
      <w:r w:rsidRPr="00CE7DE1">
        <w:rPr>
          <w:b/>
          <w:bCs/>
        </w:rPr>
        <w:t xml:space="preserve">National Planning Policy Framework </w:t>
      </w:r>
      <w:r w:rsidR="00E276CB">
        <w:rPr>
          <w:b/>
          <w:bCs/>
        </w:rPr>
        <w:t>(NPPF)</w:t>
      </w:r>
    </w:p>
    <w:p w14:paraId="3A28797E" w14:textId="06E79AE9" w:rsidR="002B4B79" w:rsidRDefault="00A972FD" w:rsidP="00A972FD">
      <w:r>
        <w:t>The National Planning Policy Framework</w:t>
      </w:r>
      <w:r>
        <w:rPr>
          <w:rStyle w:val="FootnoteReference"/>
        </w:rPr>
        <w:footnoteReference w:id="15"/>
      </w:r>
      <w:r>
        <w:t xml:space="preserve"> </w:t>
      </w:r>
      <w:r w:rsidR="00824E84">
        <w:t>outlines</w:t>
      </w:r>
      <w:r w:rsidR="002B4B79">
        <w:t xml:space="preserve"> Government planning policy for land use in England</w:t>
      </w:r>
      <w:r w:rsidR="00B162DB">
        <w:t xml:space="preserve">. </w:t>
      </w:r>
      <w:r w:rsidR="002B4B79">
        <w:t>At the heart of the Framework is a ‘presumption in favour of sustainable development’</w:t>
      </w:r>
      <w:r w:rsidR="00B162DB">
        <w:t xml:space="preserve">, which in a plan-making context, requires plans to promote a sustainable pattern of development that seeks to improve the environment. </w:t>
      </w:r>
    </w:p>
    <w:p w14:paraId="6C344DFA" w14:textId="3DC9A23A" w:rsidR="00A972FD" w:rsidRDefault="00A972FD" w:rsidP="00A972FD">
      <w:r>
        <w:t xml:space="preserve">Air quality is a material consideration in the planning process, in line with the following paragraphs of the NPPF: </w:t>
      </w:r>
    </w:p>
    <w:p w14:paraId="2DA05679" w14:textId="7CFD5734" w:rsidR="00A972FD" w:rsidRDefault="00A972FD" w:rsidP="00B162DB">
      <w:pPr>
        <w:ind w:left="993" w:hanging="709"/>
      </w:pPr>
      <w:r>
        <w:t>1</w:t>
      </w:r>
      <w:r w:rsidR="00B162DB">
        <w:t>8</w:t>
      </w:r>
      <w:r>
        <w:t>0.</w:t>
      </w:r>
      <w:r w:rsidR="00B162DB">
        <w:tab/>
      </w:r>
      <w:r>
        <w:t xml:space="preserve">Planning policies and decisions should contribute to and enhance the natural and local environment by […]: </w:t>
      </w:r>
    </w:p>
    <w:p w14:paraId="7B223419" w14:textId="77777777" w:rsidR="00A972FD" w:rsidRDefault="00A972FD" w:rsidP="00A972FD">
      <w:pPr>
        <w:ind w:left="993"/>
      </w:pPr>
      <w:r>
        <w:t xml:space="preserve">e) preventing new and existing development from contributing to, being put at unacceptable risk from, or being adversely affected by, unacceptable levels of soil, air, water or noise pollution or land instability. Development should, wherever possible, help to improve local environmental conditions </w:t>
      </w:r>
      <w:r>
        <w:lastRenderedPageBreak/>
        <w:t xml:space="preserve">such as air and water quality, taking into account relevant information such as river basin management plans; </w:t>
      </w:r>
    </w:p>
    <w:p w14:paraId="6A35A29C" w14:textId="5622DB5F" w:rsidR="00A972FD" w:rsidRDefault="00A972FD" w:rsidP="00824E84">
      <w:pPr>
        <w:ind w:left="993" w:hanging="709"/>
      </w:pPr>
      <w:r>
        <w:t>1</w:t>
      </w:r>
      <w:r w:rsidR="00824E84">
        <w:t>92</w:t>
      </w:r>
      <w:r>
        <w:t>.</w:t>
      </w:r>
      <w:r w:rsidR="00824E84">
        <w:tab/>
        <w:t>Planning policies and decisions should sustain and contribute towards compliance with relevant limit values or national objectives for pollutants, taking into account the presence of Air Quality Management Areas and Clean Air Zones, and the cumulative impacts from individual sites in local areas. Opportunities to improve air quality or mitigate impacts should be identified, such as through traffic and travel management, and green infrastructure provision and enhancement. So far as possible these opportunities should be considered at the plan-making stage, to ensure a strategic approach and limit the need for issues to be reconsidered when determining individual applications. Planning decisions should ensure that any new development in Air Quality Management Areas and Clean Air Zones is consistent with the local air quality action plan.</w:t>
      </w:r>
      <w:r>
        <w:t xml:space="preserve"> </w:t>
      </w:r>
    </w:p>
    <w:p w14:paraId="26AC1A82" w14:textId="77777777" w:rsidR="00A972FD" w:rsidRDefault="00A972FD" w:rsidP="00A972FD">
      <w:r>
        <w:t xml:space="preserve">The following paragraphs recognise the impact of traffic on air quality and health and the benefits of sustainable transport modes: </w:t>
      </w:r>
    </w:p>
    <w:p w14:paraId="3381ACEB" w14:textId="4F575486" w:rsidR="00A972FD" w:rsidRDefault="00A972FD" w:rsidP="00824E84">
      <w:pPr>
        <w:ind w:left="993" w:hanging="709"/>
      </w:pPr>
      <w:r>
        <w:t>10</w:t>
      </w:r>
      <w:r w:rsidR="00824E84">
        <w:t>8</w:t>
      </w:r>
      <w:r>
        <w:t>.</w:t>
      </w:r>
      <w:r w:rsidR="00824E84">
        <w:tab/>
      </w:r>
      <w:r>
        <w:t>Transport issues should be considered from the earliest stages of plan</w:t>
      </w:r>
      <w:r w:rsidR="00824E84">
        <w:t>-</w:t>
      </w:r>
      <w:r>
        <w:t xml:space="preserve">making and development proposals, so that: […] </w:t>
      </w:r>
    </w:p>
    <w:p w14:paraId="45863046" w14:textId="1DB5F0D6" w:rsidR="00B5617D" w:rsidRDefault="00B5617D" w:rsidP="00B5617D">
      <w:pPr>
        <w:ind w:left="993"/>
      </w:pPr>
      <w:r>
        <w:t>c) opportunities to promote walking, cycling and public transport use are identified and pursued;</w:t>
      </w:r>
    </w:p>
    <w:p w14:paraId="10D375FC" w14:textId="3C8E98BC" w:rsidR="00A972FD" w:rsidRDefault="00A972FD" w:rsidP="00A972FD">
      <w:pPr>
        <w:ind w:left="993"/>
      </w:pPr>
      <w:r>
        <w:t xml:space="preserve">d) the environmental impacts of traffic and transport infrastructure can be identified, assessed and taken into account – including appropriate opportunities for avoiding and mitigating any adverse effects, and for net environmental gains; […] </w:t>
      </w:r>
    </w:p>
    <w:p w14:paraId="4062081A" w14:textId="7445B234" w:rsidR="002A1A67" w:rsidRDefault="002A1A67" w:rsidP="002A1A67">
      <w:pPr>
        <w:ind w:firstLine="284"/>
      </w:pPr>
      <w:r>
        <w:t xml:space="preserve">109.    Significant development should be focused on locations which </w:t>
      </w:r>
    </w:p>
    <w:p w14:paraId="2FFC14F0" w14:textId="492D767B" w:rsidR="002A1A67" w:rsidRDefault="002A1A67" w:rsidP="00E276CB">
      <w:pPr>
        <w:ind w:left="993"/>
      </w:pPr>
      <w:r>
        <w:t>are or can be made sustainable, through limiting the need to travel and offering a genuine choice of transport modes. This can help to reduce congestion and emissions, and improve air quality and public health.</w:t>
      </w:r>
    </w:p>
    <w:p w14:paraId="1B620A62" w14:textId="4C9CB58C" w:rsidR="00A972FD" w:rsidRDefault="00824E84" w:rsidP="00824E84">
      <w:pPr>
        <w:ind w:left="993" w:hanging="709"/>
      </w:pPr>
      <w:r>
        <w:t>111</w:t>
      </w:r>
      <w:r w:rsidR="00A972FD">
        <w:t xml:space="preserve">. </w:t>
      </w:r>
      <w:r>
        <w:tab/>
      </w:r>
      <w:r w:rsidR="00A972FD">
        <w:t xml:space="preserve">If setting local parking standards for residential and non-residential development, policies should take into account: […] </w:t>
      </w:r>
    </w:p>
    <w:p w14:paraId="44014EC4" w14:textId="76428476" w:rsidR="00E276CB" w:rsidRPr="00DE1CD0" w:rsidRDefault="00A972FD" w:rsidP="00DE1CD0">
      <w:pPr>
        <w:ind w:left="993"/>
      </w:pPr>
      <w:r>
        <w:lastRenderedPageBreak/>
        <w:t>e) the need to ensure an adequate provision of spaces for charging plug-in and other ultra-low emission vehicles.</w:t>
      </w:r>
    </w:p>
    <w:p w14:paraId="1B1DF797" w14:textId="17FF9B9B" w:rsidR="00CE7DE1" w:rsidRPr="00CE7DE1" w:rsidRDefault="00CE7DE1" w:rsidP="00A972FD">
      <w:pPr>
        <w:rPr>
          <w:b/>
          <w:bCs/>
        </w:rPr>
      </w:pPr>
      <w:r w:rsidRPr="00CE7DE1">
        <w:rPr>
          <w:b/>
          <w:bCs/>
        </w:rPr>
        <w:t xml:space="preserve">National Planning Practice Guidance </w:t>
      </w:r>
      <w:r w:rsidR="00E276CB">
        <w:rPr>
          <w:b/>
          <w:bCs/>
        </w:rPr>
        <w:t>(NPPG)</w:t>
      </w:r>
    </w:p>
    <w:p w14:paraId="5DBA0ECC" w14:textId="5D4BB637" w:rsidR="00A972FD" w:rsidRDefault="00A972FD" w:rsidP="00CE7DE1">
      <w:r>
        <w:t>National Planning Practice Guidance (NPPG)</w:t>
      </w:r>
      <w:r>
        <w:rPr>
          <w:rStyle w:val="FootnoteReference"/>
        </w:rPr>
        <w:footnoteReference w:id="16"/>
      </w:r>
      <w:r>
        <w:t xml:space="preserve"> provides advice to planning authorities on implementing the NPPF. The </w:t>
      </w:r>
      <w:r w:rsidR="00824E84">
        <w:t>N</w:t>
      </w:r>
      <w:r>
        <w:t xml:space="preserve">PPG </w:t>
      </w:r>
      <w:r w:rsidR="00824E84">
        <w:t>p</w:t>
      </w:r>
      <w:r w:rsidR="00824E84" w:rsidRPr="00824E84">
        <w:t>rovides guidance on how planning can take account of the impact of new development on air quality</w:t>
      </w:r>
      <w:r w:rsidR="00824E84">
        <w:t xml:space="preserve"> and </w:t>
      </w:r>
      <w:r>
        <w:t xml:space="preserve">sets out </w:t>
      </w:r>
      <w:r w:rsidR="00824E84">
        <w:t>the</w:t>
      </w:r>
      <w:r>
        <w:t xml:space="preserve"> specific issues </w:t>
      </w:r>
      <w:r w:rsidR="00824E84">
        <w:t xml:space="preserve">which </w:t>
      </w:r>
      <w:r>
        <w:t>may need to be considered when assessing air quality impacts. Th</w:t>
      </w:r>
      <w:r w:rsidR="00E276CB">
        <w:t>is</w:t>
      </w:r>
      <w:r>
        <w:t xml:space="preserve"> include changes in vehicle emissions; the introduction of new point sources of air pollution; exposure of people to harmful concentrations of air pollutants, for example, by introducing further development in places with poor air quality; </w:t>
      </w:r>
      <w:r w:rsidR="00824E84">
        <w:t xml:space="preserve">potentially unacceptable impacts during construction, and </w:t>
      </w:r>
      <w:r>
        <w:t>potential adverse effects on biodiversity. It also sets out guidance on the approach to assessment.</w:t>
      </w:r>
    </w:p>
    <w:p w14:paraId="45D68565" w14:textId="77777777" w:rsidR="00A972FD" w:rsidRDefault="00A972FD" w:rsidP="00CE7DE1">
      <w:r>
        <w:t xml:space="preserve">The PPG advises that mitigation options will: </w:t>
      </w:r>
    </w:p>
    <w:p w14:paraId="51C85300" w14:textId="77777777" w:rsidR="00A972FD" w:rsidRDefault="00A972FD" w:rsidP="00CE7DE1">
      <w:pPr>
        <w:pStyle w:val="ListParagraph"/>
        <w:numPr>
          <w:ilvl w:val="0"/>
          <w:numId w:val="14"/>
        </w:numPr>
        <w:spacing w:before="0" w:after="200"/>
        <w:contextualSpacing/>
      </w:pPr>
      <w:r>
        <w:t xml:space="preserve">Need to be specific to the location </w:t>
      </w:r>
    </w:p>
    <w:p w14:paraId="0D2502A4" w14:textId="77777777" w:rsidR="00A972FD" w:rsidRDefault="00A972FD" w:rsidP="00CE7DE1">
      <w:pPr>
        <w:pStyle w:val="ListParagraph"/>
        <w:numPr>
          <w:ilvl w:val="0"/>
          <w:numId w:val="14"/>
        </w:numPr>
        <w:spacing w:before="0" w:after="200"/>
        <w:contextualSpacing/>
      </w:pPr>
      <w:r>
        <w:t xml:space="preserve">Depend on the proposed development </w:t>
      </w:r>
    </w:p>
    <w:p w14:paraId="5FE306AC" w14:textId="77777777" w:rsidR="00A972FD" w:rsidRDefault="00A972FD" w:rsidP="00CE7DE1">
      <w:pPr>
        <w:pStyle w:val="ListParagraph"/>
        <w:numPr>
          <w:ilvl w:val="0"/>
          <w:numId w:val="14"/>
        </w:numPr>
        <w:spacing w:before="0" w:after="200"/>
        <w:contextualSpacing/>
      </w:pPr>
      <w:r>
        <w:t xml:space="preserve">Need to be proportionate to the likely impact. </w:t>
      </w:r>
    </w:p>
    <w:p w14:paraId="4B2D2F24" w14:textId="164BCE60" w:rsidR="000A2150" w:rsidRPr="003F5535" w:rsidRDefault="00A972FD" w:rsidP="00CE7DE1">
      <w:r>
        <w:t xml:space="preserve">Planning conditions and obligations can be used to secure mitigation where the relevant tests are met. Examples of mitigation include: maintaining adequate separation between sources of air pollution and receptors; using green infrastructure; appropriate means of filtration and ventilation; electric vehicle charging points; </w:t>
      </w:r>
      <w:r w:rsidR="00B5617D">
        <w:t xml:space="preserve">controlling dust emissions from construction, operation and demolition, and </w:t>
      </w:r>
      <w:r>
        <w:t>contributing funding to measures designed to offset the impact of air quality arising from new development.</w:t>
      </w:r>
    </w:p>
    <w:p w14:paraId="39AA6828" w14:textId="03122AEF" w:rsidR="00A972FD" w:rsidRPr="00CE7DE1" w:rsidRDefault="00A972FD" w:rsidP="0025036F">
      <w:pPr>
        <w:pStyle w:val="Heading3"/>
        <w:numPr>
          <w:ilvl w:val="2"/>
          <w:numId w:val="72"/>
        </w:numPr>
      </w:pPr>
      <w:bookmarkStart w:id="94" w:name="_Toc160129565"/>
      <w:r w:rsidRPr="009362D5">
        <w:lastRenderedPageBreak/>
        <w:t xml:space="preserve">Local Policy </w:t>
      </w:r>
      <w:r w:rsidR="001B60DA">
        <w:t>and Strategy</w:t>
      </w:r>
      <w:bookmarkEnd w:id="94"/>
    </w:p>
    <w:p w14:paraId="2DB37DA8" w14:textId="48585F93" w:rsidR="00DE397E" w:rsidRPr="002A1A67" w:rsidRDefault="00DE397E" w:rsidP="00DE397E">
      <w:r w:rsidRPr="009362D5">
        <w:t>A full review of the current and emerging plans, strategies and policies which ha</w:t>
      </w:r>
      <w:r>
        <w:t>ve</w:t>
      </w:r>
      <w:r w:rsidRPr="009362D5">
        <w:t xml:space="preserve"> been considered in the development of the AQAP is provided in Appendix </w:t>
      </w:r>
      <w:r w:rsidR="00E34B3D">
        <w:t>E.1</w:t>
      </w:r>
      <w:r w:rsidRPr="009362D5">
        <w:t>.</w:t>
      </w:r>
      <w:r>
        <w:t xml:space="preserve"> A summary of the key policy and strategy considered is summarised below. </w:t>
      </w:r>
    </w:p>
    <w:p w14:paraId="734D8C74" w14:textId="77777777" w:rsidR="00122EF0" w:rsidRDefault="00122EF0" w:rsidP="0046508E">
      <w:pPr>
        <w:rPr>
          <w:rFonts w:cs="Arial"/>
        </w:rPr>
      </w:pPr>
      <w:r w:rsidRPr="00E879B8">
        <w:rPr>
          <w:rFonts w:cs="Arial"/>
        </w:rPr>
        <w:t>The Local Development Plan (LDP) sets out the vision for how Slough should develop and the strategy to enable this vision. The LDP consists of a core strategy development plan, site allocations, policies and proposals.</w:t>
      </w:r>
      <w:r>
        <w:rPr>
          <w:rFonts w:cs="Arial"/>
        </w:rPr>
        <w:t xml:space="preserve"> </w:t>
      </w:r>
      <w:r w:rsidRPr="00122EF0">
        <w:rPr>
          <w:rFonts w:cs="Arial"/>
        </w:rPr>
        <w:t xml:space="preserve">The core strategy development plan </w:t>
      </w:r>
      <w:r>
        <w:t xml:space="preserve">(adopted December 2008) </w:t>
      </w:r>
      <w:r w:rsidRPr="00122EF0">
        <w:rPr>
          <w:rFonts w:cs="Arial"/>
        </w:rPr>
        <w:t xml:space="preserve">outlines core policies, two of which are </w:t>
      </w:r>
      <w:r>
        <w:rPr>
          <w:rFonts w:cs="Arial"/>
        </w:rPr>
        <w:t>relate</w:t>
      </w:r>
      <w:r w:rsidRPr="00122EF0">
        <w:rPr>
          <w:rFonts w:cs="Arial"/>
        </w:rPr>
        <w:t xml:space="preserve"> to air quality: </w:t>
      </w:r>
    </w:p>
    <w:p w14:paraId="119685E5" w14:textId="77777777" w:rsidR="00122EF0" w:rsidRPr="00CE7DE1" w:rsidRDefault="00122EF0" w:rsidP="0046508E">
      <w:pPr>
        <w:rPr>
          <w:rFonts w:cs="Arial"/>
          <w:b/>
          <w:bCs/>
        </w:rPr>
      </w:pPr>
      <w:r w:rsidRPr="00CE7DE1">
        <w:rPr>
          <w:rFonts w:cs="Arial"/>
          <w:b/>
          <w:bCs/>
        </w:rPr>
        <w:t>Core Policy 7 (Transport)</w:t>
      </w:r>
    </w:p>
    <w:p w14:paraId="1BFAC24D" w14:textId="6F0A0A61" w:rsidR="00122EF0" w:rsidRDefault="00122EF0" w:rsidP="0046508E">
      <w:pPr>
        <w:rPr>
          <w:rFonts w:cs="Arial"/>
        </w:rPr>
      </w:pPr>
      <w:r>
        <w:rPr>
          <w:rFonts w:cs="Arial"/>
        </w:rPr>
        <w:t xml:space="preserve">“Development proposals will…have to make provisions for: </w:t>
      </w:r>
    </w:p>
    <w:p w14:paraId="43AB9119" w14:textId="5B9F5BF9" w:rsidR="00122EF0" w:rsidRDefault="00122EF0" w:rsidP="00122EF0">
      <w:pPr>
        <w:rPr>
          <w:rFonts w:cs="Arial"/>
        </w:rPr>
      </w:pPr>
      <w:r w:rsidRPr="00122EF0">
        <w:rPr>
          <w:rFonts w:cs="Arial"/>
        </w:rPr>
        <w:t>Improving air quality and reducing the impact of travel upon the environment, in particular, climate change</w:t>
      </w:r>
      <w:r>
        <w:rPr>
          <w:rFonts w:cs="Arial"/>
        </w:rPr>
        <w:t xml:space="preserve">”. </w:t>
      </w:r>
    </w:p>
    <w:p w14:paraId="47D11AE5" w14:textId="4D4E2F91" w:rsidR="001B60DA" w:rsidRDefault="001B60DA" w:rsidP="001B60DA">
      <w:pPr>
        <w:pStyle w:val="Style1"/>
        <w:spacing w:before="0" w:after="0"/>
        <w:rPr>
          <w:rFonts w:cs="Arial"/>
        </w:rPr>
      </w:pPr>
      <w:r w:rsidRPr="001B60DA">
        <w:rPr>
          <w:rFonts w:cs="Arial"/>
        </w:rPr>
        <w:t>A specific target within Core Policy 7 is for the annual mean NO</w:t>
      </w:r>
      <w:r w:rsidRPr="001B60DA">
        <w:rPr>
          <w:rFonts w:cs="Arial"/>
          <w:vertAlign w:val="subscript"/>
        </w:rPr>
        <w:t>2</w:t>
      </w:r>
      <w:r w:rsidRPr="001B60DA">
        <w:rPr>
          <w:rFonts w:cs="Arial"/>
        </w:rPr>
        <w:t xml:space="preserve"> air quality levels to be 35</w:t>
      </w:r>
      <w:r w:rsidR="007B7676">
        <w:rPr>
          <w:rFonts w:cs="Arial"/>
          <w:color w:val="0B0C0C"/>
        </w:rPr>
        <w:t>µ</w:t>
      </w:r>
      <w:r w:rsidRPr="001B60DA">
        <w:rPr>
          <w:rFonts w:cs="Arial"/>
        </w:rPr>
        <w:t>g/m</w:t>
      </w:r>
      <w:r w:rsidRPr="001B60DA">
        <w:rPr>
          <w:rFonts w:cs="Arial"/>
          <w:vertAlign w:val="superscript"/>
        </w:rPr>
        <w:t>3</w:t>
      </w:r>
      <w:r w:rsidRPr="001B60DA">
        <w:rPr>
          <w:rFonts w:cs="Arial"/>
        </w:rPr>
        <w:t xml:space="preserve"> by 2021. This target has unfortunately not been achieved however it will be re-established within the new AQAP, with a target date of 2028.</w:t>
      </w:r>
    </w:p>
    <w:p w14:paraId="1153B48A" w14:textId="679FF404" w:rsidR="002A1A67" w:rsidRPr="00CE7DE1" w:rsidRDefault="00122EF0" w:rsidP="0046508E">
      <w:pPr>
        <w:rPr>
          <w:rFonts w:cs="Arial"/>
          <w:b/>
          <w:bCs/>
        </w:rPr>
      </w:pPr>
      <w:r w:rsidRPr="00CE7DE1">
        <w:rPr>
          <w:rFonts w:cs="Arial"/>
          <w:b/>
          <w:bCs/>
        </w:rPr>
        <w:t>Core Policy 8 (Sustainability and The Environment)</w:t>
      </w:r>
    </w:p>
    <w:p w14:paraId="3962844F" w14:textId="043A7D84" w:rsidR="001B60DA" w:rsidRDefault="001B60DA" w:rsidP="001B60DA">
      <w:r>
        <w:t xml:space="preserve">‘All development in the </w:t>
      </w:r>
      <w:r w:rsidR="00E276CB">
        <w:t>b</w:t>
      </w:r>
      <w:r>
        <w:t xml:space="preserve">orough shall be sustainable, of a high quality design, improve the quality of the environment and address the impact of climate change. Development shall not: </w:t>
      </w:r>
    </w:p>
    <w:p w14:paraId="2F07912C" w14:textId="17EB1EF5" w:rsidR="001B60DA" w:rsidRDefault="001B60DA" w:rsidP="001B60DA">
      <w:r w:rsidRPr="001B60DA">
        <w:t>Give rise to unacceptable levels of pollution including air pollution, dust, odour, artificial lighting or noise</w:t>
      </w:r>
      <w:r>
        <w:t>”</w:t>
      </w:r>
    </w:p>
    <w:p w14:paraId="63409137" w14:textId="1A5CEF6E" w:rsidR="001B60DA" w:rsidRPr="00CE7DE1" w:rsidRDefault="001B60DA" w:rsidP="001B60DA">
      <w:pPr>
        <w:rPr>
          <w:b/>
          <w:bCs/>
        </w:rPr>
      </w:pPr>
      <w:r w:rsidRPr="00CE7DE1">
        <w:rPr>
          <w:b/>
          <w:bCs/>
        </w:rPr>
        <w:t xml:space="preserve">Carbon Management </w:t>
      </w:r>
    </w:p>
    <w:p w14:paraId="6EB11F98" w14:textId="2A793B85" w:rsidR="001B60DA" w:rsidRDefault="001B60DA" w:rsidP="001B60DA">
      <w:r>
        <w:t>In 2021, the Council developed a Climate Change Strategy, following on from a Climate Change Motion declared in 2019. The Strategy sets</w:t>
      </w:r>
      <w:r w:rsidRPr="001B60DA">
        <w:t xml:space="preserve"> a target of borough-wide carbon neutrality by 2040, with an ambitious stretch target of 2030. This target complies with the UK’s national target of net zero emissions by 2050 and a reduction of 78% of emissions by 2035 relative to 1990.</w:t>
      </w:r>
      <w:r>
        <w:t xml:space="preserve"> Actions focus </w:t>
      </w:r>
      <w:r w:rsidR="00E276CB">
        <w:t xml:space="preserve">on </w:t>
      </w:r>
      <w:r>
        <w:t xml:space="preserve">carbon reduction in six key areas, including buildings, transport, waste, industry, energy supply and </w:t>
      </w:r>
      <w:r>
        <w:lastRenderedPageBreak/>
        <w:t xml:space="preserve">natural environment. The AQAP has been designed to support the Climate Change Strategy in regards to emission reduction. </w:t>
      </w:r>
    </w:p>
    <w:p w14:paraId="5267EB17" w14:textId="57556F61" w:rsidR="001B60DA" w:rsidRPr="00CE7DE1" w:rsidRDefault="001B60DA" w:rsidP="001B60DA">
      <w:pPr>
        <w:rPr>
          <w:b/>
          <w:bCs/>
        </w:rPr>
      </w:pPr>
      <w:r w:rsidRPr="00CE7DE1">
        <w:rPr>
          <w:b/>
          <w:bCs/>
        </w:rPr>
        <w:t xml:space="preserve">Slough Low Emission Strategy (2018-2025) </w:t>
      </w:r>
    </w:p>
    <w:p w14:paraId="7E428653" w14:textId="33DAEB9A" w:rsidR="001B60DA" w:rsidRDefault="006B528C" w:rsidP="001B60DA">
      <w:r>
        <w:t>The Slough Low Emission Strategy</w:t>
      </w:r>
      <w:r w:rsidR="00D16B6F">
        <w:t xml:space="preserve"> (2018-2025)</w:t>
      </w:r>
      <w:r w:rsidR="00D16B6F" w:rsidRPr="00D16B6F">
        <w:t xml:space="preserve"> forms part of the Slough </w:t>
      </w:r>
      <w:r w:rsidR="007B3BD4">
        <w:t>AQAP</w:t>
      </w:r>
      <w:r w:rsidR="00D16B6F" w:rsidRPr="00D16B6F">
        <w:t xml:space="preserve"> </w:t>
      </w:r>
      <w:r w:rsidR="00D74939">
        <w:t xml:space="preserve">and focuses </w:t>
      </w:r>
      <w:r w:rsidR="00D16B6F">
        <w:t xml:space="preserve">on emission reduction and improvement. </w:t>
      </w:r>
      <w:r w:rsidR="00D74939">
        <w:t xml:space="preserve"> </w:t>
      </w:r>
      <w:r w:rsidR="00D74939" w:rsidRPr="00D74939">
        <w:t>The LES lays out an integrated, year on year plan to improve air quality over the period until 2025</w:t>
      </w:r>
      <w:r w:rsidR="00E276CB">
        <w:t xml:space="preserve">, </w:t>
      </w:r>
      <w:r w:rsidR="00D74939" w:rsidRPr="00D74939">
        <w:t>through a reduction in vehicle emissions by accelerating the uptake of cleaner fuels and technologies.</w:t>
      </w:r>
    </w:p>
    <w:p w14:paraId="7D583813" w14:textId="76BA21FB" w:rsidR="00D74939" w:rsidRPr="00DE397E" w:rsidRDefault="00A5191C" w:rsidP="0046508E">
      <w:pPr>
        <w:rPr>
          <w:rFonts w:cs="Arial"/>
        </w:rPr>
      </w:pPr>
      <w:r w:rsidRPr="009759E1">
        <w:rPr>
          <w:rFonts w:cs="Arial"/>
        </w:rPr>
        <w:t xml:space="preserve">The key projects that were implemented or are planned to achieve the LES aims and objectives are represented in the LES Programme. </w:t>
      </w:r>
      <w:r>
        <w:rPr>
          <w:rFonts w:cs="Arial"/>
        </w:rPr>
        <w:t xml:space="preserve">Full details of such are provided in Appendix </w:t>
      </w:r>
      <w:r w:rsidR="00E34B3D">
        <w:rPr>
          <w:rFonts w:cs="Arial"/>
        </w:rPr>
        <w:t>E.1</w:t>
      </w:r>
      <w:r>
        <w:rPr>
          <w:rFonts w:cs="Arial"/>
        </w:rPr>
        <w:t xml:space="preserve">. </w:t>
      </w:r>
    </w:p>
    <w:p w14:paraId="4EED335E" w14:textId="77777777" w:rsidR="00C51F09" w:rsidRPr="002B4B5B" w:rsidRDefault="00C51F09" w:rsidP="0025036F">
      <w:pPr>
        <w:pStyle w:val="Heading2"/>
        <w:numPr>
          <w:ilvl w:val="1"/>
          <w:numId w:val="72"/>
        </w:numPr>
      </w:pPr>
      <w:bookmarkStart w:id="95" w:name="_Ref444868919"/>
      <w:bookmarkStart w:id="96" w:name="_Toc88485998"/>
      <w:bookmarkStart w:id="97" w:name="_Toc160129566"/>
      <w:r w:rsidRPr="002B4B5B">
        <w:t>Source Apportionment</w:t>
      </w:r>
      <w:bookmarkEnd w:id="95"/>
      <w:bookmarkEnd w:id="96"/>
      <w:bookmarkEnd w:id="97"/>
    </w:p>
    <w:p w14:paraId="7CD86F6B" w14:textId="280CE0A6" w:rsidR="00C51F09" w:rsidRPr="003F5535" w:rsidRDefault="00C51F09" w:rsidP="0046508E">
      <w:r>
        <w:t>The AQAP measures presented in this report are intended to be targeted towards the predominant so</w:t>
      </w:r>
      <w:r w:rsidRPr="003F5535">
        <w:t xml:space="preserve">urces of emissions within </w:t>
      </w:r>
      <w:r w:rsidR="00DE397E" w:rsidRPr="003F5535">
        <w:t>Slough Borough Council</w:t>
      </w:r>
      <w:r w:rsidRPr="003F5535">
        <w:t xml:space="preserve">’s area. </w:t>
      </w:r>
    </w:p>
    <w:p w14:paraId="163746A6" w14:textId="647F9A90" w:rsidR="00C51F09" w:rsidRPr="003F5535" w:rsidRDefault="00C51F09" w:rsidP="0046508E">
      <w:r w:rsidRPr="003F5535">
        <w:t xml:space="preserve">A source apportionment exercise was carried out by </w:t>
      </w:r>
      <w:r w:rsidR="00DE397E" w:rsidRPr="003F5535">
        <w:t>Ricardo-AEA Ltd</w:t>
      </w:r>
      <w:r w:rsidRPr="003F5535">
        <w:t xml:space="preserve"> </w:t>
      </w:r>
      <w:r w:rsidR="00A16B7D" w:rsidRPr="003F5535">
        <w:t xml:space="preserve">for the benefit of Slough Borough Council </w:t>
      </w:r>
      <w:r w:rsidRPr="003F5535">
        <w:t>in</w:t>
      </w:r>
      <w:r w:rsidR="00A16B7D" w:rsidRPr="003F5535">
        <w:t xml:space="preserve"> late</w:t>
      </w:r>
      <w:r w:rsidRPr="003F5535">
        <w:t xml:space="preserve"> </w:t>
      </w:r>
      <w:r w:rsidR="00DE397E" w:rsidRPr="003F5535">
        <w:t>2023</w:t>
      </w:r>
      <w:r w:rsidRPr="003F5535">
        <w:t xml:space="preserve">. </w:t>
      </w:r>
    </w:p>
    <w:p w14:paraId="71EF5E4D" w14:textId="3E2D6FD9" w:rsidR="00A16B7D" w:rsidRPr="00C15592" w:rsidRDefault="00A16B7D" w:rsidP="00A16B7D">
      <w:r>
        <w:t xml:space="preserve">Source apportionment was calculated for the year 2022 using the results of the 2022 baseline model (Appendix </w:t>
      </w:r>
      <w:r w:rsidR="00E34B3D">
        <w:t>D</w:t>
      </w:r>
      <w:r>
        <w:t>) for road emissions, and Defra background maps for non-road emissions</w:t>
      </w:r>
      <w:r w:rsidRPr="00C15592">
        <w:rPr>
          <w:rStyle w:val="FootnoteReference"/>
        </w:rPr>
        <w:footnoteReference w:id="17"/>
      </w:r>
      <w:r>
        <w:t>. The background maps were averaged across 1 x 1 km grid squares covering the entire Slough Borough area. Defra background maps p</w:t>
      </w:r>
      <w:r w:rsidRPr="007E2B14">
        <w:t>rovide estimates of background concentrations</w:t>
      </w:r>
      <w:r>
        <w:rPr>
          <w:rStyle w:val="FootnoteReference"/>
        </w:rPr>
        <w:footnoteReference w:id="18"/>
      </w:r>
      <w:r w:rsidRPr="007E2B14">
        <w:t xml:space="preserve"> for specific pollutants</w:t>
      </w:r>
      <w:r>
        <w:t xml:space="preserve"> based on the UK national compliance air qu</w:t>
      </w:r>
      <w:r w:rsidRPr="00C15592">
        <w:t>ality model, which uses emissions data from the NAEI.</w:t>
      </w:r>
    </w:p>
    <w:p w14:paraId="07019BF3" w14:textId="673656D3" w:rsidR="00A16B7D" w:rsidRDefault="00A16B7D" w:rsidP="00A16B7D">
      <w:r w:rsidRPr="00C15592">
        <w:lastRenderedPageBreak/>
        <w:t>Further detail on the source apportionment study is included in Appendix C of this report.</w:t>
      </w:r>
      <w:r>
        <w:t xml:space="preserve"> The results of the source apportionm</w:t>
      </w:r>
      <w:r w:rsidRPr="00185CE6">
        <w:t>ent study at each NO</w:t>
      </w:r>
      <w:r w:rsidRPr="00703E8C">
        <w:rPr>
          <w:vertAlign w:val="subscript"/>
        </w:rPr>
        <w:t>2</w:t>
      </w:r>
      <w:r w:rsidRPr="00185CE6">
        <w:t xml:space="preserve"> diffusion tube location are shown in Appendix </w:t>
      </w:r>
      <w:r w:rsidR="00DC1213">
        <w:t>D</w:t>
      </w:r>
      <w:r w:rsidRPr="00185CE6">
        <w:t>.</w:t>
      </w:r>
      <w:r>
        <w:t xml:space="preserve"> </w:t>
      </w:r>
    </w:p>
    <w:p w14:paraId="16D00836" w14:textId="77777777" w:rsidR="00A16B7D" w:rsidRDefault="00A16B7D" w:rsidP="0025036F">
      <w:pPr>
        <w:pStyle w:val="Heading3"/>
        <w:numPr>
          <w:ilvl w:val="2"/>
          <w:numId w:val="72"/>
        </w:numPr>
      </w:pPr>
      <w:bookmarkStart w:id="99" w:name="_Toc159264896"/>
      <w:bookmarkStart w:id="100" w:name="_Toc160129567"/>
      <w:r>
        <w:t>NOx source apportionment</w:t>
      </w:r>
      <w:bookmarkEnd w:id="99"/>
      <w:bookmarkEnd w:id="100"/>
    </w:p>
    <w:p w14:paraId="45D7BBEF" w14:textId="77777777" w:rsidR="00A16B7D" w:rsidRPr="00703E8C" w:rsidRDefault="00A16B7D" w:rsidP="00A16B7D">
      <w:r>
        <w:t>Source apportionment has been carried out for NO</w:t>
      </w:r>
      <w:r w:rsidRPr="00703E8C">
        <w:rPr>
          <w:vertAlign w:val="subscript"/>
        </w:rPr>
        <w:t>X</w:t>
      </w:r>
      <w:r>
        <w:t xml:space="preserve"> instead of NO</w:t>
      </w:r>
      <w:r w:rsidRPr="00703E8C">
        <w:rPr>
          <w:vertAlign w:val="subscript"/>
        </w:rPr>
        <w:t>2</w:t>
      </w:r>
      <w:r>
        <w:t xml:space="preserve"> in order to assess the contributions from both road and background sources</w:t>
      </w:r>
      <w:r>
        <w:rPr>
          <w:rStyle w:val="FootnoteReference"/>
        </w:rPr>
        <w:footnoteReference w:id="19"/>
      </w:r>
      <w:r>
        <w:t>. The percentage contributions in emissions as NO</w:t>
      </w:r>
      <w:r w:rsidRPr="00703E8C">
        <w:rPr>
          <w:vertAlign w:val="subscript"/>
        </w:rPr>
        <w:t>X</w:t>
      </w:r>
      <w:r>
        <w:rPr>
          <w:vertAlign w:val="subscript"/>
        </w:rPr>
        <w:t xml:space="preserve"> </w:t>
      </w:r>
      <w:r>
        <w:t>are analogous to the contributions in emissions as NO</w:t>
      </w:r>
      <w:r w:rsidRPr="00703E8C">
        <w:rPr>
          <w:vertAlign w:val="subscript"/>
        </w:rPr>
        <w:t>2</w:t>
      </w:r>
      <w:r>
        <w:t>.</w:t>
      </w:r>
    </w:p>
    <w:p w14:paraId="0051A222" w14:textId="5182346E" w:rsidR="00A16B7D" w:rsidRDefault="00A16B7D" w:rsidP="00A16B7D">
      <w:r w:rsidRPr="004A07D6">
        <w:t>Table 3</w:t>
      </w:r>
      <w:r w:rsidR="00DC1213">
        <w:t>.2</w:t>
      </w:r>
      <w:r w:rsidRPr="004A07D6">
        <w:t xml:space="preserve"> </w:t>
      </w:r>
      <w:r>
        <w:t xml:space="preserve">presents the </w:t>
      </w:r>
      <w:r w:rsidRPr="006D6F07">
        <w:t>average split of source apportionment for NO</w:t>
      </w:r>
      <w:r>
        <w:t>x</w:t>
      </w:r>
      <w:r w:rsidRPr="006D6F07">
        <w:t>, PM</w:t>
      </w:r>
      <w:r w:rsidRPr="00E24CDC">
        <w:rPr>
          <w:vertAlign w:val="subscript"/>
        </w:rPr>
        <w:t>10</w:t>
      </w:r>
      <w:r>
        <w:t>,</w:t>
      </w:r>
      <w:r w:rsidRPr="006D6F07">
        <w:t xml:space="preserve"> and PM</w:t>
      </w:r>
      <w:r w:rsidRPr="00E24CDC">
        <w:rPr>
          <w:vertAlign w:val="subscript"/>
        </w:rPr>
        <w:t>2.5</w:t>
      </w:r>
      <w:r w:rsidRPr="006D6F07">
        <w:t xml:space="preserve"> emissions across Slough</w:t>
      </w:r>
      <w:r>
        <w:t xml:space="preserve">, </w:t>
      </w:r>
      <w:r w:rsidRPr="004A07D6">
        <w:t>show</w:t>
      </w:r>
      <w:r>
        <w:t>ing that an average of 46% of l</w:t>
      </w:r>
      <w:bookmarkStart w:id="101" w:name="_Hlk159879824"/>
      <w:r>
        <w:t>ocal NOx emissions are apportioned to road emissions. It is observed that for sites within AQMAs, on average, there is a higher contribution from road emissions than non-road emissions. The results of the study show that diesel cars were the greatest source of NO</w:t>
      </w:r>
      <w:r w:rsidRPr="004A07D6">
        <w:rPr>
          <w:vertAlign w:val="subscript"/>
        </w:rPr>
        <w:t>X</w:t>
      </w:r>
      <w:r>
        <w:t xml:space="preserve"> emissions (24.4%); </w:t>
      </w:r>
      <w:r w:rsidR="00D149C5">
        <w:t xml:space="preserve">followed by </w:t>
      </w:r>
      <w:r>
        <w:t>rural</w:t>
      </w:r>
      <w:r>
        <w:rPr>
          <w:rStyle w:val="FootnoteReference"/>
        </w:rPr>
        <w:footnoteReference w:id="20"/>
      </w:r>
      <w:r>
        <w:t xml:space="preserve"> (18.0%), domestic (8.0%) and LGVs (7.5%) in 2022. </w:t>
      </w:r>
      <w:bookmarkEnd w:id="101"/>
      <w:r>
        <w:t xml:space="preserve">Appendix </w:t>
      </w:r>
      <w:r w:rsidR="00E34B3D">
        <w:t xml:space="preserve">D </w:t>
      </w:r>
      <w:r>
        <w:t>Section 3 presents the NO</w:t>
      </w:r>
      <w:r w:rsidRPr="004A07D6">
        <w:rPr>
          <w:vertAlign w:val="subscript"/>
        </w:rPr>
        <w:t>X</w:t>
      </w:r>
      <w:r>
        <w:t xml:space="preserve"> source apportionment splits for air quality monitoring sites with the highest NO</w:t>
      </w:r>
      <w:r w:rsidRPr="004A07D6">
        <w:rPr>
          <w:vertAlign w:val="subscript"/>
        </w:rPr>
        <w:t>2</w:t>
      </w:r>
      <w:r>
        <w:t xml:space="preserve"> measurements in 2022.</w:t>
      </w:r>
    </w:p>
    <w:p w14:paraId="62856113" w14:textId="269157EC" w:rsidR="00D149C5" w:rsidRDefault="00D149C5" w:rsidP="00D149C5">
      <w:r w:rsidRPr="003F5535">
        <w:t xml:space="preserve">Within each AQMA, the average percentage </w:t>
      </w:r>
      <w:r w:rsidR="00E276CB">
        <w:t xml:space="preserve">of </w:t>
      </w:r>
      <w:r w:rsidRPr="003F5535">
        <w:t xml:space="preserve">source contributions from NOx </w:t>
      </w:r>
      <w:r w:rsidR="00843021">
        <w:t xml:space="preserve">have been calculated and </w:t>
      </w:r>
      <w:r w:rsidR="00B950DE" w:rsidRPr="003F5535">
        <w:t xml:space="preserve">are shown in Table </w:t>
      </w:r>
      <w:r w:rsidR="00DE1CD0">
        <w:t>3.</w:t>
      </w:r>
      <w:r w:rsidR="00DC1213">
        <w:t>3</w:t>
      </w:r>
      <w:r w:rsidR="00B950DE" w:rsidRPr="003F5535">
        <w:t>. Non-AQMA sites have been split into industrial</w:t>
      </w:r>
      <w:r w:rsidR="003F5535" w:rsidRPr="003F5535">
        <w:t>,</w:t>
      </w:r>
      <w:r w:rsidR="00B950DE" w:rsidRPr="003F5535">
        <w:t xml:space="preserve"> kerbside and roadside sites. </w:t>
      </w:r>
    </w:p>
    <w:p w14:paraId="2034F994" w14:textId="77777777" w:rsidR="00DC1213" w:rsidRDefault="00DC1213" w:rsidP="00D149C5"/>
    <w:p w14:paraId="1F67FC3E" w14:textId="77777777" w:rsidR="00DC1213" w:rsidRDefault="00DC1213" w:rsidP="00DC1213">
      <w:pPr>
        <w:pStyle w:val="Caption"/>
        <w:sectPr w:rsidR="00DC1213" w:rsidSect="00186D22">
          <w:pgSz w:w="11906" w:h="16838" w:code="9"/>
          <w:pgMar w:top="1474" w:right="1418" w:bottom="1134" w:left="1418" w:header="964" w:footer="594" w:gutter="0"/>
          <w:cols w:space="708"/>
          <w:docGrid w:linePitch="360"/>
        </w:sectPr>
      </w:pPr>
    </w:p>
    <w:p w14:paraId="4E0CFB81" w14:textId="77777777" w:rsidR="00DC1213" w:rsidRDefault="00DC1213" w:rsidP="00683030">
      <w:pPr>
        <w:pStyle w:val="Tables"/>
      </w:pPr>
      <w:bookmarkStart w:id="102" w:name="_Toc160128553"/>
      <w:r>
        <w:lastRenderedPageBreak/>
        <w:t>Table 3.2 – Average split of source apportionment for NOx, PM</w:t>
      </w:r>
      <w:r w:rsidRPr="009A5368">
        <w:rPr>
          <w:vertAlign w:val="subscript"/>
        </w:rPr>
        <w:t>10</w:t>
      </w:r>
      <w:r>
        <w:t xml:space="preserve"> and PM</w:t>
      </w:r>
      <w:r w:rsidRPr="009A5368">
        <w:rPr>
          <w:vertAlign w:val="subscript"/>
        </w:rPr>
        <w:t>2.5</w:t>
      </w:r>
      <w:r>
        <w:t xml:space="preserve"> emissions across Slough</w:t>
      </w:r>
      <w:bookmarkEnd w:id="102"/>
    </w:p>
    <w:p w14:paraId="37579685" w14:textId="77777777" w:rsidR="00DC1213" w:rsidRPr="00DC1213" w:rsidRDefault="00DC1213" w:rsidP="00DC1213"/>
    <w:p w14:paraId="22FAA063" w14:textId="77777777" w:rsidR="00DC1213" w:rsidRDefault="00DC1213" w:rsidP="00DD70B6">
      <w:pPr>
        <w:spacing w:before="0" w:after="0" w:line="240" w:lineRule="auto"/>
        <w:jc w:val="center"/>
        <w:rPr>
          <w:rFonts w:cs="Arial"/>
          <w:b/>
          <w:bCs/>
          <w:color w:val="FFFFFF"/>
          <w:sz w:val="16"/>
          <w:szCs w:val="16"/>
          <w:lang w:eastAsia="en-GB"/>
        </w:rPr>
      </w:pPr>
    </w:p>
    <w:tbl>
      <w:tblPr>
        <w:tblW w:w="13302" w:type="dxa"/>
        <w:tblLook w:val="04A0" w:firstRow="1" w:lastRow="0" w:firstColumn="1" w:lastColumn="0" w:noHBand="0" w:noVBand="1"/>
      </w:tblPr>
      <w:tblGrid>
        <w:gridCol w:w="731"/>
        <w:gridCol w:w="733"/>
        <w:gridCol w:w="734"/>
        <w:gridCol w:w="734"/>
        <w:gridCol w:w="733"/>
        <w:gridCol w:w="731"/>
        <w:gridCol w:w="732"/>
        <w:gridCol w:w="732"/>
        <w:gridCol w:w="731"/>
        <w:gridCol w:w="732"/>
        <w:gridCol w:w="848"/>
        <w:gridCol w:w="937"/>
        <w:gridCol w:w="786"/>
        <w:gridCol w:w="731"/>
        <w:gridCol w:w="1035"/>
        <w:gridCol w:w="883"/>
        <w:gridCol w:w="759"/>
      </w:tblGrid>
      <w:tr w:rsidR="00DC1213" w:rsidRPr="00FC5806" w14:paraId="5589E79B" w14:textId="77777777" w:rsidTr="00DD70B6">
        <w:trPr>
          <w:trHeight w:val="288"/>
        </w:trPr>
        <w:tc>
          <w:tcPr>
            <w:tcW w:w="6591" w:type="dxa"/>
            <w:gridSpan w:val="9"/>
            <w:tcBorders>
              <w:top w:val="single" w:sz="8" w:space="0" w:color="FFFFFF"/>
              <w:left w:val="single" w:sz="8" w:space="0" w:color="FFFFFF"/>
              <w:bottom w:val="single" w:sz="8" w:space="0" w:color="FFFFFF"/>
              <w:right w:val="single" w:sz="8" w:space="0" w:color="FFFFFF"/>
            </w:tcBorders>
            <w:shd w:val="clear" w:color="000000" w:fill="6C3676"/>
            <w:vAlign w:val="center"/>
            <w:hideMark/>
          </w:tcPr>
          <w:p w14:paraId="03E7BCA0"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Modelled road NOx emissions (Primary, Trunk and A roads)</w:t>
            </w:r>
          </w:p>
        </w:tc>
        <w:tc>
          <w:tcPr>
            <w:tcW w:w="6711" w:type="dxa"/>
            <w:gridSpan w:val="8"/>
            <w:tcBorders>
              <w:top w:val="single" w:sz="8" w:space="0" w:color="FFFFFF"/>
              <w:left w:val="nil"/>
              <w:bottom w:val="single" w:sz="8" w:space="0" w:color="FFFFFF"/>
              <w:right w:val="single" w:sz="8" w:space="0" w:color="FFFFFF"/>
            </w:tcBorders>
            <w:shd w:val="clear" w:color="000000" w:fill="006BB7"/>
            <w:vAlign w:val="center"/>
            <w:hideMark/>
          </w:tcPr>
          <w:p w14:paraId="6C3C049D"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Background NOx (from 2022 Defra background map)</w:t>
            </w:r>
          </w:p>
        </w:tc>
      </w:tr>
      <w:tr w:rsidR="00DC1213" w:rsidRPr="00FC5806" w14:paraId="01A1C3D7" w14:textId="77777777" w:rsidTr="00DD70B6">
        <w:trPr>
          <w:trHeight w:val="420"/>
        </w:trPr>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268706CB"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Petrol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251C594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Diesel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4B9A208F"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Petrol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72DFDC06"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Diesel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1108B65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Buses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1648BBB8"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LGVs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7F564294"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Rigid HGVs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2B452592"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Artic HGVs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16BF2AFB"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Taxis</w:t>
            </w:r>
          </w:p>
        </w:tc>
        <w:tc>
          <w:tcPr>
            <w:tcW w:w="732" w:type="dxa"/>
            <w:tcBorders>
              <w:top w:val="nil"/>
              <w:left w:val="nil"/>
              <w:bottom w:val="single" w:sz="8" w:space="0" w:color="FFFFFF"/>
              <w:right w:val="single" w:sz="8" w:space="0" w:color="FFFFFF"/>
            </w:tcBorders>
            <w:shd w:val="clear" w:color="000000" w:fill="006BB7"/>
            <w:vAlign w:val="center"/>
            <w:hideMark/>
          </w:tcPr>
          <w:p w14:paraId="3EE0A9F6"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Minor Rd + Cold Start</w:t>
            </w:r>
          </w:p>
        </w:tc>
        <w:tc>
          <w:tcPr>
            <w:tcW w:w="848" w:type="dxa"/>
            <w:tcBorders>
              <w:top w:val="nil"/>
              <w:left w:val="nil"/>
              <w:bottom w:val="single" w:sz="8" w:space="0" w:color="FFFFFF"/>
              <w:right w:val="single" w:sz="8" w:space="0" w:color="FFFFFF"/>
            </w:tcBorders>
            <w:shd w:val="clear" w:color="000000" w:fill="006BB7"/>
            <w:vAlign w:val="center"/>
            <w:hideMark/>
          </w:tcPr>
          <w:p w14:paraId="4BE526D8"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Industry</w:t>
            </w:r>
          </w:p>
        </w:tc>
        <w:tc>
          <w:tcPr>
            <w:tcW w:w="937" w:type="dxa"/>
            <w:tcBorders>
              <w:top w:val="nil"/>
              <w:left w:val="nil"/>
              <w:bottom w:val="single" w:sz="8" w:space="0" w:color="FFFFFF"/>
              <w:right w:val="single" w:sz="8" w:space="0" w:color="FFFFFF"/>
            </w:tcBorders>
            <w:shd w:val="clear" w:color="000000" w:fill="006BB7"/>
            <w:vAlign w:val="center"/>
            <w:hideMark/>
          </w:tcPr>
          <w:p w14:paraId="31101C90"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Domestic</w:t>
            </w:r>
          </w:p>
        </w:tc>
        <w:tc>
          <w:tcPr>
            <w:tcW w:w="786" w:type="dxa"/>
            <w:tcBorders>
              <w:top w:val="nil"/>
              <w:left w:val="nil"/>
              <w:bottom w:val="single" w:sz="8" w:space="0" w:color="FFFFFF"/>
              <w:right w:val="single" w:sz="8" w:space="0" w:color="FFFFFF"/>
            </w:tcBorders>
            <w:shd w:val="clear" w:color="000000" w:fill="006BB7"/>
            <w:vAlign w:val="center"/>
            <w:hideMark/>
          </w:tcPr>
          <w:p w14:paraId="52248FF6"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Aircraft</w:t>
            </w:r>
          </w:p>
        </w:tc>
        <w:tc>
          <w:tcPr>
            <w:tcW w:w="731" w:type="dxa"/>
            <w:tcBorders>
              <w:top w:val="nil"/>
              <w:left w:val="nil"/>
              <w:bottom w:val="single" w:sz="8" w:space="0" w:color="FFFFFF"/>
              <w:right w:val="single" w:sz="8" w:space="0" w:color="FFFFFF"/>
            </w:tcBorders>
            <w:shd w:val="clear" w:color="000000" w:fill="006BB7"/>
            <w:vAlign w:val="center"/>
            <w:hideMark/>
          </w:tcPr>
          <w:p w14:paraId="5FB3AD6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Rail</w:t>
            </w:r>
          </w:p>
        </w:tc>
        <w:tc>
          <w:tcPr>
            <w:tcW w:w="1035" w:type="dxa"/>
            <w:tcBorders>
              <w:top w:val="nil"/>
              <w:left w:val="nil"/>
              <w:bottom w:val="single" w:sz="8" w:space="0" w:color="FFFFFF"/>
              <w:right w:val="single" w:sz="8" w:space="0" w:color="FFFFFF"/>
            </w:tcBorders>
            <w:shd w:val="clear" w:color="000000" w:fill="006BB7"/>
            <w:vAlign w:val="center"/>
            <w:hideMark/>
          </w:tcPr>
          <w:p w14:paraId="0B111F5E"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Other</w:t>
            </w:r>
          </w:p>
        </w:tc>
        <w:tc>
          <w:tcPr>
            <w:tcW w:w="883" w:type="dxa"/>
            <w:tcBorders>
              <w:top w:val="nil"/>
              <w:left w:val="nil"/>
              <w:bottom w:val="single" w:sz="8" w:space="0" w:color="FFFFFF"/>
              <w:right w:val="single" w:sz="8" w:space="0" w:color="FFFFFF"/>
            </w:tcBorders>
            <w:shd w:val="clear" w:color="000000" w:fill="006BB7"/>
            <w:vAlign w:val="center"/>
            <w:hideMark/>
          </w:tcPr>
          <w:p w14:paraId="2AED1AC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Point Sources</w:t>
            </w:r>
          </w:p>
        </w:tc>
        <w:tc>
          <w:tcPr>
            <w:tcW w:w="759" w:type="dxa"/>
            <w:tcBorders>
              <w:top w:val="nil"/>
              <w:left w:val="nil"/>
              <w:bottom w:val="single" w:sz="8" w:space="0" w:color="FFFFFF"/>
              <w:right w:val="nil"/>
            </w:tcBorders>
            <w:shd w:val="clear" w:color="000000" w:fill="006BB7"/>
            <w:vAlign w:val="center"/>
            <w:hideMark/>
          </w:tcPr>
          <w:p w14:paraId="65296F5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Rural</w:t>
            </w:r>
          </w:p>
        </w:tc>
      </w:tr>
      <w:tr w:rsidR="00DC1213" w:rsidRPr="00FC5806" w14:paraId="4E9885D0" w14:textId="77777777" w:rsidTr="00DD70B6">
        <w:trPr>
          <w:trHeight w:val="276"/>
        </w:trPr>
        <w:tc>
          <w:tcPr>
            <w:tcW w:w="731" w:type="dxa"/>
            <w:tcBorders>
              <w:top w:val="single" w:sz="4" w:space="0" w:color="FFFFFF"/>
              <w:left w:val="single" w:sz="4" w:space="0" w:color="FFFFFF"/>
              <w:bottom w:val="single" w:sz="4" w:space="0" w:color="FFFFFF"/>
              <w:right w:val="nil"/>
            </w:tcBorders>
            <w:shd w:val="clear" w:color="BDE3FF" w:fill="FCE4E7"/>
            <w:noWrap/>
            <w:vAlign w:val="bottom"/>
            <w:hideMark/>
          </w:tcPr>
          <w:p w14:paraId="35E2B10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4.3%</w:t>
            </w:r>
          </w:p>
        </w:tc>
        <w:tc>
          <w:tcPr>
            <w:tcW w:w="733" w:type="dxa"/>
            <w:tcBorders>
              <w:top w:val="single" w:sz="4" w:space="0" w:color="FFFFFF"/>
              <w:left w:val="single" w:sz="4" w:space="0" w:color="FFFFFF"/>
              <w:bottom w:val="single" w:sz="4" w:space="0" w:color="FFFFFF"/>
              <w:right w:val="nil"/>
            </w:tcBorders>
            <w:shd w:val="clear" w:color="BDE3FF" w:fill="F8696B"/>
            <w:noWrap/>
            <w:vAlign w:val="bottom"/>
            <w:hideMark/>
          </w:tcPr>
          <w:p w14:paraId="54AEFE10"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24.4%</w:t>
            </w:r>
          </w:p>
        </w:tc>
        <w:tc>
          <w:tcPr>
            <w:tcW w:w="734" w:type="dxa"/>
            <w:tcBorders>
              <w:top w:val="single" w:sz="4" w:space="0" w:color="FFFFFF"/>
              <w:left w:val="single" w:sz="4" w:space="0" w:color="FFFFFF"/>
              <w:bottom w:val="single" w:sz="4" w:space="0" w:color="FFFFFF"/>
              <w:right w:val="nil"/>
            </w:tcBorders>
            <w:shd w:val="clear" w:color="BDE3FF" w:fill="FCFCFF"/>
            <w:noWrap/>
            <w:vAlign w:val="bottom"/>
            <w:hideMark/>
          </w:tcPr>
          <w:p w14:paraId="585595E9"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0.2%</w:t>
            </w:r>
          </w:p>
        </w:tc>
        <w:tc>
          <w:tcPr>
            <w:tcW w:w="734" w:type="dxa"/>
            <w:tcBorders>
              <w:top w:val="single" w:sz="4" w:space="0" w:color="FFFFFF"/>
              <w:left w:val="single" w:sz="4" w:space="0" w:color="FFFFFF"/>
              <w:bottom w:val="single" w:sz="4" w:space="0" w:color="FFFFFF"/>
              <w:right w:val="nil"/>
            </w:tcBorders>
            <w:shd w:val="clear" w:color="BDE3FF" w:fill="FCFCFF"/>
            <w:noWrap/>
            <w:vAlign w:val="bottom"/>
            <w:hideMark/>
          </w:tcPr>
          <w:p w14:paraId="6664ED46"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0.3%</w:t>
            </w:r>
          </w:p>
        </w:tc>
        <w:tc>
          <w:tcPr>
            <w:tcW w:w="733" w:type="dxa"/>
            <w:tcBorders>
              <w:top w:val="single" w:sz="4" w:space="0" w:color="FFFFFF"/>
              <w:left w:val="single" w:sz="4" w:space="0" w:color="FFFFFF"/>
              <w:bottom w:val="single" w:sz="4" w:space="0" w:color="FFFFFF"/>
              <w:right w:val="nil"/>
            </w:tcBorders>
            <w:shd w:val="clear" w:color="BDE3FF" w:fill="FCF3F6"/>
            <w:noWrap/>
            <w:vAlign w:val="bottom"/>
            <w:hideMark/>
          </w:tcPr>
          <w:p w14:paraId="48EF8A4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1.8%</w:t>
            </w:r>
          </w:p>
        </w:tc>
        <w:tc>
          <w:tcPr>
            <w:tcW w:w="731" w:type="dxa"/>
            <w:tcBorders>
              <w:top w:val="single" w:sz="4" w:space="0" w:color="FFFFFF"/>
              <w:left w:val="single" w:sz="4" w:space="0" w:color="FFFFFF"/>
              <w:bottom w:val="single" w:sz="4" w:space="0" w:color="FFFFFF"/>
              <w:right w:val="nil"/>
            </w:tcBorders>
            <w:shd w:val="clear" w:color="BDE3FF" w:fill="FBD0D3"/>
            <w:noWrap/>
            <w:vAlign w:val="bottom"/>
            <w:hideMark/>
          </w:tcPr>
          <w:p w14:paraId="28984BD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7.5%</w:t>
            </w:r>
          </w:p>
        </w:tc>
        <w:tc>
          <w:tcPr>
            <w:tcW w:w="732" w:type="dxa"/>
            <w:tcBorders>
              <w:top w:val="single" w:sz="4" w:space="0" w:color="FFFFFF"/>
              <w:left w:val="single" w:sz="4" w:space="0" w:color="FFFFFF"/>
              <w:bottom w:val="single" w:sz="4" w:space="0" w:color="FFFFFF"/>
              <w:right w:val="nil"/>
            </w:tcBorders>
            <w:shd w:val="clear" w:color="BDE3FF" w:fill="FCEDF0"/>
            <w:noWrap/>
            <w:vAlign w:val="bottom"/>
            <w:hideMark/>
          </w:tcPr>
          <w:p w14:paraId="75A32C1B"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2.8%</w:t>
            </w:r>
          </w:p>
        </w:tc>
        <w:tc>
          <w:tcPr>
            <w:tcW w:w="732" w:type="dxa"/>
            <w:tcBorders>
              <w:top w:val="single" w:sz="4" w:space="0" w:color="FFFFFF"/>
              <w:left w:val="single" w:sz="4" w:space="0" w:color="FFFFFF"/>
              <w:bottom w:val="single" w:sz="4" w:space="0" w:color="FFFFFF"/>
              <w:right w:val="nil"/>
            </w:tcBorders>
            <w:shd w:val="clear" w:color="BDE3FF" w:fill="FCF5F8"/>
            <w:noWrap/>
            <w:vAlign w:val="bottom"/>
            <w:hideMark/>
          </w:tcPr>
          <w:p w14:paraId="0FE00B50"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1.4%</w:t>
            </w:r>
          </w:p>
        </w:tc>
        <w:tc>
          <w:tcPr>
            <w:tcW w:w="731" w:type="dxa"/>
            <w:tcBorders>
              <w:top w:val="single" w:sz="4" w:space="0" w:color="FFFFFF"/>
              <w:left w:val="single" w:sz="4" w:space="0" w:color="FFFFFF"/>
              <w:bottom w:val="single" w:sz="4" w:space="0" w:color="FFFFFF"/>
              <w:right w:val="nil"/>
            </w:tcBorders>
            <w:shd w:val="clear" w:color="BDE3FF" w:fill="FCEBED"/>
            <w:noWrap/>
            <w:vAlign w:val="bottom"/>
            <w:hideMark/>
          </w:tcPr>
          <w:p w14:paraId="211EA726"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3.2%</w:t>
            </w:r>
          </w:p>
        </w:tc>
        <w:tc>
          <w:tcPr>
            <w:tcW w:w="732" w:type="dxa"/>
            <w:tcBorders>
              <w:top w:val="single" w:sz="4" w:space="0" w:color="FFFFFF"/>
              <w:left w:val="single" w:sz="4" w:space="0" w:color="FFFFFF"/>
              <w:bottom w:val="single" w:sz="4" w:space="0" w:color="FFFFFF"/>
              <w:right w:val="nil"/>
            </w:tcBorders>
            <w:shd w:val="clear" w:color="BDE3FF" w:fill="FBD6D9"/>
            <w:noWrap/>
            <w:vAlign w:val="bottom"/>
            <w:hideMark/>
          </w:tcPr>
          <w:p w14:paraId="2FFF214A"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6.5%</w:t>
            </w:r>
          </w:p>
        </w:tc>
        <w:tc>
          <w:tcPr>
            <w:tcW w:w="848" w:type="dxa"/>
            <w:tcBorders>
              <w:top w:val="single" w:sz="4" w:space="0" w:color="FFFFFF"/>
              <w:left w:val="single" w:sz="4" w:space="0" w:color="FFFFFF"/>
              <w:bottom w:val="single" w:sz="4" w:space="0" w:color="FFFFFF"/>
              <w:right w:val="nil"/>
            </w:tcBorders>
            <w:shd w:val="clear" w:color="BDE3FF" w:fill="FCE1E4"/>
            <w:noWrap/>
            <w:vAlign w:val="bottom"/>
            <w:hideMark/>
          </w:tcPr>
          <w:p w14:paraId="69ACEE78"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4.8%</w:t>
            </w:r>
          </w:p>
        </w:tc>
        <w:tc>
          <w:tcPr>
            <w:tcW w:w="937" w:type="dxa"/>
            <w:tcBorders>
              <w:top w:val="single" w:sz="4" w:space="0" w:color="FFFFFF"/>
              <w:left w:val="single" w:sz="4" w:space="0" w:color="FFFFFF"/>
              <w:bottom w:val="single" w:sz="4" w:space="0" w:color="FFFFFF"/>
              <w:right w:val="nil"/>
            </w:tcBorders>
            <w:shd w:val="clear" w:color="BDE3FF" w:fill="FBCDD0"/>
            <w:noWrap/>
            <w:vAlign w:val="bottom"/>
            <w:hideMark/>
          </w:tcPr>
          <w:p w14:paraId="2A456296"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8.0%</w:t>
            </w:r>
          </w:p>
        </w:tc>
        <w:tc>
          <w:tcPr>
            <w:tcW w:w="786" w:type="dxa"/>
            <w:tcBorders>
              <w:top w:val="single" w:sz="4" w:space="0" w:color="FFFFFF"/>
              <w:left w:val="single" w:sz="4" w:space="0" w:color="FFFFFF"/>
              <w:bottom w:val="single" w:sz="4" w:space="0" w:color="FFFFFF"/>
              <w:right w:val="nil"/>
            </w:tcBorders>
            <w:shd w:val="clear" w:color="BDE3FF" w:fill="FCEBEE"/>
            <w:noWrap/>
            <w:vAlign w:val="bottom"/>
            <w:hideMark/>
          </w:tcPr>
          <w:p w14:paraId="42E3EB09"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3.1%</w:t>
            </w:r>
          </w:p>
        </w:tc>
        <w:tc>
          <w:tcPr>
            <w:tcW w:w="731" w:type="dxa"/>
            <w:tcBorders>
              <w:top w:val="single" w:sz="4" w:space="0" w:color="FFFFFF"/>
              <w:left w:val="single" w:sz="4" w:space="0" w:color="FFFFFF"/>
              <w:bottom w:val="single" w:sz="4" w:space="0" w:color="FFFFFF"/>
              <w:right w:val="nil"/>
            </w:tcBorders>
            <w:shd w:val="clear" w:color="BDE3FF" w:fill="FCDDE0"/>
            <w:noWrap/>
            <w:vAlign w:val="bottom"/>
            <w:hideMark/>
          </w:tcPr>
          <w:p w14:paraId="3CBC8A3E"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5.4%</w:t>
            </w:r>
          </w:p>
        </w:tc>
        <w:tc>
          <w:tcPr>
            <w:tcW w:w="1035" w:type="dxa"/>
            <w:tcBorders>
              <w:top w:val="single" w:sz="4" w:space="0" w:color="FFFFFF"/>
              <w:left w:val="single" w:sz="4" w:space="0" w:color="FFFFFF"/>
              <w:bottom w:val="single" w:sz="4" w:space="0" w:color="FFFFFF"/>
              <w:right w:val="nil"/>
            </w:tcBorders>
            <w:shd w:val="clear" w:color="BDE3FF" w:fill="FCDEE1"/>
            <w:noWrap/>
            <w:vAlign w:val="bottom"/>
            <w:hideMark/>
          </w:tcPr>
          <w:p w14:paraId="28103B6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5.2%</w:t>
            </w:r>
          </w:p>
        </w:tc>
        <w:tc>
          <w:tcPr>
            <w:tcW w:w="883" w:type="dxa"/>
            <w:tcBorders>
              <w:top w:val="single" w:sz="4" w:space="0" w:color="FFFFFF"/>
              <w:left w:val="single" w:sz="4" w:space="0" w:color="FFFFFF"/>
              <w:bottom w:val="single" w:sz="4" w:space="0" w:color="FFFFFF"/>
              <w:right w:val="nil"/>
            </w:tcBorders>
            <w:shd w:val="clear" w:color="BDE3FF" w:fill="FCEBEE"/>
            <w:noWrap/>
            <w:vAlign w:val="bottom"/>
            <w:hideMark/>
          </w:tcPr>
          <w:p w14:paraId="11C48257"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3.0%</w:t>
            </w:r>
          </w:p>
        </w:tc>
        <w:tc>
          <w:tcPr>
            <w:tcW w:w="759" w:type="dxa"/>
            <w:tcBorders>
              <w:top w:val="single" w:sz="4" w:space="0" w:color="FFFFFF"/>
              <w:left w:val="single" w:sz="4" w:space="0" w:color="FFFFFF"/>
              <w:bottom w:val="single" w:sz="4" w:space="0" w:color="FFFFFF"/>
              <w:right w:val="nil"/>
            </w:tcBorders>
            <w:shd w:val="clear" w:color="BDE3FF" w:fill="FA9193"/>
            <w:noWrap/>
            <w:vAlign w:val="bottom"/>
            <w:hideMark/>
          </w:tcPr>
          <w:p w14:paraId="3AC910DB"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18.0%</w:t>
            </w:r>
          </w:p>
        </w:tc>
      </w:tr>
      <w:tr w:rsidR="00DC1213" w:rsidRPr="00FC5806" w14:paraId="2A42E736" w14:textId="77777777" w:rsidTr="00DD70B6">
        <w:trPr>
          <w:trHeight w:val="288"/>
        </w:trPr>
        <w:tc>
          <w:tcPr>
            <w:tcW w:w="731" w:type="dxa"/>
            <w:tcBorders>
              <w:top w:val="nil"/>
              <w:left w:val="nil"/>
              <w:bottom w:val="nil"/>
              <w:right w:val="nil"/>
            </w:tcBorders>
            <w:shd w:val="clear" w:color="auto" w:fill="auto"/>
            <w:noWrap/>
            <w:vAlign w:val="bottom"/>
            <w:hideMark/>
          </w:tcPr>
          <w:p w14:paraId="4C5257C0" w14:textId="77777777" w:rsidR="00DC1213" w:rsidRPr="00FC5806" w:rsidRDefault="00DC1213" w:rsidP="00DD70B6">
            <w:pPr>
              <w:spacing w:before="0" w:after="0" w:line="240" w:lineRule="auto"/>
              <w:jc w:val="right"/>
              <w:rPr>
                <w:rFonts w:cs="Arial"/>
                <w:color w:val="000000"/>
                <w:sz w:val="16"/>
                <w:szCs w:val="16"/>
                <w:lang w:eastAsia="en-GB"/>
              </w:rPr>
            </w:pPr>
          </w:p>
        </w:tc>
        <w:tc>
          <w:tcPr>
            <w:tcW w:w="733" w:type="dxa"/>
            <w:tcBorders>
              <w:top w:val="nil"/>
              <w:left w:val="nil"/>
              <w:bottom w:val="nil"/>
              <w:right w:val="nil"/>
            </w:tcBorders>
            <w:shd w:val="clear" w:color="auto" w:fill="auto"/>
            <w:noWrap/>
            <w:vAlign w:val="bottom"/>
            <w:hideMark/>
          </w:tcPr>
          <w:p w14:paraId="0DFD3CC4" w14:textId="77777777" w:rsidR="00DC1213" w:rsidRPr="00FC5806" w:rsidRDefault="00DC1213" w:rsidP="00DD70B6">
            <w:pPr>
              <w:spacing w:before="0" w:after="0" w:line="240" w:lineRule="auto"/>
              <w:rPr>
                <w:rFonts w:ascii="Times New Roman" w:hAnsi="Times New Roman"/>
                <w:sz w:val="20"/>
                <w:szCs w:val="20"/>
                <w:lang w:eastAsia="en-GB"/>
              </w:rPr>
            </w:pPr>
          </w:p>
        </w:tc>
        <w:tc>
          <w:tcPr>
            <w:tcW w:w="734" w:type="dxa"/>
            <w:tcBorders>
              <w:top w:val="nil"/>
              <w:left w:val="nil"/>
              <w:bottom w:val="nil"/>
              <w:right w:val="nil"/>
            </w:tcBorders>
            <w:shd w:val="clear" w:color="auto" w:fill="auto"/>
            <w:noWrap/>
            <w:vAlign w:val="bottom"/>
            <w:hideMark/>
          </w:tcPr>
          <w:p w14:paraId="4710E0C7" w14:textId="77777777" w:rsidR="00DC1213" w:rsidRPr="00FC5806" w:rsidRDefault="00DC1213" w:rsidP="00DD70B6">
            <w:pPr>
              <w:spacing w:before="0" w:after="0" w:line="240" w:lineRule="auto"/>
              <w:rPr>
                <w:rFonts w:ascii="Times New Roman" w:hAnsi="Times New Roman"/>
                <w:sz w:val="20"/>
                <w:szCs w:val="20"/>
                <w:lang w:eastAsia="en-GB"/>
              </w:rPr>
            </w:pPr>
          </w:p>
        </w:tc>
        <w:tc>
          <w:tcPr>
            <w:tcW w:w="734" w:type="dxa"/>
            <w:tcBorders>
              <w:top w:val="nil"/>
              <w:left w:val="nil"/>
              <w:bottom w:val="nil"/>
              <w:right w:val="nil"/>
            </w:tcBorders>
            <w:shd w:val="clear" w:color="auto" w:fill="auto"/>
            <w:noWrap/>
            <w:vAlign w:val="bottom"/>
            <w:hideMark/>
          </w:tcPr>
          <w:p w14:paraId="6D8C0742" w14:textId="77777777" w:rsidR="00DC1213" w:rsidRPr="00FC5806" w:rsidRDefault="00DC1213" w:rsidP="00DD70B6">
            <w:pPr>
              <w:spacing w:before="0" w:after="0" w:line="240" w:lineRule="auto"/>
              <w:rPr>
                <w:rFonts w:ascii="Times New Roman" w:hAnsi="Times New Roman"/>
                <w:sz w:val="20"/>
                <w:szCs w:val="20"/>
                <w:lang w:eastAsia="en-GB"/>
              </w:rPr>
            </w:pPr>
          </w:p>
        </w:tc>
        <w:tc>
          <w:tcPr>
            <w:tcW w:w="733" w:type="dxa"/>
            <w:tcBorders>
              <w:top w:val="nil"/>
              <w:left w:val="nil"/>
              <w:bottom w:val="nil"/>
              <w:right w:val="nil"/>
            </w:tcBorders>
            <w:shd w:val="clear" w:color="auto" w:fill="auto"/>
            <w:noWrap/>
            <w:vAlign w:val="bottom"/>
            <w:hideMark/>
          </w:tcPr>
          <w:p w14:paraId="2FFF6E6E"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753C4ABF"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250C8AF5"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6D3B9F5C"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235D7BC4"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5461E50B" w14:textId="77777777" w:rsidR="00DC1213" w:rsidRPr="00FC5806" w:rsidRDefault="00DC1213" w:rsidP="00DD70B6">
            <w:pPr>
              <w:spacing w:before="0" w:after="0" w:line="240" w:lineRule="auto"/>
              <w:rPr>
                <w:rFonts w:ascii="Times New Roman" w:hAnsi="Times New Roman"/>
                <w:sz w:val="20"/>
                <w:szCs w:val="20"/>
                <w:lang w:eastAsia="en-GB"/>
              </w:rPr>
            </w:pPr>
          </w:p>
        </w:tc>
        <w:tc>
          <w:tcPr>
            <w:tcW w:w="848" w:type="dxa"/>
            <w:tcBorders>
              <w:top w:val="nil"/>
              <w:left w:val="nil"/>
              <w:bottom w:val="nil"/>
              <w:right w:val="nil"/>
            </w:tcBorders>
            <w:shd w:val="clear" w:color="auto" w:fill="auto"/>
            <w:noWrap/>
            <w:vAlign w:val="bottom"/>
            <w:hideMark/>
          </w:tcPr>
          <w:p w14:paraId="4A9CC4D7" w14:textId="77777777" w:rsidR="00DC1213" w:rsidRPr="00FC5806" w:rsidRDefault="00DC1213" w:rsidP="00DD70B6">
            <w:pPr>
              <w:spacing w:before="0" w:after="0" w:line="240" w:lineRule="auto"/>
              <w:rPr>
                <w:rFonts w:ascii="Times New Roman" w:hAnsi="Times New Roman"/>
                <w:sz w:val="20"/>
                <w:szCs w:val="20"/>
                <w:lang w:eastAsia="en-GB"/>
              </w:rPr>
            </w:pPr>
          </w:p>
        </w:tc>
        <w:tc>
          <w:tcPr>
            <w:tcW w:w="937" w:type="dxa"/>
            <w:tcBorders>
              <w:top w:val="nil"/>
              <w:left w:val="nil"/>
              <w:bottom w:val="nil"/>
              <w:right w:val="nil"/>
            </w:tcBorders>
            <w:shd w:val="clear" w:color="auto" w:fill="auto"/>
            <w:noWrap/>
            <w:vAlign w:val="bottom"/>
            <w:hideMark/>
          </w:tcPr>
          <w:p w14:paraId="7B3850E1" w14:textId="77777777" w:rsidR="00DC1213" w:rsidRPr="00FC5806" w:rsidRDefault="00DC1213" w:rsidP="00DD70B6">
            <w:pPr>
              <w:spacing w:before="0" w:after="0" w:line="240" w:lineRule="auto"/>
              <w:rPr>
                <w:rFonts w:ascii="Times New Roman" w:hAnsi="Times New Roman"/>
                <w:sz w:val="20"/>
                <w:szCs w:val="20"/>
                <w:lang w:eastAsia="en-GB"/>
              </w:rPr>
            </w:pPr>
          </w:p>
        </w:tc>
        <w:tc>
          <w:tcPr>
            <w:tcW w:w="786" w:type="dxa"/>
            <w:tcBorders>
              <w:top w:val="nil"/>
              <w:left w:val="nil"/>
              <w:bottom w:val="nil"/>
              <w:right w:val="nil"/>
            </w:tcBorders>
            <w:shd w:val="clear" w:color="auto" w:fill="auto"/>
            <w:noWrap/>
            <w:vAlign w:val="bottom"/>
            <w:hideMark/>
          </w:tcPr>
          <w:p w14:paraId="3A83D3B4"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6E5D85EA" w14:textId="77777777" w:rsidR="00DC1213" w:rsidRPr="00FC5806" w:rsidRDefault="00DC1213" w:rsidP="00DD70B6">
            <w:pPr>
              <w:spacing w:before="0" w:after="0" w:line="240" w:lineRule="auto"/>
              <w:rPr>
                <w:rFonts w:ascii="Times New Roman" w:hAnsi="Times New Roman"/>
                <w:sz w:val="20"/>
                <w:szCs w:val="20"/>
                <w:lang w:eastAsia="en-GB"/>
              </w:rPr>
            </w:pPr>
          </w:p>
        </w:tc>
        <w:tc>
          <w:tcPr>
            <w:tcW w:w="1035" w:type="dxa"/>
            <w:tcBorders>
              <w:top w:val="nil"/>
              <w:left w:val="nil"/>
              <w:bottom w:val="nil"/>
              <w:right w:val="nil"/>
            </w:tcBorders>
            <w:shd w:val="clear" w:color="auto" w:fill="auto"/>
            <w:noWrap/>
            <w:vAlign w:val="bottom"/>
            <w:hideMark/>
          </w:tcPr>
          <w:p w14:paraId="14E766EF" w14:textId="77777777" w:rsidR="00DC1213" w:rsidRPr="00FC5806" w:rsidRDefault="00DC1213" w:rsidP="00DD70B6">
            <w:pPr>
              <w:spacing w:before="0" w:after="0" w:line="240" w:lineRule="auto"/>
              <w:rPr>
                <w:rFonts w:ascii="Times New Roman" w:hAnsi="Times New Roman"/>
                <w:sz w:val="20"/>
                <w:szCs w:val="20"/>
                <w:lang w:eastAsia="en-GB"/>
              </w:rPr>
            </w:pPr>
          </w:p>
        </w:tc>
        <w:tc>
          <w:tcPr>
            <w:tcW w:w="883" w:type="dxa"/>
            <w:tcBorders>
              <w:top w:val="nil"/>
              <w:left w:val="nil"/>
              <w:bottom w:val="nil"/>
              <w:right w:val="nil"/>
            </w:tcBorders>
            <w:shd w:val="clear" w:color="auto" w:fill="auto"/>
            <w:noWrap/>
            <w:vAlign w:val="bottom"/>
            <w:hideMark/>
          </w:tcPr>
          <w:p w14:paraId="0C649B4B" w14:textId="77777777" w:rsidR="00DC1213" w:rsidRPr="00FC5806" w:rsidRDefault="00DC1213" w:rsidP="00DD70B6">
            <w:pPr>
              <w:spacing w:before="0" w:after="0" w:line="240" w:lineRule="auto"/>
              <w:rPr>
                <w:rFonts w:ascii="Times New Roman" w:hAnsi="Times New Roman"/>
                <w:sz w:val="20"/>
                <w:szCs w:val="20"/>
                <w:lang w:eastAsia="en-GB"/>
              </w:rPr>
            </w:pPr>
          </w:p>
        </w:tc>
        <w:tc>
          <w:tcPr>
            <w:tcW w:w="759" w:type="dxa"/>
            <w:tcBorders>
              <w:top w:val="nil"/>
              <w:left w:val="nil"/>
              <w:bottom w:val="nil"/>
              <w:right w:val="nil"/>
            </w:tcBorders>
            <w:shd w:val="clear" w:color="auto" w:fill="auto"/>
            <w:noWrap/>
            <w:vAlign w:val="bottom"/>
            <w:hideMark/>
          </w:tcPr>
          <w:p w14:paraId="0AA65621" w14:textId="77777777" w:rsidR="00DC1213" w:rsidRPr="00FC5806" w:rsidRDefault="00DC1213" w:rsidP="00DD70B6">
            <w:pPr>
              <w:spacing w:before="0" w:after="0" w:line="240" w:lineRule="auto"/>
              <w:rPr>
                <w:rFonts w:ascii="Times New Roman" w:hAnsi="Times New Roman"/>
                <w:sz w:val="20"/>
                <w:szCs w:val="20"/>
                <w:lang w:eastAsia="en-GB"/>
              </w:rPr>
            </w:pPr>
          </w:p>
        </w:tc>
      </w:tr>
      <w:tr w:rsidR="00DC1213" w:rsidRPr="00FC5806" w14:paraId="1F2D4F11" w14:textId="77777777" w:rsidTr="00DD70B6">
        <w:trPr>
          <w:trHeight w:val="288"/>
        </w:trPr>
        <w:tc>
          <w:tcPr>
            <w:tcW w:w="6591" w:type="dxa"/>
            <w:gridSpan w:val="9"/>
            <w:tcBorders>
              <w:top w:val="single" w:sz="8" w:space="0" w:color="FFFFFF"/>
              <w:left w:val="single" w:sz="8" w:space="0" w:color="FFFFFF"/>
              <w:bottom w:val="single" w:sz="8" w:space="0" w:color="FFFFFF"/>
              <w:right w:val="single" w:sz="8" w:space="0" w:color="FFFFFF"/>
            </w:tcBorders>
            <w:shd w:val="clear" w:color="000000" w:fill="6C3676"/>
            <w:vAlign w:val="center"/>
            <w:hideMark/>
          </w:tcPr>
          <w:p w14:paraId="63ACD76F"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Modelled road PM</w:t>
            </w:r>
            <w:r w:rsidRPr="00E24CDC">
              <w:rPr>
                <w:rFonts w:cs="Arial"/>
                <w:b/>
                <w:bCs/>
                <w:color w:val="FFFFFF"/>
                <w:sz w:val="16"/>
                <w:szCs w:val="16"/>
                <w:vertAlign w:val="subscript"/>
                <w:lang w:eastAsia="en-GB"/>
              </w:rPr>
              <w:t>10</w:t>
            </w:r>
            <w:r w:rsidRPr="00FC5806">
              <w:rPr>
                <w:rFonts w:cs="Arial"/>
                <w:b/>
                <w:bCs/>
                <w:color w:val="FFFFFF"/>
                <w:sz w:val="16"/>
                <w:szCs w:val="16"/>
                <w:lang w:eastAsia="en-GB"/>
              </w:rPr>
              <w:t xml:space="preserve"> emissions (Primary, Trunk and A roads)</w:t>
            </w:r>
          </w:p>
        </w:tc>
        <w:tc>
          <w:tcPr>
            <w:tcW w:w="6711" w:type="dxa"/>
            <w:gridSpan w:val="8"/>
            <w:tcBorders>
              <w:top w:val="single" w:sz="8" w:space="0" w:color="FFFFFF"/>
              <w:left w:val="nil"/>
              <w:bottom w:val="single" w:sz="8" w:space="0" w:color="FFFFFF"/>
              <w:right w:val="single" w:sz="8" w:space="0" w:color="FFFFFF"/>
            </w:tcBorders>
            <w:shd w:val="clear" w:color="000000" w:fill="006BB7"/>
            <w:vAlign w:val="center"/>
            <w:hideMark/>
          </w:tcPr>
          <w:p w14:paraId="78D1AED6"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Background PM</w:t>
            </w:r>
            <w:r w:rsidRPr="00E24CDC">
              <w:rPr>
                <w:rFonts w:cs="Arial"/>
                <w:b/>
                <w:bCs/>
                <w:color w:val="FFFFFF"/>
                <w:sz w:val="16"/>
                <w:szCs w:val="16"/>
                <w:vertAlign w:val="subscript"/>
                <w:lang w:eastAsia="en-GB"/>
              </w:rPr>
              <w:t>10</w:t>
            </w:r>
            <w:r w:rsidRPr="00FC5806">
              <w:rPr>
                <w:rFonts w:cs="Arial"/>
                <w:b/>
                <w:bCs/>
                <w:color w:val="FFFFFF"/>
                <w:sz w:val="16"/>
                <w:szCs w:val="16"/>
                <w:lang w:eastAsia="en-GB"/>
              </w:rPr>
              <w:t xml:space="preserve"> (from 2022 Defra background map)</w:t>
            </w:r>
          </w:p>
        </w:tc>
      </w:tr>
      <w:tr w:rsidR="00DC1213" w:rsidRPr="00FC5806" w14:paraId="668B5199" w14:textId="77777777" w:rsidTr="00DD70B6">
        <w:trPr>
          <w:trHeight w:val="420"/>
        </w:trPr>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283EF474"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Petrol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1234BF3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Diesel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0C994A60"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Petrol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6FC6F5B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Diesel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3ECDCAE5"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Buses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77ED8370"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LGVs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6DD84E21"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Rigid HGVs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1E3A3E4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Artic HGVs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3B74E29F"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Taxis</w:t>
            </w:r>
          </w:p>
        </w:tc>
        <w:tc>
          <w:tcPr>
            <w:tcW w:w="732" w:type="dxa"/>
            <w:tcBorders>
              <w:top w:val="nil"/>
              <w:left w:val="nil"/>
              <w:bottom w:val="single" w:sz="8" w:space="0" w:color="FFFFFF"/>
              <w:right w:val="single" w:sz="8" w:space="0" w:color="FFFFFF"/>
            </w:tcBorders>
            <w:shd w:val="clear" w:color="000000" w:fill="006BB7"/>
            <w:vAlign w:val="center"/>
            <w:hideMark/>
          </w:tcPr>
          <w:p w14:paraId="0E26AEA7"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Minor Rd + Cold Start</w:t>
            </w:r>
          </w:p>
        </w:tc>
        <w:tc>
          <w:tcPr>
            <w:tcW w:w="848" w:type="dxa"/>
            <w:tcBorders>
              <w:top w:val="nil"/>
              <w:left w:val="nil"/>
              <w:bottom w:val="single" w:sz="8" w:space="0" w:color="FFFFFF"/>
              <w:right w:val="single" w:sz="8" w:space="0" w:color="FFFFFF"/>
            </w:tcBorders>
            <w:shd w:val="clear" w:color="000000" w:fill="006BB7"/>
            <w:vAlign w:val="center"/>
            <w:hideMark/>
          </w:tcPr>
          <w:p w14:paraId="7D06FBAE"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Industry</w:t>
            </w:r>
          </w:p>
        </w:tc>
        <w:tc>
          <w:tcPr>
            <w:tcW w:w="937" w:type="dxa"/>
            <w:tcBorders>
              <w:top w:val="nil"/>
              <w:left w:val="nil"/>
              <w:bottom w:val="single" w:sz="8" w:space="0" w:color="FFFFFF"/>
              <w:right w:val="single" w:sz="8" w:space="0" w:color="FFFFFF"/>
            </w:tcBorders>
            <w:shd w:val="clear" w:color="000000" w:fill="006BB7"/>
            <w:vAlign w:val="center"/>
            <w:hideMark/>
          </w:tcPr>
          <w:p w14:paraId="0FF23933"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Domestic</w:t>
            </w:r>
          </w:p>
        </w:tc>
        <w:tc>
          <w:tcPr>
            <w:tcW w:w="786" w:type="dxa"/>
            <w:tcBorders>
              <w:top w:val="nil"/>
              <w:left w:val="nil"/>
              <w:bottom w:val="single" w:sz="8" w:space="0" w:color="FFFFFF"/>
              <w:right w:val="single" w:sz="8" w:space="0" w:color="FFFFFF"/>
            </w:tcBorders>
            <w:shd w:val="clear" w:color="000000" w:fill="006BB7"/>
            <w:vAlign w:val="center"/>
            <w:hideMark/>
          </w:tcPr>
          <w:p w14:paraId="5A891E16"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Rail</w:t>
            </w:r>
          </w:p>
        </w:tc>
        <w:tc>
          <w:tcPr>
            <w:tcW w:w="731" w:type="dxa"/>
            <w:tcBorders>
              <w:top w:val="nil"/>
              <w:left w:val="nil"/>
              <w:bottom w:val="single" w:sz="8" w:space="0" w:color="FFFFFF"/>
              <w:right w:val="single" w:sz="8" w:space="0" w:color="FFFFFF"/>
            </w:tcBorders>
            <w:shd w:val="clear" w:color="000000" w:fill="006BB7"/>
            <w:vAlign w:val="center"/>
            <w:hideMark/>
          </w:tcPr>
          <w:p w14:paraId="5954138C"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Other</w:t>
            </w:r>
          </w:p>
        </w:tc>
        <w:tc>
          <w:tcPr>
            <w:tcW w:w="1035" w:type="dxa"/>
            <w:tcBorders>
              <w:top w:val="nil"/>
              <w:left w:val="nil"/>
              <w:bottom w:val="single" w:sz="8" w:space="0" w:color="FFFFFF"/>
              <w:right w:val="single" w:sz="8" w:space="0" w:color="FFFFFF"/>
            </w:tcBorders>
            <w:shd w:val="clear" w:color="000000" w:fill="006BB7"/>
            <w:vAlign w:val="center"/>
            <w:hideMark/>
          </w:tcPr>
          <w:p w14:paraId="097ECEBC"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PM Secondary</w:t>
            </w:r>
          </w:p>
        </w:tc>
        <w:tc>
          <w:tcPr>
            <w:tcW w:w="883" w:type="dxa"/>
            <w:tcBorders>
              <w:top w:val="nil"/>
              <w:left w:val="nil"/>
              <w:bottom w:val="single" w:sz="8" w:space="0" w:color="FFFFFF"/>
              <w:right w:val="single" w:sz="8" w:space="0" w:color="FFFFFF"/>
            </w:tcBorders>
            <w:shd w:val="clear" w:color="000000" w:fill="006BB7"/>
            <w:vAlign w:val="center"/>
            <w:hideMark/>
          </w:tcPr>
          <w:p w14:paraId="60CDB2D9"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Residual</w:t>
            </w:r>
          </w:p>
        </w:tc>
        <w:tc>
          <w:tcPr>
            <w:tcW w:w="759" w:type="dxa"/>
            <w:tcBorders>
              <w:top w:val="nil"/>
              <w:left w:val="nil"/>
              <w:bottom w:val="single" w:sz="8" w:space="0" w:color="FFFFFF"/>
              <w:right w:val="single" w:sz="8" w:space="0" w:color="FFFFFF"/>
            </w:tcBorders>
            <w:shd w:val="clear" w:color="000000" w:fill="006BB7"/>
            <w:vAlign w:val="center"/>
            <w:hideMark/>
          </w:tcPr>
          <w:p w14:paraId="4E5323A5"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Point Source</w:t>
            </w:r>
          </w:p>
        </w:tc>
      </w:tr>
      <w:tr w:rsidR="00DC1213" w:rsidRPr="00FC5806" w14:paraId="2D421D91" w14:textId="77777777" w:rsidTr="00DD70B6">
        <w:trPr>
          <w:trHeight w:val="276"/>
        </w:trPr>
        <w:tc>
          <w:tcPr>
            <w:tcW w:w="731" w:type="dxa"/>
            <w:tcBorders>
              <w:top w:val="single" w:sz="4" w:space="0" w:color="FFFFFF"/>
              <w:left w:val="single" w:sz="4" w:space="0" w:color="FFFFFF"/>
              <w:bottom w:val="single" w:sz="4" w:space="0" w:color="FFFFFF"/>
              <w:right w:val="nil"/>
            </w:tcBorders>
            <w:shd w:val="clear" w:color="BDE3FF" w:fill="FCEEF1"/>
            <w:noWrap/>
            <w:vAlign w:val="bottom"/>
            <w:hideMark/>
          </w:tcPr>
          <w:p w14:paraId="09C64090"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3.9%</w:t>
            </w:r>
          </w:p>
        </w:tc>
        <w:tc>
          <w:tcPr>
            <w:tcW w:w="733" w:type="dxa"/>
            <w:tcBorders>
              <w:top w:val="single" w:sz="4" w:space="0" w:color="FFFFFF"/>
              <w:left w:val="single" w:sz="4" w:space="0" w:color="FFFFFF"/>
              <w:bottom w:val="single" w:sz="4" w:space="0" w:color="FFFFFF"/>
              <w:right w:val="nil"/>
            </w:tcBorders>
            <w:shd w:val="clear" w:color="BDE3FF" w:fill="FCF0F3"/>
            <w:noWrap/>
            <w:vAlign w:val="bottom"/>
            <w:hideMark/>
          </w:tcPr>
          <w:p w14:paraId="15A78FF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3.2%</w:t>
            </w:r>
          </w:p>
        </w:tc>
        <w:tc>
          <w:tcPr>
            <w:tcW w:w="734" w:type="dxa"/>
            <w:tcBorders>
              <w:top w:val="single" w:sz="4" w:space="0" w:color="FFFFFF"/>
              <w:left w:val="single" w:sz="4" w:space="0" w:color="FFFFFF"/>
              <w:bottom w:val="single" w:sz="4" w:space="0" w:color="FFFFFF"/>
              <w:right w:val="nil"/>
            </w:tcBorders>
            <w:shd w:val="clear" w:color="BDE3FF" w:fill="FCFBFE"/>
            <w:noWrap/>
            <w:vAlign w:val="bottom"/>
            <w:hideMark/>
          </w:tcPr>
          <w:p w14:paraId="584A73F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0.4%</w:t>
            </w:r>
          </w:p>
        </w:tc>
        <w:tc>
          <w:tcPr>
            <w:tcW w:w="734" w:type="dxa"/>
            <w:tcBorders>
              <w:top w:val="single" w:sz="4" w:space="0" w:color="FFFFFF"/>
              <w:left w:val="single" w:sz="4" w:space="0" w:color="FFFFFF"/>
              <w:bottom w:val="single" w:sz="4" w:space="0" w:color="FFFFFF"/>
              <w:right w:val="nil"/>
            </w:tcBorders>
            <w:shd w:val="clear" w:color="BDE3FF" w:fill="FCFCFF"/>
            <w:noWrap/>
            <w:vAlign w:val="bottom"/>
            <w:hideMark/>
          </w:tcPr>
          <w:p w14:paraId="3B4F628F"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0.1%</w:t>
            </w:r>
          </w:p>
        </w:tc>
        <w:tc>
          <w:tcPr>
            <w:tcW w:w="733" w:type="dxa"/>
            <w:tcBorders>
              <w:top w:val="single" w:sz="4" w:space="0" w:color="FFFFFF"/>
              <w:left w:val="single" w:sz="4" w:space="0" w:color="FFFFFF"/>
              <w:bottom w:val="single" w:sz="4" w:space="0" w:color="FFFFFF"/>
              <w:right w:val="nil"/>
            </w:tcBorders>
            <w:shd w:val="clear" w:color="BDE3FF" w:fill="FCFCFF"/>
            <w:noWrap/>
            <w:vAlign w:val="bottom"/>
            <w:hideMark/>
          </w:tcPr>
          <w:p w14:paraId="6F84D8A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0.3%</w:t>
            </w:r>
          </w:p>
        </w:tc>
        <w:tc>
          <w:tcPr>
            <w:tcW w:w="731" w:type="dxa"/>
            <w:tcBorders>
              <w:top w:val="single" w:sz="4" w:space="0" w:color="FFFFFF"/>
              <w:left w:val="single" w:sz="4" w:space="0" w:color="FFFFFF"/>
              <w:bottom w:val="single" w:sz="4" w:space="0" w:color="FFFFFF"/>
              <w:right w:val="nil"/>
            </w:tcBorders>
            <w:shd w:val="clear" w:color="BDE3FF" w:fill="FCF9FC"/>
            <w:noWrap/>
            <w:vAlign w:val="bottom"/>
            <w:hideMark/>
          </w:tcPr>
          <w:p w14:paraId="567823D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1.0%</w:t>
            </w:r>
          </w:p>
        </w:tc>
        <w:tc>
          <w:tcPr>
            <w:tcW w:w="732" w:type="dxa"/>
            <w:tcBorders>
              <w:top w:val="single" w:sz="4" w:space="0" w:color="FFFFFF"/>
              <w:left w:val="single" w:sz="4" w:space="0" w:color="FFFFFF"/>
              <w:bottom w:val="single" w:sz="4" w:space="0" w:color="FFFFFF"/>
              <w:right w:val="nil"/>
            </w:tcBorders>
            <w:shd w:val="clear" w:color="BDE3FF" w:fill="FCFAFD"/>
            <w:noWrap/>
            <w:vAlign w:val="bottom"/>
            <w:hideMark/>
          </w:tcPr>
          <w:p w14:paraId="5A037FD0"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0.8%</w:t>
            </w:r>
          </w:p>
        </w:tc>
        <w:tc>
          <w:tcPr>
            <w:tcW w:w="732" w:type="dxa"/>
            <w:tcBorders>
              <w:top w:val="single" w:sz="4" w:space="0" w:color="FFFFFF"/>
              <w:left w:val="single" w:sz="4" w:space="0" w:color="FFFFFF"/>
              <w:bottom w:val="single" w:sz="4" w:space="0" w:color="FFFFFF"/>
              <w:right w:val="nil"/>
            </w:tcBorders>
            <w:shd w:val="clear" w:color="BDE3FF" w:fill="FCFAFD"/>
            <w:noWrap/>
            <w:vAlign w:val="bottom"/>
            <w:hideMark/>
          </w:tcPr>
          <w:p w14:paraId="534B3BCF"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0.7%</w:t>
            </w:r>
          </w:p>
        </w:tc>
        <w:tc>
          <w:tcPr>
            <w:tcW w:w="731" w:type="dxa"/>
            <w:tcBorders>
              <w:top w:val="single" w:sz="4" w:space="0" w:color="FFFFFF"/>
              <w:left w:val="single" w:sz="4" w:space="0" w:color="FFFFFF"/>
              <w:bottom w:val="single" w:sz="4" w:space="0" w:color="FFFFFF"/>
              <w:right w:val="nil"/>
            </w:tcBorders>
            <w:shd w:val="clear" w:color="BDE3FF" w:fill="FCFBFE"/>
            <w:noWrap/>
            <w:vAlign w:val="bottom"/>
            <w:hideMark/>
          </w:tcPr>
          <w:p w14:paraId="08424799"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0.4%</w:t>
            </w:r>
          </w:p>
        </w:tc>
        <w:tc>
          <w:tcPr>
            <w:tcW w:w="732" w:type="dxa"/>
            <w:tcBorders>
              <w:top w:val="single" w:sz="4" w:space="0" w:color="FFFFFF"/>
              <w:left w:val="single" w:sz="4" w:space="0" w:color="FFFFFF"/>
              <w:bottom w:val="single" w:sz="4" w:space="0" w:color="FFFFFF"/>
              <w:right w:val="nil"/>
            </w:tcBorders>
            <w:shd w:val="clear" w:color="BDE3FF" w:fill="FCFCFF"/>
            <w:noWrap/>
            <w:vAlign w:val="bottom"/>
            <w:hideMark/>
          </w:tcPr>
          <w:p w14:paraId="71C1726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0.1%</w:t>
            </w:r>
          </w:p>
        </w:tc>
        <w:tc>
          <w:tcPr>
            <w:tcW w:w="848" w:type="dxa"/>
            <w:tcBorders>
              <w:top w:val="single" w:sz="4" w:space="0" w:color="FFFFFF"/>
              <w:left w:val="single" w:sz="4" w:space="0" w:color="FFFFFF"/>
              <w:bottom w:val="single" w:sz="4" w:space="0" w:color="FFFFFF"/>
              <w:right w:val="nil"/>
            </w:tcBorders>
            <w:shd w:val="clear" w:color="BDE3FF" w:fill="FCE4E7"/>
            <w:noWrap/>
            <w:vAlign w:val="bottom"/>
            <w:hideMark/>
          </w:tcPr>
          <w:p w14:paraId="254FA221"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6.3%</w:t>
            </w:r>
          </w:p>
        </w:tc>
        <w:tc>
          <w:tcPr>
            <w:tcW w:w="937" w:type="dxa"/>
            <w:tcBorders>
              <w:top w:val="single" w:sz="4" w:space="0" w:color="FFFFFF"/>
              <w:left w:val="single" w:sz="4" w:space="0" w:color="FFFFFF"/>
              <w:bottom w:val="single" w:sz="4" w:space="0" w:color="FFFFFF"/>
              <w:right w:val="nil"/>
            </w:tcBorders>
            <w:shd w:val="clear" w:color="BDE3FF" w:fill="FBD7DA"/>
            <w:noWrap/>
            <w:vAlign w:val="bottom"/>
            <w:hideMark/>
          </w:tcPr>
          <w:p w14:paraId="7B0BA06E"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9.6%</w:t>
            </w:r>
          </w:p>
        </w:tc>
        <w:tc>
          <w:tcPr>
            <w:tcW w:w="786" w:type="dxa"/>
            <w:tcBorders>
              <w:top w:val="single" w:sz="4" w:space="0" w:color="FFFFFF"/>
              <w:left w:val="single" w:sz="4" w:space="0" w:color="FFFFFF"/>
              <w:bottom w:val="single" w:sz="4" w:space="0" w:color="FFFFFF"/>
              <w:right w:val="nil"/>
            </w:tcBorders>
            <w:shd w:val="clear" w:color="BDE3FF" w:fill="FCFAFD"/>
            <w:noWrap/>
            <w:vAlign w:val="bottom"/>
            <w:hideMark/>
          </w:tcPr>
          <w:p w14:paraId="08169101"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0.8%</w:t>
            </w:r>
          </w:p>
        </w:tc>
        <w:tc>
          <w:tcPr>
            <w:tcW w:w="731" w:type="dxa"/>
            <w:tcBorders>
              <w:top w:val="single" w:sz="4" w:space="0" w:color="FFFFFF"/>
              <w:left w:val="single" w:sz="4" w:space="0" w:color="FFFFFF"/>
              <w:bottom w:val="single" w:sz="4" w:space="0" w:color="FFFFFF"/>
              <w:right w:val="nil"/>
            </w:tcBorders>
            <w:shd w:val="clear" w:color="BDE3FF" w:fill="FCF9FC"/>
            <w:noWrap/>
            <w:vAlign w:val="bottom"/>
            <w:hideMark/>
          </w:tcPr>
          <w:p w14:paraId="64C57C59"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1.0%</w:t>
            </w:r>
          </w:p>
        </w:tc>
        <w:tc>
          <w:tcPr>
            <w:tcW w:w="1035" w:type="dxa"/>
            <w:tcBorders>
              <w:top w:val="single" w:sz="4" w:space="0" w:color="FFFFFF"/>
              <w:left w:val="single" w:sz="4" w:space="0" w:color="FFFFFF"/>
              <w:bottom w:val="single" w:sz="4" w:space="0" w:color="FFFFFF"/>
              <w:right w:val="nil"/>
            </w:tcBorders>
            <w:shd w:val="clear" w:color="BDE3FF" w:fill="F8696B"/>
            <w:noWrap/>
            <w:vAlign w:val="bottom"/>
            <w:hideMark/>
          </w:tcPr>
          <w:p w14:paraId="074049E3"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37.7%</w:t>
            </w:r>
          </w:p>
        </w:tc>
        <w:tc>
          <w:tcPr>
            <w:tcW w:w="883" w:type="dxa"/>
            <w:tcBorders>
              <w:top w:val="single" w:sz="4" w:space="0" w:color="FFFFFF"/>
              <w:left w:val="single" w:sz="4" w:space="0" w:color="FFFFFF"/>
              <w:bottom w:val="single" w:sz="4" w:space="0" w:color="FFFFFF"/>
              <w:right w:val="nil"/>
            </w:tcBorders>
            <w:shd w:val="clear" w:color="BDE3FF" w:fill="F97B7D"/>
            <w:noWrap/>
            <w:vAlign w:val="bottom"/>
            <w:hideMark/>
          </w:tcPr>
          <w:p w14:paraId="485F3DF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33.3%</w:t>
            </w:r>
          </w:p>
        </w:tc>
        <w:tc>
          <w:tcPr>
            <w:tcW w:w="759" w:type="dxa"/>
            <w:tcBorders>
              <w:top w:val="single" w:sz="4" w:space="0" w:color="FFFFFF"/>
              <w:left w:val="single" w:sz="4" w:space="0" w:color="FFFFFF"/>
              <w:bottom w:val="single" w:sz="4" w:space="0" w:color="FFFFFF"/>
              <w:right w:val="nil"/>
            </w:tcBorders>
            <w:shd w:val="clear" w:color="BDE3FF" w:fill="FCFAFD"/>
            <w:noWrap/>
            <w:vAlign w:val="bottom"/>
            <w:hideMark/>
          </w:tcPr>
          <w:p w14:paraId="08D9F96A"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0.6%</w:t>
            </w:r>
          </w:p>
        </w:tc>
      </w:tr>
      <w:tr w:rsidR="00DC1213" w:rsidRPr="00FC5806" w14:paraId="5F7EAE67" w14:textId="77777777" w:rsidTr="00DD70B6">
        <w:trPr>
          <w:trHeight w:val="288"/>
        </w:trPr>
        <w:tc>
          <w:tcPr>
            <w:tcW w:w="731" w:type="dxa"/>
            <w:tcBorders>
              <w:top w:val="nil"/>
              <w:left w:val="nil"/>
              <w:bottom w:val="nil"/>
              <w:right w:val="nil"/>
            </w:tcBorders>
            <w:shd w:val="clear" w:color="auto" w:fill="auto"/>
            <w:noWrap/>
            <w:vAlign w:val="bottom"/>
            <w:hideMark/>
          </w:tcPr>
          <w:p w14:paraId="5C751725" w14:textId="77777777" w:rsidR="00DC1213" w:rsidRPr="00FC5806" w:rsidRDefault="00DC1213" w:rsidP="00DD70B6">
            <w:pPr>
              <w:spacing w:before="0" w:after="0" w:line="240" w:lineRule="auto"/>
              <w:jc w:val="right"/>
              <w:rPr>
                <w:rFonts w:cs="Arial"/>
                <w:color w:val="000000"/>
                <w:sz w:val="16"/>
                <w:szCs w:val="16"/>
                <w:lang w:eastAsia="en-GB"/>
              </w:rPr>
            </w:pPr>
          </w:p>
        </w:tc>
        <w:tc>
          <w:tcPr>
            <w:tcW w:w="733" w:type="dxa"/>
            <w:tcBorders>
              <w:top w:val="nil"/>
              <w:left w:val="nil"/>
              <w:bottom w:val="nil"/>
              <w:right w:val="nil"/>
            </w:tcBorders>
            <w:shd w:val="clear" w:color="auto" w:fill="auto"/>
            <w:noWrap/>
            <w:vAlign w:val="bottom"/>
            <w:hideMark/>
          </w:tcPr>
          <w:p w14:paraId="1305CD9F" w14:textId="77777777" w:rsidR="00DC1213" w:rsidRPr="00FC5806" w:rsidRDefault="00DC1213" w:rsidP="00DD70B6">
            <w:pPr>
              <w:spacing w:before="0" w:after="0" w:line="240" w:lineRule="auto"/>
              <w:rPr>
                <w:rFonts w:ascii="Times New Roman" w:hAnsi="Times New Roman"/>
                <w:sz w:val="20"/>
                <w:szCs w:val="20"/>
                <w:lang w:eastAsia="en-GB"/>
              </w:rPr>
            </w:pPr>
          </w:p>
        </w:tc>
        <w:tc>
          <w:tcPr>
            <w:tcW w:w="734" w:type="dxa"/>
            <w:tcBorders>
              <w:top w:val="nil"/>
              <w:left w:val="nil"/>
              <w:bottom w:val="nil"/>
              <w:right w:val="nil"/>
            </w:tcBorders>
            <w:shd w:val="clear" w:color="auto" w:fill="auto"/>
            <w:noWrap/>
            <w:vAlign w:val="bottom"/>
            <w:hideMark/>
          </w:tcPr>
          <w:p w14:paraId="60AE04CE" w14:textId="77777777" w:rsidR="00DC1213" w:rsidRPr="00FC5806" w:rsidRDefault="00DC1213" w:rsidP="00DD70B6">
            <w:pPr>
              <w:spacing w:before="0" w:after="0" w:line="240" w:lineRule="auto"/>
              <w:rPr>
                <w:rFonts w:ascii="Times New Roman" w:hAnsi="Times New Roman"/>
                <w:sz w:val="20"/>
                <w:szCs w:val="20"/>
                <w:lang w:eastAsia="en-GB"/>
              </w:rPr>
            </w:pPr>
          </w:p>
        </w:tc>
        <w:tc>
          <w:tcPr>
            <w:tcW w:w="734" w:type="dxa"/>
            <w:tcBorders>
              <w:top w:val="nil"/>
              <w:left w:val="nil"/>
              <w:bottom w:val="nil"/>
              <w:right w:val="nil"/>
            </w:tcBorders>
            <w:shd w:val="clear" w:color="auto" w:fill="auto"/>
            <w:noWrap/>
            <w:vAlign w:val="bottom"/>
            <w:hideMark/>
          </w:tcPr>
          <w:p w14:paraId="0EFB4DF2" w14:textId="77777777" w:rsidR="00DC1213" w:rsidRPr="00FC5806" w:rsidRDefault="00DC1213" w:rsidP="00DD70B6">
            <w:pPr>
              <w:spacing w:before="0" w:after="0" w:line="240" w:lineRule="auto"/>
              <w:rPr>
                <w:rFonts w:ascii="Times New Roman" w:hAnsi="Times New Roman"/>
                <w:sz w:val="20"/>
                <w:szCs w:val="20"/>
                <w:lang w:eastAsia="en-GB"/>
              </w:rPr>
            </w:pPr>
          </w:p>
        </w:tc>
        <w:tc>
          <w:tcPr>
            <w:tcW w:w="733" w:type="dxa"/>
            <w:tcBorders>
              <w:top w:val="nil"/>
              <w:left w:val="nil"/>
              <w:bottom w:val="nil"/>
              <w:right w:val="nil"/>
            </w:tcBorders>
            <w:shd w:val="clear" w:color="auto" w:fill="auto"/>
            <w:noWrap/>
            <w:vAlign w:val="bottom"/>
            <w:hideMark/>
          </w:tcPr>
          <w:p w14:paraId="59EA0119"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0139012A"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02EE5D03"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0D72EAC6"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0CA57321" w14:textId="77777777" w:rsidR="00DC1213" w:rsidRPr="00FC5806" w:rsidRDefault="00DC1213" w:rsidP="00DD70B6">
            <w:pPr>
              <w:spacing w:before="0" w:after="0" w:line="240" w:lineRule="auto"/>
              <w:rPr>
                <w:rFonts w:ascii="Times New Roman" w:hAnsi="Times New Roman"/>
                <w:sz w:val="20"/>
                <w:szCs w:val="20"/>
                <w:lang w:eastAsia="en-GB"/>
              </w:rPr>
            </w:pPr>
          </w:p>
        </w:tc>
        <w:tc>
          <w:tcPr>
            <w:tcW w:w="732" w:type="dxa"/>
            <w:tcBorders>
              <w:top w:val="nil"/>
              <w:left w:val="nil"/>
              <w:bottom w:val="nil"/>
              <w:right w:val="nil"/>
            </w:tcBorders>
            <w:shd w:val="clear" w:color="auto" w:fill="auto"/>
            <w:noWrap/>
            <w:vAlign w:val="bottom"/>
            <w:hideMark/>
          </w:tcPr>
          <w:p w14:paraId="423E5EDD" w14:textId="77777777" w:rsidR="00DC1213" w:rsidRPr="00FC5806" w:rsidRDefault="00DC1213" w:rsidP="00DD70B6">
            <w:pPr>
              <w:spacing w:before="0" w:after="0" w:line="240" w:lineRule="auto"/>
              <w:rPr>
                <w:rFonts w:ascii="Times New Roman" w:hAnsi="Times New Roman"/>
                <w:sz w:val="20"/>
                <w:szCs w:val="20"/>
                <w:lang w:eastAsia="en-GB"/>
              </w:rPr>
            </w:pPr>
          </w:p>
        </w:tc>
        <w:tc>
          <w:tcPr>
            <w:tcW w:w="848" w:type="dxa"/>
            <w:tcBorders>
              <w:top w:val="nil"/>
              <w:left w:val="nil"/>
              <w:bottom w:val="nil"/>
              <w:right w:val="nil"/>
            </w:tcBorders>
            <w:shd w:val="clear" w:color="auto" w:fill="auto"/>
            <w:noWrap/>
            <w:vAlign w:val="bottom"/>
            <w:hideMark/>
          </w:tcPr>
          <w:p w14:paraId="6DCA2A5F" w14:textId="77777777" w:rsidR="00DC1213" w:rsidRPr="00FC5806" w:rsidRDefault="00DC1213" w:rsidP="00DD70B6">
            <w:pPr>
              <w:spacing w:before="0" w:after="0" w:line="240" w:lineRule="auto"/>
              <w:rPr>
                <w:rFonts w:ascii="Times New Roman" w:hAnsi="Times New Roman"/>
                <w:sz w:val="20"/>
                <w:szCs w:val="20"/>
                <w:lang w:eastAsia="en-GB"/>
              </w:rPr>
            </w:pPr>
          </w:p>
        </w:tc>
        <w:tc>
          <w:tcPr>
            <w:tcW w:w="937" w:type="dxa"/>
            <w:tcBorders>
              <w:top w:val="nil"/>
              <w:left w:val="nil"/>
              <w:bottom w:val="nil"/>
              <w:right w:val="nil"/>
            </w:tcBorders>
            <w:shd w:val="clear" w:color="auto" w:fill="auto"/>
            <w:noWrap/>
            <w:vAlign w:val="bottom"/>
            <w:hideMark/>
          </w:tcPr>
          <w:p w14:paraId="7FC87E30" w14:textId="77777777" w:rsidR="00DC1213" w:rsidRPr="00FC5806" w:rsidRDefault="00DC1213" w:rsidP="00DD70B6">
            <w:pPr>
              <w:spacing w:before="0" w:after="0" w:line="240" w:lineRule="auto"/>
              <w:rPr>
                <w:rFonts w:ascii="Times New Roman" w:hAnsi="Times New Roman"/>
                <w:sz w:val="20"/>
                <w:szCs w:val="20"/>
                <w:lang w:eastAsia="en-GB"/>
              </w:rPr>
            </w:pPr>
          </w:p>
        </w:tc>
        <w:tc>
          <w:tcPr>
            <w:tcW w:w="786" w:type="dxa"/>
            <w:tcBorders>
              <w:top w:val="nil"/>
              <w:left w:val="nil"/>
              <w:bottom w:val="nil"/>
              <w:right w:val="nil"/>
            </w:tcBorders>
            <w:shd w:val="clear" w:color="auto" w:fill="auto"/>
            <w:noWrap/>
            <w:vAlign w:val="bottom"/>
            <w:hideMark/>
          </w:tcPr>
          <w:p w14:paraId="499DE50F" w14:textId="77777777" w:rsidR="00DC1213" w:rsidRPr="00FC5806" w:rsidRDefault="00DC1213" w:rsidP="00DD70B6">
            <w:pPr>
              <w:spacing w:before="0" w:after="0" w:line="240" w:lineRule="auto"/>
              <w:rPr>
                <w:rFonts w:ascii="Times New Roman" w:hAnsi="Times New Roman"/>
                <w:sz w:val="20"/>
                <w:szCs w:val="20"/>
                <w:lang w:eastAsia="en-GB"/>
              </w:rPr>
            </w:pPr>
          </w:p>
        </w:tc>
        <w:tc>
          <w:tcPr>
            <w:tcW w:w="731" w:type="dxa"/>
            <w:tcBorders>
              <w:top w:val="nil"/>
              <w:left w:val="nil"/>
              <w:bottom w:val="nil"/>
              <w:right w:val="nil"/>
            </w:tcBorders>
            <w:shd w:val="clear" w:color="auto" w:fill="auto"/>
            <w:noWrap/>
            <w:vAlign w:val="bottom"/>
            <w:hideMark/>
          </w:tcPr>
          <w:p w14:paraId="49694066" w14:textId="77777777" w:rsidR="00DC1213" w:rsidRPr="00FC5806" w:rsidRDefault="00DC1213" w:rsidP="00DD70B6">
            <w:pPr>
              <w:spacing w:before="0" w:after="0" w:line="240" w:lineRule="auto"/>
              <w:rPr>
                <w:rFonts w:ascii="Times New Roman" w:hAnsi="Times New Roman"/>
                <w:sz w:val="20"/>
                <w:szCs w:val="20"/>
                <w:lang w:eastAsia="en-GB"/>
              </w:rPr>
            </w:pPr>
          </w:p>
        </w:tc>
        <w:tc>
          <w:tcPr>
            <w:tcW w:w="1035" w:type="dxa"/>
            <w:tcBorders>
              <w:top w:val="nil"/>
              <w:left w:val="nil"/>
              <w:bottom w:val="nil"/>
              <w:right w:val="nil"/>
            </w:tcBorders>
            <w:shd w:val="clear" w:color="auto" w:fill="auto"/>
            <w:noWrap/>
            <w:vAlign w:val="bottom"/>
            <w:hideMark/>
          </w:tcPr>
          <w:p w14:paraId="65D85BA0" w14:textId="77777777" w:rsidR="00DC1213" w:rsidRPr="00FC5806" w:rsidRDefault="00DC1213" w:rsidP="00DD70B6">
            <w:pPr>
              <w:spacing w:before="0" w:after="0" w:line="240" w:lineRule="auto"/>
              <w:rPr>
                <w:rFonts w:ascii="Times New Roman" w:hAnsi="Times New Roman"/>
                <w:sz w:val="20"/>
                <w:szCs w:val="20"/>
                <w:lang w:eastAsia="en-GB"/>
              </w:rPr>
            </w:pPr>
          </w:p>
        </w:tc>
        <w:tc>
          <w:tcPr>
            <w:tcW w:w="883" w:type="dxa"/>
            <w:tcBorders>
              <w:top w:val="nil"/>
              <w:left w:val="nil"/>
              <w:bottom w:val="nil"/>
              <w:right w:val="nil"/>
            </w:tcBorders>
            <w:shd w:val="clear" w:color="auto" w:fill="auto"/>
            <w:noWrap/>
            <w:vAlign w:val="bottom"/>
            <w:hideMark/>
          </w:tcPr>
          <w:p w14:paraId="383FE969" w14:textId="77777777" w:rsidR="00DC1213" w:rsidRPr="00FC5806" w:rsidRDefault="00DC1213" w:rsidP="00DD70B6">
            <w:pPr>
              <w:spacing w:before="0" w:after="0" w:line="240" w:lineRule="auto"/>
              <w:rPr>
                <w:rFonts w:ascii="Times New Roman" w:hAnsi="Times New Roman"/>
                <w:sz w:val="20"/>
                <w:szCs w:val="20"/>
                <w:lang w:eastAsia="en-GB"/>
              </w:rPr>
            </w:pPr>
          </w:p>
        </w:tc>
        <w:tc>
          <w:tcPr>
            <w:tcW w:w="759" w:type="dxa"/>
            <w:tcBorders>
              <w:top w:val="nil"/>
              <w:left w:val="nil"/>
              <w:bottom w:val="nil"/>
              <w:right w:val="nil"/>
            </w:tcBorders>
            <w:shd w:val="clear" w:color="auto" w:fill="auto"/>
            <w:noWrap/>
            <w:vAlign w:val="bottom"/>
            <w:hideMark/>
          </w:tcPr>
          <w:p w14:paraId="06EA2449" w14:textId="77777777" w:rsidR="00DC1213" w:rsidRPr="00FC5806" w:rsidRDefault="00DC1213" w:rsidP="00DD70B6">
            <w:pPr>
              <w:spacing w:before="0" w:after="0" w:line="240" w:lineRule="auto"/>
              <w:rPr>
                <w:rFonts w:ascii="Times New Roman" w:hAnsi="Times New Roman"/>
                <w:sz w:val="20"/>
                <w:szCs w:val="20"/>
                <w:lang w:eastAsia="en-GB"/>
              </w:rPr>
            </w:pPr>
          </w:p>
        </w:tc>
      </w:tr>
      <w:tr w:rsidR="00DC1213" w:rsidRPr="00FC5806" w14:paraId="286AF1A1" w14:textId="77777777" w:rsidTr="00DD70B6">
        <w:trPr>
          <w:trHeight w:val="288"/>
        </w:trPr>
        <w:tc>
          <w:tcPr>
            <w:tcW w:w="6591" w:type="dxa"/>
            <w:gridSpan w:val="9"/>
            <w:tcBorders>
              <w:top w:val="single" w:sz="8" w:space="0" w:color="FFFFFF"/>
              <w:left w:val="single" w:sz="8" w:space="0" w:color="FFFFFF"/>
              <w:bottom w:val="single" w:sz="8" w:space="0" w:color="FFFFFF"/>
              <w:right w:val="single" w:sz="8" w:space="0" w:color="FFFFFF"/>
            </w:tcBorders>
            <w:shd w:val="clear" w:color="000000" w:fill="6C3676"/>
            <w:vAlign w:val="center"/>
            <w:hideMark/>
          </w:tcPr>
          <w:p w14:paraId="19F593DD"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Modelled road PM</w:t>
            </w:r>
            <w:r w:rsidRPr="00E24CDC">
              <w:rPr>
                <w:rFonts w:cs="Arial"/>
                <w:b/>
                <w:bCs/>
                <w:color w:val="FFFFFF"/>
                <w:sz w:val="16"/>
                <w:szCs w:val="16"/>
                <w:vertAlign w:val="subscript"/>
                <w:lang w:eastAsia="en-GB"/>
              </w:rPr>
              <w:t>2.5</w:t>
            </w:r>
            <w:r w:rsidRPr="00FC5806">
              <w:rPr>
                <w:rFonts w:cs="Arial"/>
                <w:b/>
                <w:bCs/>
                <w:color w:val="FFFFFF"/>
                <w:sz w:val="16"/>
                <w:szCs w:val="16"/>
                <w:lang w:eastAsia="en-GB"/>
              </w:rPr>
              <w:t xml:space="preserve"> emissions (Primary, Trunk and A roads)</w:t>
            </w:r>
          </w:p>
        </w:tc>
        <w:tc>
          <w:tcPr>
            <w:tcW w:w="6711" w:type="dxa"/>
            <w:gridSpan w:val="8"/>
            <w:tcBorders>
              <w:top w:val="single" w:sz="8" w:space="0" w:color="FFFFFF"/>
              <w:left w:val="nil"/>
              <w:bottom w:val="single" w:sz="8" w:space="0" w:color="FFFFFF"/>
              <w:right w:val="single" w:sz="8" w:space="0" w:color="FFFFFF"/>
            </w:tcBorders>
            <w:shd w:val="clear" w:color="000000" w:fill="006BB7"/>
            <w:vAlign w:val="center"/>
            <w:hideMark/>
          </w:tcPr>
          <w:p w14:paraId="7D365515" w14:textId="77777777" w:rsidR="00DC1213" w:rsidRPr="00FC5806" w:rsidRDefault="00DC1213" w:rsidP="00DD70B6">
            <w:pPr>
              <w:spacing w:before="0" w:after="0" w:line="240" w:lineRule="auto"/>
              <w:jc w:val="center"/>
              <w:rPr>
                <w:rFonts w:cs="Arial"/>
                <w:b/>
                <w:bCs/>
                <w:color w:val="FFFFFF"/>
                <w:sz w:val="16"/>
                <w:szCs w:val="16"/>
                <w:lang w:eastAsia="en-GB"/>
              </w:rPr>
            </w:pPr>
            <w:r w:rsidRPr="00FC5806">
              <w:rPr>
                <w:rFonts w:cs="Arial"/>
                <w:b/>
                <w:bCs/>
                <w:color w:val="FFFFFF"/>
                <w:sz w:val="16"/>
                <w:szCs w:val="16"/>
                <w:lang w:eastAsia="en-GB"/>
              </w:rPr>
              <w:t>Background PM</w:t>
            </w:r>
            <w:r w:rsidRPr="00E24CDC">
              <w:rPr>
                <w:rFonts w:cs="Arial"/>
                <w:b/>
                <w:bCs/>
                <w:color w:val="FFFFFF"/>
                <w:sz w:val="16"/>
                <w:szCs w:val="16"/>
                <w:vertAlign w:val="subscript"/>
                <w:lang w:eastAsia="en-GB"/>
              </w:rPr>
              <w:t>2.5</w:t>
            </w:r>
            <w:r w:rsidRPr="00FC5806">
              <w:rPr>
                <w:rFonts w:cs="Arial"/>
                <w:b/>
                <w:bCs/>
                <w:color w:val="FFFFFF"/>
                <w:sz w:val="16"/>
                <w:szCs w:val="16"/>
                <w:lang w:eastAsia="en-GB"/>
              </w:rPr>
              <w:t xml:space="preserve"> (from 2022 Defra background map)</w:t>
            </w:r>
          </w:p>
        </w:tc>
      </w:tr>
      <w:tr w:rsidR="00DC1213" w:rsidRPr="00FC5806" w14:paraId="6ECE90B6" w14:textId="77777777" w:rsidTr="00DD70B6">
        <w:trPr>
          <w:trHeight w:val="420"/>
        </w:trPr>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29C46FA7"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Petrol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6FFC1C0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Diesel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35CD1C61"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Petrol Cars</w:t>
            </w:r>
          </w:p>
        </w:tc>
        <w:tc>
          <w:tcPr>
            <w:tcW w:w="734" w:type="dxa"/>
            <w:tcBorders>
              <w:top w:val="nil"/>
              <w:left w:val="single" w:sz="4" w:space="0" w:color="FFFFFF"/>
              <w:bottom w:val="single" w:sz="8" w:space="0" w:color="FFFFFF"/>
              <w:right w:val="single" w:sz="8" w:space="0" w:color="FFFFFF"/>
            </w:tcBorders>
            <w:shd w:val="clear" w:color="000000" w:fill="6C3676"/>
            <w:vAlign w:val="center"/>
            <w:hideMark/>
          </w:tcPr>
          <w:p w14:paraId="18C6803F"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Hybrid Diesel Cars</w:t>
            </w:r>
          </w:p>
        </w:tc>
        <w:tc>
          <w:tcPr>
            <w:tcW w:w="733" w:type="dxa"/>
            <w:tcBorders>
              <w:top w:val="nil"/>
              <w:left w:val="single" w:sz="4" w:space="0" w:color="FFFFFF"/>
              <w:bottom w:val="single" w:sz="8" w:space="0" w:color="FFFFFF"/>
              <w:right w:val="single" w:sz="8" w:space="0" w:color="FFFFFF"/>
            </w:tcBorders>
            <w:shd w:val="clear" w:color="000000" w:fill="6C3676"/>
            <w:vAlign w:val="center"/>
            <w:hideMark/>
          </w:tcPr>
          <w:p w14:paraId="12329D8C"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Buses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3AD2C13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LGVs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424B9ED8"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Rigid HGVs</w:t>
            </w:r>
          </w:p>
        </w:tc>
        <w:tc>
          <w:tcPr>
            <w:tcW w:w="732" w:type="dxa"/>
            <w:tcBorders>
              <w:top w:val="nil"/>
              <w:left w:val="single" w:sz="4" w:space="0" w:color="FFFFFF"/>
              <w:bottom w:val="single" w:sz="8" w:space="0" w:color="FFFFFF"/>
              <w:right w:val="single" w:sz="8" w:space="0" w:color="FFFFFF"/>
            </w:tcBorders>
            <w:shd w:val="clear" w:color="000000" w:fill="6C3676"/>
            <w:vAlign w:val="center"/>
            <w:hideMark/>
          </w:tcPr>
          <w:p w14:paraId="6A1996F6"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Artic HGVs</w:t>
            </w:r>
          </w:p>
        </w:tc>
        <w:tc>
          <w:tcPr>
            <w:tcW w:w="731" w:type="dxa"/>
            <w:tcBorders>
              <w:top w:val="nil"/>
              <w:left w:val="single" w:sz="4" w:space="0" w:color="FFFFFF"/>
              <w:bottom w:val="single" w:sz="8" w:space="0" w:color="FFFFFF"/>
              <w:right w:val="single" w:sz="8" w:space="0" w:color="FFFFFF"/>
            </w:tcBorders>
            <w:shd w:val="clear" w:color="000000" w:fill="6C3676"/>
            <w:vAlign w:val="center"/>
            <w:hideMark/>
          </w:tcPr>
          <w:p w14:paraId="72C15B0B"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Taxis</w:t>
            </w:r>
          </w:p>
        </w:tc>
        <w:tc>
          <w:tcPr>
            <w:tcW w:w="732" w:type="dxa"/>
            <w:tcBorders>
              <w:top w:val="nil"/>
              <w:left w:val="nil"/>
              <w:bottom w:val="single" w:sz="8" w:space="0" w:color="FFFFFF"/>
              <w:right w:val="single" w:sz="8" w:space="0" w:color="FFFFFF"/>
            </w:tcBorders>
            <w:shd w:val="clear" w:color="000000" w:fill="006BB7"/>
            <w:vAlign w:val="center"/>
            <w:hideMark/>
          </w:tcPr>
          <w:p w14:paraId="7ECEA29D"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Minor Rd + Cold Start</w:t>
            </w:r>
          </w:p>
        </w:tc>
        <w:tc>
          <w:tcPr>
            <w:tcW w:w="848" w:type="dxa"/>
            <w:tcBorders>
              <w:top w:val="nil"/>
              <w:left w:val="nil"/>
              <w:bottom w:val="single" w:sz="8" w:space="0" w:color="FFFFFF"/>
              <w:right w:val="single" w:sz="8" w:space="0" w:color="FFFFFF"/>
            </w:tcBorders>
            <w:shd w:val="clear" w:color="000000" w:fill="006BB7"/>
            <w:vAlign w:val="center"/>
            <w:hideMark/>
          </w:tcPr>
          <w:p w14:paraId="58415759"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Industry</w:t>
            </w:r>
          </w:p>
        </w:tc>
        <w:tc>
          <w:tcPr>
            <w:tcW w:w="937" w:type="dxa"/>
            <w:tcBorders>
              <w:top w:val="nil"/>
              <w:left w:val="nil"/>
              <w:bottom w:val="single" w:sz="8" w:space="0" w:color="FFFFFF"/>
              <w:right w:val="single" w:sz="8" w:space="0" w:color="FFFFFF"/>
            </w:tcBorders>
            <w:shd w:val="clear" w:color="000000" w:fill="006BB7"/>
            <w:vAlign w:val="center"/>
            <w:hideMark/>
          </w:tcPr>
          <w:p w14:paraId="5DC0C3F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Domestic</w:t>
            </w:r>
          </w:p>
        </w:tc>
        <w:tc>
          <w:tcPr>
            <w:tcW w:w="786" w:type="dxa"/>
            <w:tcBorders>
              <w:top w:val="nil"/>
              <w:left w:val="nil"/>
              <w:bottom w:val="single" w:sz="8" w:space="0" w:color="FFFFFF"/>
              <w:right w:val="single" w:sz="8" w:space="0" w:color="FFFFFF"/>
            </w:tcBorders>
            <w:shd w:val="clear" w:color="000000" w:fill="006BB7"/>
            <w:vAlign w:val="center"/>
            <w:hideMark/>
          </w:tcPr>
          <w:p w14:paraId="472B3512"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Rail</w:t>
            </w:r>
          </w:p>
        </w:tc>
        <w:tc>
          <w:tcPr>
            <w:tcW w:w="731" w:type="dxa"/>
            <w:tcBorders>
              <w:top w:val="nil"/>
              <w:left w:val="nil"/>
              <w:bottom w:val="single" w:sz="8" w:space="0" w:color="FFFFFF"/>
              <w:right w:val="single" w:sz="8" w:space="0" w:color="FFFFFF"/>
            </w:tcBorders>
            <w:shd w:val="clear" w:color="000000" w:fill="006BB7"/>
            <w:vAlign w:val="center"/>
            <w:hideMark/>
          </w:tcPr>
          <w:p w14:paraId="5F9FD8EA"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Other</w:t>
            </w:r>
          </w:p>
        </w:tc>
        <w:tc>
          <w:tcPr>
            <w:tcW w:w="1035" w:type="dxa"/>
            <w:tcBorders>
              <w:top w:val="nil"/>
              <w:left w:val="nil"/>
              <w:bottom w:val="single" w:sz="8" w:space="0" w:color="FFFFFF"/>
              <w:right w:val="single" w:sz="8" w:space="0" w:color="FFFFFF"/>
            </w:tcBorders>
            <w:shd w:val="clear" w:color="000000" w:fill="006BB7"/>
            <w:vAlign w:val="center"/>
            <w:hideMark/>
          </w:tcPr>
          <w:p w14:paraId="12517FFF"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PM Secondary</w:t>
            </w:r>
          </w:p>
        </w:tc>
        <w:tc>
          <w:tcPr>
            <w:tcW w:w="883" w:type="dxa"/>
            <w:tcBorders>
              <w:top w:val="nil"/>
              <w:left w:val="nil"/>
              <w:bottom w:val="single" w:sz="8" w:space="0" w:color="FFFFFF"/>
              <w:right w:val="single" w:sz="8" w:space="0" w:color="FFFFFF"/>
            </w:tcBorders>
            <w:shd w:val="clear" w:color="000000" w:fill="006BB7"/>
            <w:vAlign w:val="center"/>
            <w:hideMark/>
          </w:tcPr>
          <w:p w14:paraId="5BA81E32"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Residual</w:t>
            </w:r>
          </w:p>
        </w:tc>
        <w:tc>
          <w:tcPr>
            <w:tcW w:w="759" w:type="dxa"/>
            <w:tcBorders>
              <w:top w:val="nil"/>
              <w:left w:val="nil"/>
              <w:bottom w:val="single" w:sz="8" w:space="0" w:color="FFFFFF"/>
              <w:right w:val="single" w:sz="8" w:space="0" w:color="FFFFFF"/>
            </w:tcBorders>
            <w:shd w:val="clear" w:color="000000" w:fill="006BB7"/>
            <w:vAlign w:val="center"/>
            <w:hideMark/>
          </w:tcPr>
          <w:p w14:paraId="5B9B45B8" w14:textId="77777777" w:rsidR="00DC1213" w:rsidRPr="00FC5806" w:rsidRDefault="00DC1213" w:rsidP="00DD70B6">
            <w:pPr>
              <w:spacing w:before="0" w:after="0" w:line="240" w:lineRule="auto"/>
              <w:rPr>
                <w:rFonts w:cs="Arial"/>
                <w:b/>
                <w:bCs/>
                <w:color w:val="FFFFFF"/>
                <w:sz w:val="16"/>
                <w:szCs w:val="16"/>
                <w:lang w:eastAsia="en-GB"/>
              </w:rPr>
            </w:pPr>
            <w:r w:rsidRPr="00FC5806">
              <w:rPr>
                <w:rFonts w:cs="Arial"/>
                <w:b/>
                <w:bCs/>
                <w:color w:val="FFFFFF"/>
                <w:sz w:val="16"/>
                <w:szCs w:val="16"/>
                <w:lang w:eastAsia="en-GB"/>
              </w:rPr>
              <w:t>Point Source</w:t>
            </w:r>
          </w:p>
        </w:tc>
      </w:tr>
      <w:tr w:rsidR="00DC1213" w:rsidRPr="00FC5806" w14:paraId="6407ABE2" w14:textId="77777777" w:rsidTr="00DD70B6">
        <w:trPr>
          <w:trHeight w:val="276"/>
        </w:trPr>
        <w:tc>
          <w:tcPr>
            <w:tcW w:w="731" w:type="dxa"/>
            <w:tcBorders>
              <w:top w:val="single" w:sz="4" w:space="0" w:color="FFFFFF"/>
              <w:left w:val="single" w:sz="4" w:space="0" w:color="FFFFFF"/>
              <w:bottom w:val="single" w:sz="4" w:space="0" w:color="FFFFFF"/>
              <w:right w:val="nil"/>
            </w:tcBorders>
            <w:shd w:val="clear" w:color="BDE3FF" w:fill="FCF3F5"/>
            <w:noWrap/>
            <w:vAlign w:val="bottom"/>
            <w:hideMark/>
          </w:tcPr>
          <w:p w14:paraId="05929367"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3.3%</w:t>
            </w:r>
          </w:p>
        </w:tc>
        <w:tc>
          <w:tcPr>
            <w:tcW w:w="733" w:type="dxa"/>
            <w:tcBorders>
              <w:top w:val="single" w:sz="4" w:space="0" w:color="FFFFFF"/>
              <w:left w:val="single" w:sz="4" w:space="0" w:color="FFFFFF"/>
              <w:bottom w:val="single" w:sz="4" w:space="0" w:color="FFFFFF"/>
              <w:right w:val="nil"/>
            </w:tcBorders>
            <w:shd w:val="clear" w:color="BDE3FF" w:fill="FCF4F7"/>
            <w:noWrap/>
            <w:vAlign w:val="bottom"/>
            <w:hideMark/>
          </w:tcPr>
          <w:p w14:paraId="632D7E81"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2.9%</w:t>
            </w:r>
          </w:p>
        </w:tc>
        <w:tc>
          <w:tcPr>
            <w:tcW w:w="734" w:type="dxa"/>
            <w:tcBorders>
              <w:top w:val="single" w:sz="4" w:space="0" w:color="FFFFFF"/>
              <w:left w:val="single" w:sz="4" w:space="0" w:color="FFFFFF"/>
              <w:bottom w:val="single" w:sz="4" w:space="0" w:color="FFFFFF"/>
              <w:right w:val="nil"/>
            </w:tcBorders>
            <w:shd w:val="clear" w:color="BDE3FF" w:fill="FCFCFF"/>
            <w:noWrap/>
            <w:vAlign w:val="bottom"/>
            <w:hideMark/>
          </w:tcPr>
          <w:p w14:paraId="635AFB85"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0.3%</w:t>
            </w:r>
          </w:p>
        </w:tc>
        <w:tc>
          <w:tcPr>
            <w:tcW w:w="734" w:type="dxa"/>
            <w:tcBorders>
              <w:top w:val="single" w:sz="4" w:space="0" w:color="FFFFFF"/>
              <w:left w:val="single" w:sz="4" w:space="0" w:color="FFFFFF"/>
              <w:bottom w:val="single" w:sz="4" w:space="0" w:color="FFFFFF"/>
              <w:right w:val="nil"/>
            </w:tcBorders>
            <w:shd w:val="clear" w:color="BDE3FF" w:fill="FCFCFF"/>
            <w:noWrap/>
            <w:vAlign w:val="bottom"/>
            <w:hideMark/>
          </w:tcPr>
          <w:p w14:paraId="3470034B"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0.1%</w:t>
            </w:r>
          </w:p>
        </w:tc>
        <w:tc>
          <w:tcPr>
            <w:tcW w:w="733" w:type="dxa"/>
            <w:tcBorders>
              <w:top w:val="single" w:sz="4" w:space="0" w:color="FFFFFF"/>
              <w:left w:val="single" w:sz="4" w:space="0" w:color="FFFFFF"/>
              <w:bottom w:val="single" w:sz="4" w:space="0" w:color="FFFFFF"/>
              <w:right w:val="nil"/>
            </w:tcBorders>
            <w:shd w:val="clear" w:color="BDE3FF" w:fill="FCFCFF"/>
            <w:noWrap/>
            <w:vAlign w:val="bottom"/>
            <w:hideMark/>
          </w:tcPr>
          <w:p w14:paraId="483B3641"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0.2%</w:t>
            </w:r>
          </w:p>
        </w:tc>
        <w:tc>
          <w:tcPr>
            <w:tcW w:w="731" w:type="dxa"/>
            <w:tcBorders>
              <w:top w:val="single" w:sz="4" w:space="0" w:color="FFFFFF"/>
              <w:left w:val="single" w:sz="4" w:space="0" w:color="FFFFFF"/>
              <w:bottom w:val="single" w:sz="4" w:space="0" w:color="FFFFFF"/>
              <w:right w:val="nil"/>
            </w:tcBorders>
            <w:shd w:val="clear" w:color="BDE3FF" w:fill="FCFAFD"/>
            <w:noWrap/>
            <w:vAlign w:val="bottom"/>
            <w:hideMark/>
          </w:tcPr>
          <w:p w14:paraId="229D2592"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0.9%</w:t>
            </w:r>
          </w:p>
        </w:tc>
        <w:tc>
          <w:tcPr>
            <w:tcW w:w="732" w:type="dxa"/>
            <w:tcBorders>
              <w:top w:val="single" w:sz="4" w:space="0" w:color="FFFFFF"/>
              <w:left w:val="single" w:sz="4" w:space="0" w:color="FFFFFF"/>
              <w:bottom w:val="single" w:sz="4" w:space="0" w:color="FFFFFF"/>
              <w:right w:val="nil"/>
            </w:tcBorders>
            <w:shd w:val="clear" w:color="BDE3FF" w:fill="FCFBFE"/>
            <w:noWrap/>
            <w:vAlign w:val="bottom"/>
            <w:hideMark/>
          </w:tcPr>
          <w:p w14:paraId="01B7103C"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0.6%</w:t>
            </w:r>
          </w:p>
        </w:tc>
        <w:tc>
          <w:tcPr>
            <w:tcW w:w="732" w:type="dxa"/>
            <w:tcBorders>
              <w:top w:val="single" w:sz="4" w:space="0" w:color="FFFFFF"/>
              <w:left w:val="single" w:sz="4" w:space="0" w:color="FFFFFF"/>
              <w:bottom w:val="single" w:sz="4" w:space="0" w:color="FFFFFF"/>
              <w:right w:val="nil"/>
            </w:tcBorders>
            <w:shd w:val="clear" w:color="BDE3FF" w:fill="FCFBFE"/>
            <w:noWrap/>
            <w:vAlign w:val="bottom"/>
            <w:hideMark/>
          </w:tcPr>
          <w:p w14:paraId="66F67821"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0.6%</w:t>
            </w:r>
          </w:p>
        </w:tc>
        <w:tc>
          <w:tcPr>
            <w:tcW w:w="731" w:type="dxa"/>
            <w:tcBorders>
              <w:top w:val="single" w:sz="4" w:space="0" w:color="FFFFFF"/>
              <w:left w:val="single" w:sz="4" w:space="0" w:color="FFFFFF"/>
              <w:bottom w:val="single" w:sz="4" w:space="0" w:color="FFFFFF"/>
              <w:right w:val="nil"/>
            </w:tcBorders>
            <w:shd w:val="clear" w:color="BDE3FF" w:fill="FCFCFF"/>
            <w:noWrap/>
            <w:vAlign w:val="bottom"/>
            <w:hideMark/>
          </w:tcPr>
          <w:p w14:paraId="186B7BE2"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0.3%</w:t>
            </w:r>
          </w:p>
        </w:tc>
        <w:tc>
          <w:tcPr>
            <w:tcW w:w="732" w:type="dxa"/>
            <w:tcBorders>
              <w:top w:val="single" w:sz="4" w:space="0" w:color="FFFFFF"/>
              <w:left w:val="single" w:sz="4" w:space="0" w:color="FFFFFF"/>
              <w:bottom w:val="single" w:sz="4" w:space="0" w:color="FFFFFF"/>
              <w:right w:val="nil"/>
            </w:tcBorders>
            <w:shd w:val="clear" w:color="BDE3FF" w:fill="FCFCFF"/>
            <w:noWrap/>
            <w:vAlign w:val="bottom"/>
            <w:hideMark/>
          </w:tcPr>
          <w:p w14:paraId="6E7C5B2D"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0.2%</w:t>
            </w:r>
          </w:p>
        </w:tc>
        <w:tc>
          <w:tcPr>
            <w:tcW w:w="848" w:type="dxa"/>
            <w:tcBorders>
              <w:top w:val="single" w:sz="4" w:space="0" w:color="FFFFFF"/>
              <w:left w:val="single" w:sz="4" w:space="0" w:color="FFFFFF"/>
              <w:bottom w:val="single" w:sz="4" w:space="0" w:color="FFFFFF"/>
              <w:right w:val="nil"/>
            </w:tcBorders>
            <w:shd w:val="clear" w:color="BDE3FF" w:fill="FCF1F4"/>
            <w:noWrap/>
            <w:vAlign w:val="bottom"/>
            <w:hideMark/>
          </w:tcPr>
          <w:p w14:paraId="33C2B187"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3.7%</w:t>
            </w:r>
          </w:p>
        </w:tc>
        <w:tc>
          <w:tcPr>
            <w:tcW w:w="937" w:type="dxa"/>
            <w:tcBorders>
              <w:top w:val="single" w:sz="4" w:space="0" w:color="FFFFFF"/>
              <w:left w:val="single" w:sz="4" w:space="0" w:color="FFFFFF"/>
              <w:bottom w:val="single" w:sz="4" w:space="0" w:color="FFFFFF"/>
              <w:right w:val="nil"/>
            </w:tcBorders>
            <w:shd w:val="clear" w:color="BDE3FF" w:fill="FBD2D5"/>
            <w:noWrap/>
            <w:vAlign w:val="bottom"/>
            <w:hideMark/>
          </w:tcPr>
          <w:p w14:paraId="4F215C56"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13.9%</w:t>
            </w:r>
          </w:p>
        </w:tc>
        <w:tc>
          <w:tcPr>
            <w:tcW w:w="786" w:type="dxa"/>
            <w:tcBorders>
              <w:top w:val="single" w:sz="4" w:space="0" w:color="FFFFFF"/>
              <w:left w:val="single" w:sz="4" w:space="0" w:color="FFFFFF"/>
              <w:bottom w:val="single" w:sz="4" w:space="0" w:color="FFFFFF"/>
              <w:right w:val="nil"/>
            </w:tcBorders>
            <w:shd w:val="clear" w:color="BDE3FF" w:fill="FCFCFF"/>
            <w:noWrap/>
            <w:vAlign w:val="bottom"/>
            <w:hideMark/>
          </w:tcPr>
          <w:p w14:paraId="4DE03658"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0.1%</w:t>
            </w:r>
          </w:p>
        </w:tc>
        <w:tc>
          <w:tcPr>
            <w:tcW w:w="731" w:type="dxa"/>
            <w:tcBorders>
              <w:top w:val="single" w:sz="4" w:space="0" w:color="FFFFFF"/>
              <w:left w:val="single" w:sz="4" w:space="0" w:color="FFFFFF"/>
              <w:bottom w:val="single" w:sz="4" w:space="0" w:color="FFFFFF"/>
              <w:right w:val="nil"/>
            </w:tcBorders>
            <w:shd w:val="clear" w:color="BDE3FF" w:fill="FCF8FB"/>
            <w:noWrap/>
            <w:vAlign w:val="bottom"/>
            <w:hideMark/>
          </w:tcPr>
          <w:p w14:paraId="2D91A569"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1.5%</w:t>
            </w:r>
          </w:p>
        </w:tc>
        <w:tc>
          <w:tcPr>
            <w:tcW w:w="1035" w:type="dxa"/>
            <w:tcBorders>
              <w:top w:val="single" w:sz="4" w:space="0" w:color="FFFFFF"/>
              <w:left w:val="single" w:sz="4" w:space="0" w:color="FFFFFF"/>
              <w:bottom w:val="single" w:sz="4" w:space="0" w:color="FFFFFF"/>
              <w:right w:val="nil"/>
            </w:tcBorders>
            <w:shd w:val="clear" w:color="BDE3FF" w:fill="F8696B"/>
            <w:noWrap/>
            <w:vAlign w:val="bottom"/>
            <w:hideMark/>
          </w:tcPr>
          <w:p w14:paraId="47838602"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47.9%</w:t>
            </w:r>
          </w:p>
        </w:tc>
        <w:tc>
          <w:tcPr>
            <w:tcW w:w="883" w:type="dxa"/>
            <w:tcBorders>
              <w:top w:val="single" w:sz="4" w:space="0" w:color="FFFFFF"/>
              <w:left w:val="single" w:sz="4" w:space="0" w:color="FFFFFF"/>
              <w:bottom w:val="single" w:sz="4" w:space="0" w:color="FFFFFF"/>
              <w:right w:val="nil"/>
            </w:tcBorders>
            <w:shd w:val="clear" w:color="BDE3FF" w:fill="FBB7BA"/>
            <w:noWrap/>
            <w:vAlign w:val="bottom"/>
            <w:hideMark/>
          </w:tcPr>
          <w:p w14:paraId="1BB8E4E7"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22.7%</w:t>
            </w:r>
          </w:p>
        </w:tc>
        <w:tc>
          <w:tcPr>
            <w:tcW w:w="759" w:type="dxa"/>
            <w:tcBorders>
              <w:top w:val="single" w:sz="4" w:space="0" w:color="FFFFFF"/>
              <w:left w:val="single" w:sz="4" w:space="0" w:color="FFFFFF"/>
              <w:bottom w:val="single" w:sz="4" w:space="0" w:color="FFFFFF"/>
              <w:right w:val="nil"/>
            </w:tcBorders>
            <w:shd w:val="clear" w:color="BDE3FF" w:fill="FCFAFD"/>
            <w:noWrap/>
            <w:vAlign w:val="bottom"/>
            <w:hideMark/>
          </w:tcPr>
          <w:p w14:paraId="1F323428" w14:textId="77777777" w:rsidR="00DC1213" w:rsidRPr="00FC5806" w:rsidRDefault="00DC1213" w:rsidP="00DD70B6">
            <w:pPr>
              <w:spacing w:before="0" w:after="0" w:line="240" w:lineRule="auto"/>
              <w:jc w:val="right"/>
              <w:rPr>
                <w:rFonts w:cs="Arial"/>
                <w:color w:val="000000"/>
                <w:sz w:val="16"/>
                <w:szCs w:val="16"/>
                <w:lang w:eastAsia="en-GB"/>
              </w:rPr>
            </w:pPr>
            <w:r w:rsidRPr="00FC5806">
              <w:rPr>
                <w:rFonts w:cs="Arial"/>
                <w:color w:val="000000"/>
                <w:sz w:val="16"/>
                <w:szCs w:val="16"/>
                <w:lang w:eastAsia="en-GB"/>
              </w:rPr>
              <w:t>0.8%</w:t>
            </w:r>
          </w:p>
        </w:tc>
      </w:tr>
    </w:tbl>
    <w:p w14:paraId="7344954F" w14:textId="77777777" w:rsidR="00DC1213" w:rsidRDefault="00DC1213" w:rsidP="00DD70B6">
      <w:pPr>
        <w:spacing w:before="0" w:after="0" w:line="240" w:lineRule="auto"/>
        <w:jc w:val="center"/>
        <w:rPr>
          <w:rFonts w:cs="Arial"/>
          <w:b/>
          <w:bCs/>
          <w:color w:val="FFFFFF"/>
          <w:sz w:val="16"/>
          <w:szCs w:val="16"/>
          <w:lang w:eastAsia="en-GB"/>
        </w:rPr>
        <w:sectPr w:rsidR="00DC1213" w:rsidSect="00DC1213">
          <w:pgSz w:w="16838" w:h="11906" w:orient="landscape" w:code="9"/>
          <w:pgMar w:top="1418" w:right="1474" w:bottom="1418" w:left="1134" w:header="964" w:footer="595" w:gutter="0"/>
          <w:cols w:space="708"/>
          <w:docGrid w:linePitch="360"/>
        </w:sectPr>
      </w:pPr>
    </w:p>
    <w:p w14:paraId="200D0FDB" w14:textId="6050E39C" w:rsidR="00DE1CD0" w:rsidRPr="003F5535" w:rsidRDefault="00DE1CD0" w:rsidP="00DE1CD0">
      <w:pPr>
        <w:pStyle w:val="Tables"/>
      </w:pPr>
      <w:bookmarkStart w:id="103" w:name="_Toc160128554"/>
      <w:r>
        <w:lastRenderedPageBreak/>
        <w:t>Table 3.</w:t>
      </w:r>
      <w:r w:rsidR="00DC1213">
        <w:t>3</w:t>
      </w:r>
      <w:r>
        <w:t>: NOx source apportionment by AQMA and non-AQMA areas</w:t>
      </w:r>
      <w:bookmarkEnd w:id="103"/>
    </w:p>
    <w:tbl>
      <w:tblPr>
        <w:tblW w:w="8040" w:type="dxa"/>
        <w:tblLook w:val="04A0" w:firstRow="1" w:lastRow="0" w:firstColumn="1" w:lastColumn="0" w:noHBand="0" w:noVBand="1"/>
      </w:tblPr>
      <w:tblGrid>
        <w:gridCol w:w="2152"/>
        <w:gridCol w:w="864"/>
        <w:gridCol w:w="864"/>
        <w:gridCol w:w="864"/>
        <w:gridCol w:w="864"/>
        <w:gridCol w:w="1109"/>
        <w:gridCol w:w="1085"/>
        <w:gridCol w:w="1146"/>
      </w:tblGrid>
      <w:tr w:rsidR="00AE3CFB" w:rsidRPr="00AE3CFB" w14:paraId="404A1E3E" w14:textId="77777777" w:rsidTr="00DE1CD0">
        <w:trPr>
          <w:trHeight w:val="290"/>
          <w:tblHeader/>
        </w:trPr>
        <w:tc>
          <w:tcPr>
            <w:tcW w:w="2152" w:type="dxa"/>
            <w:tcBorders>
              <w:top w:val="single" w:sz="4" w:space="0" w:color="auto"/>
              <w:left w:val="single" w:sz="4" w:space="0" w:color="auto"/>
              <w:bottom w:val="single" w:sz="12" w:space="0" w:color="auto"/>
              <w:right w:val="single" w:sz="12" w:space="0" w:color="auto"/>
            </w:tcBorders>
            <w:shd w:val="clear" w:color="auto" w:fill="auto"/>
            <w:noWrap/>
            <w:vAlign w:val="center"/>
            <w:hideMark/>
          </w:tcPr>
          <w:p w14:paraId="06E7BC41" w14:textId="3DCF31E5" w:rsidR="00AE3CFB" w:rsidRPr="00AE3CFB" w:rsidRDefault="00AE3CFB" w:rsidP="00AE3CFB">
            <w:pPr>
              <w:spacing w:before="0" w:after="0" w:line="240" w:lineRule="auto"/>
              <w:rPr>
                <w:rFonts w:cs="Arial"/>
                <w:b/>
                <w:bCs/>
                <w:color w:val="000000"/>
                <w:sz w:val="22"/>
                <w:szCs w:val="22"/>
                <w:lang w:eastAsia="en-GB"/>
              </w:rPr>
            </w:pPr>
            <w:bookmarkStart w:id="104" w:name="_Hlk159879836"/>
            <w:r w:rsidRPr="00AE3CFB">
              <w:rPr>
                <w:rFonts w:cs="Arial"/>
                <w:b/>
                <w:bCs/>
                <w:color w:val="000000"/>
                <w:sz w:val="22"/>
                <w:szCs w:val="22"/>
                <w:lang w:eastAsia="en-GB"/>
              </w:rPr>
              <w:t>NOx Sources  </w:t>
            </w:r>
          </w:p>
        </w:tc>
        <w:tc>
          <w:tcPr>
            <w:tcW w:w="748"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032DBCA5"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 xml:space="preserve">AQMA 1 </w:t>
            </w:r>
          </w:p>
        </w:tc>
        <w:tc>
          <w:tcPr>
            <w:tcW w:w="748" w:type="dxa"/>
            <w:tcBorders>
              <w:top w:val="single" w:sz="4" w:space="0" w:color="auto"/>
              <w:left w:val="nil"/>
              <w:bottom w:val="single" w:sz="12" w:space="0" w:color="auto"/>
              <w:right w:val="single" w:sz="4" w:space="0" w:color="auto"/>
            </w:tcBorders>
            <w:shd w:val="clear" w:color="auto" w:fill="auto"/>
            <w:vAlign w:val="center"/>
            <w:hideMark/>
          </w:tcPr>
          <w:p w14:paraId="0CAAADCF"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 xml:space="preserve">AQMA 2 </w:t>
            </w:r>
          </w:p>
        </w:tc>
        <w:tc>
          <w:tcPr>
            <w:tcW w:w="748" w:type="dxa"/>
            <w:tcBorders>
              <w:top w:val="single" w:sz="4" w:space="0" w:color="auto"/>
              <w:left w:val="nil"/>
              <w:bottom w:val="single" w:sz="12" w:space="0" w:color="auto"/>
              <w:right w:val="single" w:sz="4" w:space="0" w:color="auto"/>
            </w:tcBorders>
            <w:shd w:val="clear" w:color="auto" w:fill="auto"/>
            <w:vAlign w:val="center"/>
            <w:hideMark/>
          </w:tcPr>
          <w:p w14:paraId="0ADA8398"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 xml:space="preserve">AQMA 3 </w:t>
            </w:r>
          </w:p>
        </w:tc>
        <w:tc>
          <w:tcPr>
            <w:tcW w:w="748" w:type="dxa"/>
            <w:tcBorders>
              <w:top w:val="single" w:sz="4" w:space="0" w:color="auto"/>
              <w:left w:val="nil"/>
              <w:bottom w:val="single" w:sz="12" w:space="0" w:color="auto"/>
              <w:right w:val="single" w:sz="4" w:space="0" w:color="auto"/>
            </w:tcBorders>
            <w:shd w:val="clear" w:color="auto" w:fill="auto"/>
            <w:vAlign w:val="center"/>
            <w:hideMark/>
          </w:tcPr>
          <w:p w14:paraId="7BF71AD3"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AQMA 4</w:t>
            </w:r>
          </w:p>
        </w:tc>
        <w:tc>
          <w:tcPr>
            <w:tcW w:w="947" w:type="dxa"/>
            <w:tcBorders>
              <w:top w:val="single" w:sz="4" w:space="0" w:color="auto"/>
              <w:left w:val="nil"/>
              <w:bottom w:val="single" w:sz="12" w:space="0" w:color="auto"/>
              <w:right w:val="single" w:sz="4" w:space="0" w:color="auto"/>
            </w:tcBorders>
            <w:shd w:val="clear" w:color="auto" w:fill="auto"/>
            <w:vAlign w:val="center"/>
            <w:hideMark/>
          </w:tcPr>
          <w:p w14:paraId="51CCFF93"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Industrial</w:t>
            </w:r>
          </w:p>
        </w:tc>
        <w:tc>
          <w:tcPr>
            <w:tcW w:w="964" w:type="dxa"/>
            <w:tcBorders>
              <w:top w:val="single" w:sz="4" w:space="0" w:color="auto"/>
              <w:left w:val="nil"/>
              <w:bottom w:val="single" w:sz="12" w:space="0" w:color="auto"/>
              <w:right w:val="single" w:sz="4" w:space="0" w:color="auto"/>
            </w:tcBorders>
            <w:shd w:val="clear" w:color="auto" w:fill="auto"/>
            <w:vAlign w:val="center"/>
            <w:hideMark/>
          </w:tcPr>
          <w:p w14:paraId="40758524"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Kerbside</w:t>
            </w:r>
          </w:p>
        </w:tc>
        <w:tc>
          <w:tcPr>
            <w:tcW w:w="985" w:type="dxa"/>
            <w:tcBorders>
              <w:top w:val="single" w:sz="4" w:space="0" w:color="auto"/>
              <w:left w:val="nil"/>
              <w:bottom w:val="single" w:sz="12" w:space="0" w:color="auto"/>
              <w:right w:val="single" w:sz="4" w:space="0" w:color="auto"/>
            </w:tcBorders>
            <w:shd w:val="clear" w:color="auto" w:fill="auto"/>
            <w:vAlign w:val="center"/>
            <w:hideMark/>
          </w:tcPr>
          <w:p w14:paraId="77818EA4"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Roadside</w:t>
            </w:r>
          </w:p>
        </w:tc>
      </w:tr>
      <w:tr w:rsidR="00AE3CFB" w:rsidRPr="00AE3CFB" w14:paraId="4ADF5FEB" w14:textId="77777777" w:rsidTr="00AE3CFB">
        <w:trPr>
          <w:trHeight w:val="290"/>
        </w:trPr>
        <w:tc>
          <w:tcPr>
            <w:tcW w:w="2152" w:type="dxa"/>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76770351"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Petrol cars</w:t>
            </w:r>
          </w:p>
        </w:tc>
        <w:tc>
          <w:tcPr>
            <w:tcW w:w="748" w:type="dxa"/>
            <w:tcBorders>
              <w:top w:val="single" w:sz="12" w:space="0" w:color="auto"/>
              <w:left w:val="single" w:sz="12" w:space="0" w:color="auto"/>
              <w:bottom w:val="single" w:sz="4" w:space="0" w:color="auto"/>
              <w:right w:val="single" w:sz="4" w:space="0" w:color="auto"/>
            </w:tcBorders>
            <w:shd w:val="clear" w:color="000000" w:fill="FFE683"/>
            <w:noWrap/>
            <w:vAlign w:val="bottom"/>
            <w:hideMark/>
          </w:tcPr>
          <w:p w14:paraId="4EC72F9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5.4%</w:t>
            </w:r>
          </w:p>
        </w:tc>
        <w:tc>
          <w:tcPr>
            <w:tcW w:w="748" w:type="dxa"/>
            <w:tcBorders>
              <w:top w:val="single" w:sz="12" w:space="0" w:color="auto"/>
              <w:left w:val="single" w:sz="4" w:space="0" w:color="auto"/>
              <w:bottom w:val="single" w:sz="4" w:space="0" w:color="auto"/>
              <w:right w:val="single" w:sz="4" w:space="0" w:color="auto"/>
            </w:tcBorders>
            <w:shd w:val="clear" w:color="000000" w:fill="F7E883"/>
            <w:noWrap/>
            <w:vAlign w:val="bottom"/>
            <w:hideMark/>
          </w:tcPr>
          <w:p w14:paraId="4A7A772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3.8%</w:t>
            </w:r>
          </w:p>
        </w:tc>
        <w:tc>
          <w:tcPr>
            <w:tcW w:w="748"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573AA45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4.7%</w:t>
            </w:r>
          </w:p>
        </w:tc>
        <w:tc>
          <w:tcPr>
            <w:tcW w:w="748" w:type="dxa"/>
            <w:tcBorders>
              <w:top w:val="single" w:sz="12" w:space="0" w:color="auto"/>
              <w:left w:val="single" w:sz="4" w:space="0" w:color="auto"/>
              <w:bottom w:val="single" w:sz="4" w:space="0" w:color="auto"/>
              <w:right w:val="single" w:sz="4" w:space="0" w:color="auto"/>
            </w:tcBorders>
            <w:shd w:val="clear" w:color="000000" w:fill="FFEB84"/>
            <w:noWrap/>
            <w:vAlign w:val="bottom"/>
            <w:hideMark/>
          </w:tcPr>
          <w:p w14:paraId="7FC01AE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947" w:type="dxa"/>
            <w:tcBorders>
              <w:top w:val="single" w:sz="12" w:space="0" w:color="auto"/>
              <w:left w:val="single" w:sz="4" w:space="0" w:color="auto"/>
              <w:bottom w:val="single" w:sz="4" w:space="0" w:color="auto"/>
              <w:right w:val="single" w:sz="4" w:space="0" w:color="auto"/>
            </w:tcBorders>
            <w:shd w:val="clear" w:color="000000" w:fill="C0D980"/>
            <w:noWrap/>
            <w:vAlign w:val="bottom"/>
            <w:hideMark/>
          </w:tcPr>
          <w:p w14:paraId="07D647E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964"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42910CC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4.5%</w:t>
            </w:r>
          </w:p>
        </w:tc>
        <w:tc>
          <w:tcPr>
            <w:tcW w:w="985" w:type="dxa"/>
            <w:tcBorders>
              <w:top w:val="single" w:sz="12" w:space="0" w:color="auto"/>
              <w:left w:val="single" w:sz="4" w:space="0" w:color="auto"/>
              <w:bottom w:val="single" w:sz="4" w:space="0" w:color="auto"/>
              <w:right w:val="single" w:sz="4" w:space="0" w:color="auto"/>
            </w:tcBorders>
            <w:shd w:val="clear" w:color="000000" w:fill="E7E482"/>
            <w:noWrap/>
            <w:vAlign w:val="bottom"/>
            <w:hideMark/>
          </w:tcPr>
          <w:p w14:paraId="51A53B4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3.4%</w:t>
            </w:r>
          </w:p>
        </w:tc>
      </w:tr>
      <w:tr w:rsidR="00AE3CFB" w:rsidRPr="00AE3CFB" w14:paraId="5511CB1C"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766F8765"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Diesel cars</w:t>
            </w:r>
          </w:p>
        </w:tc>
        <w:tc>
          <w:tcPr>
            <w:tcW w:w="748" w:type="dxa"/>
            <w:tcBorders>
              <w:top w:val="single" w:sz="4" w:space="0" w:color="auto"/>
              <w:left w:val="single" w:sz="12" w:space="0" w:color="auto"/>
              <w:bottom w:val="single" w:sz="4" w:space="0" w:color="auto"/>
              <w:right w:val="single" w:sz="4" w:space="0" w:color="auto"/>
            </w:tcBorders>
            <w:shd w:val="clear" w:color="000000" w:fill="F8696B"/>
            <w:noWrap/>
            <w:vAlign w:val="bottom"/>
            <w:hideMark/>
          </w:tcPr>
          <w:p w14:paraId="2FAA236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34.4%</w:t>
            </w:r>
          </w:p>
        </w:tc>
        <w:tc>
          <w:tcPr>
            <w:tcW w:w="748" w:type="dxa"/>
            <w:tcBorders>
              <w:top w:val="single" w:sz="4" w:space="0" w:color="auto"/>
              <w:left w:val="single" w:sz="4" w:space="0" w:color="auto"/>
              <w:bottom w:val="single" w:sz="4" w:space="0" w:color="auto"/>
              <w:right w:val="single" w:sz="4" w:space="0" w:color="auto"/>
            </w:tcBorders>
            <w:shd w:val="clear" w:color="000000" w:fill="FCA878"/>
            <w:noWrap/>
            <w:vAlign w:val="bottom"/>
            <w:hideMark/>
          </w:tcPr>
          <w:p w14:paraId="2D1D0E0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19.8%</w:t>
            </w:r>
          </w:p>
        </w:tc>
        <w:tc>
          <w:tcPr>
            <w:tcW w:w="748" w:type="dxa"/>
            <w:tcBorders>
              <w:top w:val="single" w:sz="4" w:space="0" w:color="auto"/>
              <w:left w:val="single" w:sz="4" w:space="0" w:color="auto"/>
              <w:bottom w:val="single" w:sz="4" w:space="0" w:color="auto"/>
              <w:right w:val="single" w:sz="4" w:space="0" w:color="auto"/>
            </w:tcBorders>
            <w:shd w:val="clear" w:color="000000" w:fill="FB9574"/>
            <w:noWrap/>
            <w:vAlign w:val="bottom"/>
            <w:hideMark/>
          </w:tcPr>
          <w:p w14:paraId="4EB09DD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24.3%</w:t>
            </w:r>
          </w:p>
        </w:tc>
        <w:tc>
          <w:tcPr>
            <w:tcW w:w="748" w:type="dxa"/>
            <w:tcBorders>
              <w:top w:val="single" w:sz="4" w:space="0" w:color="auto"/>
              <w:left w:val="single" w:sz="4" w:space="0" w:color="auto"/>
              <w:bottom w:val="single" w:sz="4" w:space="0" w:color="auto"/>
              <w:right w:val="single" w:sz="4" w:space="0" w:color="auto"/>
            </w:tcBorders>
            <w:shd w:val="clear" w:color="000000" w:fill="FB9975"/>
            <w:noWrap/>
            <w:vAlign w:val="bottom"/>
            <w:hideMark/>
          </w:tcPr>
          <w:p w14:paraId="68A4969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23.4%</w:t>
            </w:r>
          </w:p>
        </w:tc>
        <w:tc>
          <w:tcPr>
            <w:tcW w:w="947" w:type="dxa"/>
            <w:tcBorders>
              <w:top w:val="single" w:sz="4" w:space="0" w:color="auto"/>
              <w:left w:val="single" w:sz="4" w:space="0" w:color="auto"/>
              <w:bottom w:val="single" w:sz="4" w:space="0" w:color="auto"/>
              <w:right w:val="single" w:sz="4" w:space="0" w:color="auto"/>
            </w:tcBorders>
            <w:shd w:val="clear" w:color="000000" w:fill="FEC77E"/>
            <w:noWrap/>
            <w:vAlign w:val="bottom"/>
            <w:hideMark/>
          </w:tcPr>
          <w:p w14:paraId="0D31723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12.5%</w:t>
            </w:r>
          </w:p>
        </w:tc>
        <w:tc>
          <w:tcPr>
            <w:tcW w:w="964" w:type="dxa"/>
            <w:tcBorders>
              <w:top w:val="single" w:sz="4" w:space="0" w:color="auto"/>
              <w:left w:val="single" w:sz="4" w:space="0" w:color="auto"/>
              <w:bottom w:val="single" w:sz="4" w:space="0" w:color="auto"/>
              <w:right w:val="single" w:sz="4" w:space="0" w:color="auto"/>
            </w:tcBorders>
            <w:shd w:val="clear" w:color="000000" w:fill="FB9574"/>
            <w:noWrap/>
            <w:vAlign w:val="bottom"/>
            <w:hideMark/>
          </w:tcPr>
          <w:p w14:paraId="3CF6DE7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24.3%</w:t>
            </w:r>
          </w:p>
        </w:tc>
        <w:tc>
          <w:tcPr>
            <w:tcW w:w="985" w:type="dxa"/>
            <w:tcBorders>
              <w:top w:val="single" w:sz="4" w:space="0" w:color="auto"/>
              <w:left w:val="single" w:sz="4" w:space="0" w:color="auto"/>
              <w:bottom w:val="single" w:sz="4" w:space="0" w:color="auto"/>
              <w:right w:val="single" w:sz="4" w:space="0" w:color="auto"/>
            </w:tcBorders>
            <w:shd w:val="clear" w:color="000000" w:fill="FCAE79"/>
            <w:noWrap/>
            <w:vAlign w:val="bottom"/>
            <w:hideMark/>
          </w:tcPr>
          <w:p w14:paraId="65C1C0E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18.4%</w:t>
            </w:r>
          </w:p>
        </w:tc>
      </w:tr>
      <w:tr w:rsidR="00AE3CFB" w:rsidRPr="00AE3CFB" w14:paraId="5700950E"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26A9DAAC"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Hybrid Petrol Cars</w:t>
            </w:r>
          </w:p>
        </w:tc>
        <w:tc>
          <w:tcPr>
            <w:tcW w:w="748" w:type="dxa"/>
            <w:tcBorders>
              <w:top w:val="single" w:sz="4" w:space="0" w:color="auto"/>
              <w:left w:val="single" w:sz="12" w:space="0" w:color="auto"/>
              <w:bottom w:val="single" w:sz="4" w:space="0" w:color="auto"/>
              <w:right w:val="single" w:sz="4" w:space="0" w:color="auto"/>
            </w:tcBorders>
            <w:shd w:val="clear" w:color="000000" w:fill="69BF7B"/>
            <w:noWrap/>
            <w:vAlign w:val="bottom"/>
            <w:hideMark/>
          </w:tcPr>
          <w:p w14:paraId="5D36C8B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748"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19BF9C6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748" w:type="dxa"/>
            <w:tcBorders>
              <w:top w:val="single" w:sz="4" w:space="0" w:color="auto"/>
              <w:left w:val="single" w:sz="4" w:space="0" w:color="auto"/>
              <w:bottom w:val="single" w:sz="4" w:space="0" w:color="auto"/>
              <w:right w:val="single" w:sz="4" w:space="0" w:color="auto"/>
            </w:tcBorders>
            <w:shd w:val="clear" w:color="000000" w:fill="66BE7B"/>
            <w:noWrap/>
            <w:vAlign w:val="bottom"/>
            <w:hideMark/>
          </w:tcPr>
          <w:p w14:paraId="66DF050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748"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14D1154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4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429BA3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964"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3FDA2BD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85"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FCFEE9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r>
      <w:tr w:rsidR="00AE3CFB" w:rsidRPr="00AE3CFB" w14:paraId="6BE2025D"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4C632C80"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Hybrid Diesel Cars</w:t>
            </w:r>
          </w:p>
        </w:tc>
        <w:tc>
          <w:tcPr>
            <w:tcW w:w="748" w:type="dxa"/>
            <w:tcBorders>
              <w:top w:val="single" w:sz="4" w:space="0" w:color="auto"/>
              <w:left w:val="single" w:sz="12" w:space="0" w:color="auto"/>
              <w:bottom w:val="single" w:sz="4" w:space="0" w:color="auto"/>
              <w:right w:val="single" w:sz="4" w:space="0" w:color="auto"/>
            </w:tcBorders>
            <w:shd w:val="clear" w:color="000000" w:fill="6EC17B"/>
            <w:noWrap/>
            <w:vAlign w:val="bottom"/>
            <w:hideMark/>
          </w:tcPr>
          <w:p w14:paraId="13AF125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748"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3E5FD71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748"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7DCB89B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748"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046FDF3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47" w:type="dxa"/>
            <w:tcBorders>
              <w:top w:val="single" w:sz="4" w:space="0" w:color="auto"/>
              <w:left w:val="single" w:sz="4" w:space="0" w:color="auto"/>
              <w:bottom w:val="single" w:sz="4" w:space="0" w:color="auto"/>
              <w:right w:val="single" w:sz="4" w:space="0" w:color="auto"/>
            </w:tcBorders>
            <w:shd w:val="clear" w:color="000000" w:fill="64BE7B"/>
            <w:noWrap/>
            <w:vAlign w:val="bottom"/>
            <w:hideMark/>
          </w:tcPr>
          <w:p w14:paraId="52D32CC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64"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0A6A9CE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85" w:type="dxa"/>
            <w:tcBorders>
              <w:top w:val="single" w:sz="4" w:space="0" w:color="auto"/>
              <w:left w:val="single" w:sz="4" w:space="0" w:color="auto"/>
              <w:bottom w:val="single" w:sz="4" w:space="0" w:color="auto"/>
              <w:right w:val="single" w:sz="4" w:space="0" w:color="auto"/>
            </w:tcBorders>
            <w:shd w:val="clear" w:color="000000" w:fill="66BF7B"/>
            <w:noWrap/>
            <w:vAlign w:val="bottom"/>
            <w:hideMark/>
          </w:tcPr>
          <w:p w14:paraId="3712EB8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AE3CFB" w:rsidRPr="00AE3CFB" w14:paraId="3371EFC2"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8819AB3"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LGVs</w:t>
            </w:r>
          </w:p>
        </w:tc>
        <w:tc>
          <w:tcPr>
            <w:tcW w:w="748" w:type="dxa"/>
            <w:tcBorders>
              <w:top w:val="single" w:sz="4" w:space="0" w:color="auto"/>
              <w:left w:val="single" w:sz="12" w:space="0" w:color="auto"/>
              <w:bottom w:val="single" w:sz="4" w:space="0" w:color="auto"/>
              <w:right w:val="single" w:sz="4" w:space="0" w:color="auto"/>
            </w:tcBorders>
            <w:shd w:val="clear" w:color="000000" w:fill="FECA7E"/>
            <w:noWrap/>
            <w:vAlign w:val="bottom"/>
            <w:hideMark/>
          </w:tcPr>
          <w:p w14:paraId="7F18BB0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11.8%</w:t>
            </w:r>
          </w:p>
        </w:tc>
        <w:tc>
          <w:tcPr>
            <w:tcW w:w="748" w:type="dxa"/>
            <w:tcBorders>
              <w:top w:val="single" w:sz="4" w:space="0" w:color="auto"/>
              <w:left w:val="single" w:sz="4" w:space="0" w:color="auto"/>
              <w:bottom w:val="single" w:sz="4" w:space="0" w:color="auto"/>
              <w:right w:val="single" w:sz="4" w:space="0" w:color="auto"/>
            </w:tcBorders>
            <w:shd w:val="clear" w:color="000000" w:fill="FFD981"/>
            <w:noWrap/>
            <w:vAlign w:val="bottom"/>
            <w:hideMark/>
          </w:tcPr>
          <w:p w14:paraId="72CC4BB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8.3%</w:t>
            </w:r>
          </w:p>
        </w:tc>
        <w:tc>
          <w:tcPr>
            <w:tcW w:w="748" w:type="dxa"/>
            <w:tcBorders>
              <w:top w:val="single" w:sz="4" w:space="0" w:color="auto"/>
              <w:left w:val="single" w:sz="4" w:space="0" w:color="auto"/>
              <w:bottom w:val="single" w:sz="4" w:space="0" w:color="auto"/>
              <w:right w:val="single" w:sz="4" w:space="0" w:color="auto"/>
            </w:tcBorders>
            <w:shd w:val="clear" w:color="000000" w:fill="FED881"/>
            <w:noWrap/>
            <w:vAlign w:val="bottom"/>
            <w:hideMark/>
          </w:tcPr>
          <w:p w14:paraId="2280B63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8.7%</w:t>
            </w:r>
          </w:p>
        </w:tc>
        <w:tc>
          <w:tcPr>
            <w:tcW w:w="748" w:type="dxa"/>
            <w:tcBorders>
              <w:top w:val="single" w:sz="4" w:space="0" w:color="auto"/>
              <w:left w:val="single" w:sz="4" w:space="0" w:color="auto"/>
              <w:bottom w:val="single" w:sz="4" w:space="0" w:color="auto"/>
              <w:right w:val="single" w:sz="4" w:space="0" w:color="auto"/>
            </w:tcBorders>
            <w:shd w:val="clear" w:color="000000" w:fill="FFE383"/>
            <w:noWrap/>
            <w:vAlign w:val="bottom"/>
            <w:hideMark/>
          </w:tcPr>
          <w:p w14:paraId="3EDB51F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5.9%</w:t>
            </w:r>
          </w:p>
        </w:tc>
        <w:tc>
          <w:tcPr>
            <w:tcW w:w="947" w:type="dxa"/>
            <w:tcBorders>
              <w:top w:val="single" w:sz="4" w:space="0" w:color="auto"/>
              <w:left w:val="single" w:sz="4" w:space="0" w:color="auto"/>
              <w:bottom w:val="single" w:sz="4" w:space="0" w:color="auto"/>
              <w:right w:val="single" w:sz="4" w:space="0" w:color="auto"/>
            </w:tcBorders>
            <w:shd w:val="clear" w:color="000000" w:fill="6EC17B"/>
            <w:noWrap/>
            <w:vAlign w:val="bottom"/>
            <w:hideMark/>
          </w:tcPr>
          <w:p w14:paraId="7EE55A5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964"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14:paraId="3FC75FA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985" w:type="dxa"/>
            <w:tcBorders>
              <w:top w:val="single" w:sz="4" w:space="0" w:color="auto"/>
              <w:left w:val="single" w:sz="4" w:space="0" w:color="auto"/>
              <w:bottom w:val="single" w:sz="4" w:space="0" w:color="auto"/>
              <w:right w:val="single" w:sz="4" w:space="0" w:color="auto"/>
            </w:tcBorders>
            <w:shd w:val="clear" w:color="000000" w:fill="B5D57F"/>
            <w:noWrap/>
            <w:vAlign w:val="bottom"/>
            <w:hideMark/>
          </w:tcPr>
          <w:p w14:paraId="5EAD250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r>
      <w:tr w:rsidR="00AE3CFB" w:rsidRPr="00AE3CFB" w14:paraId="0EA0A7B0"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3507AF22"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Rigid HGVs</w:t>
            </w:r>
          </w:p>
        </w:tc>
        <w:tc>
          <w:tcPr>
            <w:tcW w:w="748" w:type="dxa"/>
            <w:tcBorders>
              <w:top w:val="single" w:sz="4" w:space="0" w:color="auto"/>
              <w:left w:val="single" w:sz="12" w:space="0" w:color="auto"/>
              <w:bottom w:val="single" w:sz="4" w:space="0" w:color="auto"/>
              <w:right w:val="single" w:sz="4" w:space="0" w:color="auto"/>
            </w:tcBorders>
            <w:shd w:val="clear" w:color="000000" w:fill="E9E482"/>
            <w:noWrap/>
            <w:vAlign w:val="bottom"/>
            <w:hideMark/>
          </w:tcPr>
          <w:p w14:paraId="02D6740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3.5%</w:t>
            </w:r>
          </w:p>
        </w:tc>
        <w:tc>
          <w:tcPr>
            <w:tcW w:w="748" w:type="dxa"/>
            <w:tcBorders>
              <w:top w:val="single" w:sz="4" w:space="0" w:color="auto"/>
              <w:left w:val="single" w:sz="4" w:space="0" w:color="auto"/>
              <w:bottom w:val="single" w:sz="4" w:space="0" w:color="auto"/>
              <w:right w:val="single" w:sz="4" w:space="0" w:color="auto"/>
            </w:tcBorders>
            <w:shd w:val="clear" w:color="000000" w:fill="FFE183"/>
            <w:noWrap/>
            <w:vAlign w:val="bottom"/>
            <w:hideMark/>
          </w:tcPr>
          <w:p w14:paraId="782E381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6.4%</w:t>
            </w:r>
          </w:p>
        </w:tc>
        <w:tc>
          <w:tcPr>
            <w:tcW w:w="748" w:type="dxa"/>
            <w:tcBorders>
              <w:top w:val="single" w:sz="4" w:space="0" w:color="auto"/>
              <w:left w:val="single" w:sz="4" w:space="0" w:color="auto"/>
              <w:bottom w:val="single" w:sz="4" w:space="0" w:color="auto"/>
              <w:right w:val="single" w:sz="4" w:space="0" w:color="auto"/>
            </w:tcBorders>
            <w:shd w:val="clear" w:color="000000" w:fill="E4E382"/>
            <w:noWrap/>
            <w:vAlign w:val="bottom"/>
            <w:hideMark/>
          </w:tcPr>
          <w:p w14:paraId="202A946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c>
          <w:tcPr>
            <w:tcW w:w="748" w:type="dxa"/>
            <w:tcBorders>
              <w:top w:val="single" w:sz="4" w:space="0" w:color="auto"/>
              <w:left w:val="single" w:sz="4" w:space="0" w:color="auto"/>
              <w:bottom w:val="single" w:sz="4" w:space="0" w:color="auto"/>
              <w:right w:val="single" w:sz="4" w:space="0" w:color="auto"/>
            </w:tcBorders>
            <w:shd w:val="clear" w:color="000000" w:fill="CCDC81"/>
            <w:noWrap/>
            <w:vAlign w:val="bottom"/>
            <w:hideMark/>
          </w:tcPr>
          <w:p w14:paraId="1C8B763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947" w:type="dxa"/>
            <w:tcBorders>
              <w:top w:val="single" w:sz="4" w:space="0" w:color="auto"/>
              <w:left w:val="single" w:sz="4" w:space="0" w:color="auto"/>
              <w:bottom w:val="single" w:sz="4" w:space="0" w:color="auto"/>
              <w:right w:val="single" w:sz="4" w:space="0" w:color="auto"/>
            </w:tcBorders>
            <w:shd w:val="clear" w:color="000000" w:fill="FEEA83"/>
            <w:noWrap/>
            <w:vAlign w:val="bottom"/>
            <w:hideMark/>
          </w:tcPr>
          <w:p w14:paraId="2D42735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4.0%</w:t>
            </w:r>
          </w:p>
        </w:tc>
        <w:tc>
          <w:tcPr>
            <w:tcW w:w="964"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6950CC1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985"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5BB3751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4.7%</w:t>
            </w:r>
          </w:p>
        </w:tc>
      </w:tr>
      <w:tr w:rsidR="00AE3CFB" w:rsidRPr="00AE3CFB" w14:paraId="78E23F68"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444DCFB9"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Artic HGVs</w:t>
            </w:r>
          </w:p>
        </w:tc>
        <w:tc>
          <w:tcPr>
            <w:tcW w:w="748" w:type="dxa"/>
            <w:tcBorders>
              <w:top w:val="single" w:sz="4" w:space="0" w:color="auto"/>
              <w:left w:val="single" w:sz="12" w:space="0" w:color="auto"/>
              <w:bottom w:val="single" w:sz="4" w:space="0" w:color="auto"/>
              <w:right w:val="single" w:sz="4" w:space="0" w:color="auto"/>
            </w:tcBorders>
            <w:shd w:val="clear" w:color="000000" w:fill="CEDD81"/>
            <w:noWrap/>
            <w:vAlign w:val="bottom"/>
            <w:hideMark/>
          </w:tcPr>
          <w:p w14:paraId="7826BC4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748" w:type="dxa"/>
            <w:tcBorders>
              <w:top w:val="single" w:sz="4" w:space="0" w:color="auto"/>
              <w:left w:val="single" w:sz="4" w:space="0" w:color="auto"/>
              <w:bottom w:val="single" w:sz="4" w:space="0" w:color="auto"/>
              <w:right w:val="single" w:sz="4" w:space="0" w:color="auto"/>
            </w:tcBorders>
            <w:shd w:val="clear" w:color="000000" w:fill="B6D67F"/>
            <w:noWrap/>
            <w:vAlign w:val="bottom"/>
            <w:hideMark/>
          </w:tcPr>
          <w:p w14:paraId="0112DCD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c>
          <w:tcPr>
            <w:tcW w:w="748" w:type="dxa"/>
            <w:tcBorders>
              <w:top w:val="single" w:sz="4" w:space="0" w:color="auto"/>
              <w:left w:val="single" w:sz="4" w:space="0" w:color="auto"/>
              <w:bottom w:val="single" w:sz="4" w:space="0" w:color="auto"/>
              <w:right w:val="single" w:sz="4" w:space="0" w:color="auto"/>
            </w:tcBorders>
            <w:shd w:val="clear" w:color="000000" w:fill="8ECA7D"/>
            <w:noWrap/>
            <w:vAlign w:val="bottom"/>
            <w:hideMark/>
          </w:tcPr>
          <w:p w14:paraId="4BAF228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1.2%</w:t>
            </w:r>
          </w:p>
        </w:tc>
        <w:tc>
          <w:tcPr>
            <w:tcW w:w="748" w:type="dxa"/>
            <w:tcBorders>
              <w:top w:val="single" w:sz="4" w:space="0" w:color="auto"/>
              <w:left w:val="single" w:sz="4" w:space="0" w:color="auto"/>
              <w:bottom w:val="single" w:sz="4" w:space="0" w:color="auto"/>
              <w:right w:val="single" w:sz="4" w:space="0" w:color="auto"/>
            </w:tcBorders>
            <w:shd w:val="clear" w:color="000000" w:fill="86C87D"/>
            <w:noWrap/>
            <w:vAlign w:val="bottom"/>
            <w:hideMark/>
          </w:tcPr>
          <w:p w14:paraId="18CBBF7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1.0%</w:t>
            </w:r>
          </w:p>
        </w:tc>
        <w:tc>
          <w:tcPr>
            <w:tcW w:w="947" w:type="dxa"/>
            <w:tcBorders>
              <w:top w:val="single" w:sz="4" w:space="0" w:color="auto"/>
              <w:left w:val="single" w:sz="4" w:space="0" w:color="auto"/>
              <w:bottom w:val="single" w:sz="4" w:space="0" w:color="auto"/>
              <w:right w:val="single" w:sz="4" w:space="0" w:color="auto"/>
            </w:tcBorders>
            <w:shd w:val="clear" w:color="000000" w:fill="AAD27F"/>
            <w:noWrap/>
            <w:vAlign w:val="bottom"/>
            <w:hideMark/>
          </w:tcPr>
          <w:p w14:paraId="5B7D7FF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964" w:type="dxa"/>
            <w:tcBorders>
              <w:top w:val="single" w:sz="4" w:space="0" w:color="auto"/>
              <w:left w:val="single" w:sz="4" w:space="0" w:color="auto"/>
              <w:bottom w:val="single" w:sz="4" w:space="0" w:color="auto"/>
              <w:right w:val="single" w:sz="4" w:space="0" w:color="auto"/>
            </w:tcBorders>
            <w:shd w:val="clear" w:color="000000" w:fill="7FC67C"/>
            <w:noWrap/>
            <w:vAlign w:val="bottom"/>
            <w:hideMark/>
          </w:tcPr>
          <w:p w14:paraId="78A3F07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985" w:type="dxa"/>
            <w:tcBorders>
              <w:top w:val="single" w:sz="4" w:space="0" w:color="auto"/>
              <w:left w:val="single" w:sz="4" w:space="0" w:color="auto"/>
              <w:bottom w:val="single" w:sz="4" w:space="0" w:color="auto"/>
              <w:right w:val="single" w:sz="4" w:space="0" w:color="auto"/>
            </w:tcBorders>
            <w:shd w:val="clear" w:color="000000" w:fill="90CB7D"/>
            <w:noWrap/>
            <w:vAlign w:val="bottom"/>
            <w:hideMark/>
          </w:tcPr>
          <w:p w14:paraId="444DD49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1.3%</w:t>
            </w:r>
          </w:p>
        </w:tc>
      </w:tr>
      <w:tr w:rsidR="00AE3CFB" w:rsidRPr="00AE3CFB" w14:paraId="0B0851F0"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AA777B6"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Buses</w:t>
            </w:r>
          </w:p>
        </w:tc>
        <w:tc>
          <w:tcPr>
            <w:tcW w:w="748" w:type="dxa"/>
            <w:tcBorders>
              <w:top w:val="single" w:sz="4" w:space="0" w:color="auto"/>
              <w:left w:val="single" w:sz="12" w:space="0" w:color="auto"/>
              <w:bottom w:val="single" w:sz="4" w:space="0" w:color="auto"/>
              <w:right w:val="single" w:sz="4" w:space="0" w:color="auto"/>
            </w:tcBorders>
            <w:shd w:val="clear" w:color="000000" w:fill="65BE7B"/>
            <w:noWrap/>
            <w:vAlign w:val="bottom"/>
            <w:hideMark/>
          </w:tcPr>
          <w:p w14:paraId="25A84F9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748" w:type="dxa"/>
            <w:tcBorders>
              <w:top w:val="single" w:sz="4" w:space="0" w:color="auto"/>
              <w:left w:val="single" w:sz="4" w:space="0" w:color="auto"/>
              <w:bottom w:val="single" w:sz="4" w:space="0" w:color="auto"/>
              <w:right w:val="single" w:sz="4" w:space="0" w:color="auto"/>
            </w:tcBorders>
            <w:shd w:val="clear" w:color="000000" w:fill="DDE182"/>
            <w:noWrap/>
            <w:vAlign w:val="bottom"/>
            <w:hideMark/>
          </w:tcPr>
          <w:p w14:paraId="45014E5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3.2%</w:t>
            </w:r>
          </w:p>
        </w:tc>
        <w:tc>
          <w:tcPr>
            <w:tcW w:w="748" w:type="dxa"/>
            <w:tcBorders>
              <w:top w:val="single" w:sz="4" w:space="0" w:color="auto"/>
              <w:left w:val="single" w:sz="4" w:space="0" w:color="auto"/>
              <w:bottom w:val="single" w:sz="4" w:space="0" w:color="auto"/>
              <w:right w:val="single" w:sz="4" w:space="0" w:color="auto"/>
            </w:tcBorders>
            <w:shd w:val="clear" w:color="000000" w:fill="BAD780"/>
            <w:noWrap/>
            <w:vAlign w:val="bottom"/>
            <w:hideMark/>
          </w:tcPr>
          <w:p w14:paraId="5E26F8D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2.3%</w:t>
            </w:r>
          </w:p>
        </w:tc>
        <w:tc>
          <w:tcPr>
            <w:tcW w:w="748" w:type="dxa"/>
            <w:tcBorders>
              <w:top w:val="single" w:sz="4" w:space="0" w:color="auto"/>
              <w:left w:val="single" w:sz="4" w:space="0" w:color="auto"/>
              <w:bottom w:val="single" w:sz="4" w:space="0" w:color="auto"/>
              <w:right w:val="single" w:sz="4" w:space="0" w:color="auto"/>
            </w:tcBorders>
            <w:shd w:val="clear" w:color="000000" w:fill="E3E382"/>
            <w:noWrap/>
            <w:vAlign w:val="bottom"/>
            <w:hideMark/>
          </w:tcPr>
          <w:p w14:paraId="1825CB9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c>
          <w:tcPr>
            <w:tcW w:w="947"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7CFF43A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0.7%</w:t>
            </w:r>
          </w:p>
        </w:tc>
        <w:tc>
          <w:tcPr>
            <w:tcW w:w="964" w:type="dxa"/>
            <w:tcBorders>
              <w:top w:val="single" w:sz="4" w:space="0" w:color="auto"/>
              <w:left w:val="single" w:sz="4" w:space="0" w:color="auto"/>
              <w:bottom w:val="single" w:sz="4" w:space="0" w:color="auto"/>
              <w:right w:val="single" w:sz="4" w:space="0" w:color="auto"/>
            </w:tcBorders>
            <w:shd w:val="clear" w:color="000000" w:fill="6DC07B"/>
            <w:noWrap/>
            <w:vAlign w:val="bottom"/>
            <w:hideMark/>
          </w:tcPr>
          <w:p w14:paraId="67D25C0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985" w:type="dxa"/>
            <w:tcBorders>
              <w:top w:val="single" w:sz="4" w:space="0" w:color="auto"/>
              <w:left w:val="single" w:sz="4" w:space="0" w:color="auto"/>
              <w:bottom w:val="single" w:sz="4" w:space="0" w:color="auto"/>
              <w:right w:val="single" w:sz="4" w:space="0" w:color="auto"/>
            </w:tcBorders>
            <w:shd w:val="clear" w:color="000000" w:fill="70C17B"/>
            <w:noWrap/>
            <w:vAlign w:val="bottom"/>
            <w:hideMark/>
          </w:tcPr>
          <w:p w14:paraId="0C21E2D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0.5%</w:t>
            </w:r>
          </w:p>
        </w:tc>
      </w:tr>
      <w:tr w:rsidR="00AE3CFB" w:rsidRPr="00AE3CFB" w14:paraId="72CDB1C7"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93C1304"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Taxis</w:t>
            </w:r>
          </w:p>
        </w:tc>
        <w:tc>
          <w:tcPr>
            <w:tcW w:w="748" w:type="dxa"/>
            <w:tcBorders>
              <w:top w:val="single" w:sz="4" w:space="0" w:color="auto"/>
              <w:left w:val="single" w:sz="12" w:space="0" w:color="auto"/>
              <w:bottom w:val="single" w:sz="4" w:space="0" w:color="auto"/>
              <w:right w:val="single" w:sz="4" w:space="0" w:color="auto"/>
            </w:tcBorders>
            <w:shd w:val="clear" w:color="000000" w:fill="C3D980"/>
            <w:noWrap/>
            <w:vAlign w:val="bottom"/>
            <w:hideMark/>
          </w:tcPr>
          <w:p w14:paraId="70B26E7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748" w:type="dxa"/>
            <w:tcBorders>
              <w:top w:val="single" w:sz="4" w:space="0" w:color="auto"/>
              <w:left w:val="single" w:sz="4" w:space="0" w:color="auto"/>
              <w:bottom w:val="single" w:sz="4" w:space="0" w:color="auto"/>
              <w:right w:val="single" w:sz="4" w:space="0" w:color="auto"/>
            </w:tcBorders>
            <w:shd w:val="clear" w:color="000000" w:fill="C0D880"/>
            <w:noWrap/>
            <w:vAlign w:val="bottom"/>
            <w:hideMark/>
          </w:tcPr>
          <w:p w14:paraId="0843FE2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748" w:type="dxa"/>
            <w:tcBorders>
              <w:top w:val="single" w:sz="4" w:space="0" w:color="auto"/>
              <w:left w:val="single" w:sz="4" w:space="0" w:color="auto"/>
              <w:bottom w:val="single" w:sz="4" w:space="0" w:color="auto"/>
              <w:right w:val="single" w:sz="4" w:space="0" w:color="auto"/>
            </w:tcBorders>
            <w:shd w:val="clear" w:color="000000" w:fill="D5DF81"/>
            <w:noWrap/>
            <w:vAlign w:val="bottom"/>
            <w:hideMark/>
          </w:tcPr>
          <w:p w14:paraId="3379156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3.0%</w:t>
            </w:r>
          </w:p>
        </w:tc>
        <w:tc>
          <w:tcPr>
            <w:tcW w:w="748"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4737BD7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947" w:type="dxa"/>
            <w:tcBorders>
              <w:top w:val="single" w:sz="4" w:space="0" w:color="auto"/>
              <w:left w:val="single" w:sz="4" w:space="0" w:color="auto"/>
              <w:bottom w:val="single" w:sz="4" w:space="0" w:color="auto"/>
              <w:right w:val="single" w:sz="4" w:space="0" w:color="auto"/>
            </w:tcBorders>
            <w:shd w:val="clear" w:color="000000" w:fill="9CCE7E"/>
            <w:noWrap/>
            <w:vAlign w:val="bottom"/>
            <w:hideMark/>
          </w:tcPr>
          <w:p w14:paraId="406CEB1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1.6%</w:t>
            </w:r>
          </w:p>
        </w:tc>
        <w:tc>
          <w:tcPr>
            <w:tcW w:w="96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D833E7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985" w:type="dxa"/>
            <w:tcBorders>
              <w:top w:val="single" w:sz="4" w:space="0" w:color="auto"/>
              <w:left w:val="single" w:sz="4" w:space="0" w:color="auto"/>
              <w:bottom w:val="single" w:sz="4" w:space="0" w:color="auto"/>
              <w:right w:val="single" w:sz="4" w:space="0" w:color="auto"/>
            </w:tcBorders>
            <w:shd w:val="clear" w:color="000000" w:fill="D1DD81"/>
            <w:noWrap/>
            <w:vAlign w:val="bottom"/>
            <w:hideMark/>
          </w:tcPr>
          <w:p w14:paraId="1F008A7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2.9%</w:t>
            </w:r>
          </w:p>
        </w:tc>
      </w:tr>
      <w:tr w:rsidR="00AE3CFB" w:rsidRPr="00AE3CFB" w14:paraId="02812D26"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82A0D5D"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Minor Rd + Cold Start</w:t>
            </w:r>
          </w:p>
        </w:tc>
        <w:tc>
          <w:tcPr>
            <w:tcW w:w="748" w:type="dxa"/>
            <w:tcBorders>
              <w:top w:val="single" w:sz="4" w:space="0" w:color="auto"/>
              <w:left w:val="single" w:sz="12" w:space="0" w:color="auto"/>
              <w:bottom w:val="single" w:sz="4" w:space="0" w:color="auto"/>
              <w:right w:val="single" w:sz="4" w:space="0" w:color="auto"/>
            </w:tcBorders>
            <w:shd w:val="clear" w:color="000000" w:fill="FFE884"/>
            <w:noWrap/>
            <w:vAlign w:val="bottom"/>
            <w:hideMark/>
          </w:tcPr>
          <w:p w14:paraId="604F7C2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748"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645BD0E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5.1%</w:t>
            </w:r>
          </w:p>
        </w:tc>
        <w:tc>
          <w:tcPr>
            <w:tcW w:w="748"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316AA9E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c>
          <w:tcPr>
            <w:tcW w:w="748" w:type="dxa"/>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6404D74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7.0%</w:t>
            </w:r>
          </w:p>
        </w:tc>
        <w:tc>
          <w:tcPr>
            <w:tcW w:w="947"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28C3F99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5.9%</w:t>
            </w:r>
          </w:p>
        </w:tc>
        <w:tc>
          <w:tcPr>
            <w:tcW w:w="964" w:type="dxa"/>
            <w:tcBorders>
              <w:top w:val="single" w:sz="4" w:space="0" w:color="auto"/>
              <w:left w:val="single" w:sz="4" w:space="0" w:color="auto"/>
              <w:bottom w:val="single" w:sz="4" w:space="0" w:color="auto"/>
              <w:right w:val="single" w:sz="4" w:space="0" w:color="auto"/>
            </w:tcBorders>
            <w:shd w:val="clear" w:color="000000" w:fill="FED680"/>
            <w:noWrap/>
            <w:vAlign w:val="bottom"/>
            <w:hideMark/>
          </w:tcPr>
          <w:p w14:paraId="014AE92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9.1%</w:t>
            </w:r>
          </w:p>
        </w:tc>
        <w:tc>
          <w:tcPr>
            <w:tcW w:w="985"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31E03C9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7.8%</w:t>
            </w:r>
          </w:p>
        </w:tc>
      </w:tr>
      <w:tr w:rsidR="00AE3CFB" w:rsidRPr="00AE3CFB" w14:paraId="561B30B1"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30ADC3F0"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Industry</w:t>
            </w:r>
          </w:p>
        </w:tc>
        <w:tc>
          <w:tcPr>
            <w:tcW w:w="748" w:type="dxa"/>
            <w:tcBorders>
              <w:top w:val="single" w:sz="4" w:space="0" w:color="auto"/>
              <w:left w:val="single" w:sz="12" w:space="0" w:color="auto"/>
              <w:bottom w:val="single" w:sz="4" w:space="0" w:color="auto"/>
              <w:right w:val="single" w:sz="4" w:space="0" w:color="auto"/>
            </w:tcBorders>
            <w:shd w:val="clear" w:color="000000" w:fill="C1D980"/>
            <w:noWrap/>
            <w:vAlign w:val="bottom"/>
            <w:hideMark/>
          </w:tcPr>
          <w:p w14:paraId="1542A81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2.5%</w:t>
            </w:r>
          </w:p>
        </w:tc>
        <w:tc>
          <w:tcPr>
            <w:tcW w:w="748" w:type="dxa"/>
            <w:tcBorders>
              <w:top w:val="single" w:sz="4" w:space="0" w:color="auto"/>
              <w:left w:val="single" w:sz="4" w:space="0" w:color="auto"/>
              <w:bottom w:val="single" w:sz="4" w:space="0" w:color="auto"/>
              <w:right w:val="single" w:sz="4" w:space="0" w:color="auto"/>
            </w:tcBorders>
            <w:shd w:val="clear" w:color="000000" w:fill="D0DD81"/>
            <w:noWrap/>
            <w:vAlign w:val="bottom"/>
            <w:hideMark/>
          </w:tcPr>
          <w:p w14:paraId="39366D2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748" w:type="dxa"/>
            <w:tcBorders>
              <w:top w:val="single" w:sz="4" w:space="0" w:color="auto"/>
              <w:left w:val="single" w:sz="4" w:space="0" w:color="auto"/>
              <w:bottom w:val="single" w:sz="4" w:space="0" w:color="auto"/>
              <w:right w:val="single" w:sz="4" w:space="0" w:color="auto"/>
            </w:tcBorders>
            <w:shd w:val="clear" w:color="000000" w:fill="CFDD81"/>
            <w:noWrap/>
            <w:vAlign w:val="bottom"/>
            <w:hideMark/>
          </w:tcPr>
          <w:p w14:paraId="7806529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748"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259C205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4.8%</w:t>
            </w:r>
          </w:p>
        </w:tc>
        <w:tc>
          <w:tcPr>
            <w:tcW w:w="947"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7190576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5.2%</w:t>
            </w:r>
          </w:p>
        </w:tc>
        <w:tc>
          <w:tcPr>
            <w:tcW w:w="964"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497703E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4.4%</w:t>
            </w:r>
          </w:p>
        </w:tc>
        <w:tc>
          <w:tcPr>
            <w:tcW w:w="985" w:type="dxa"/>
            <w:tcBorders>
              <w:top w:val="single" w:sz="4" w:space="0" w:color="auto"/>
              <w:left w:val="single" w:sz="4" w:space="0" w:color="auto"/>
              <w:bottom w:val="single" w:sz="4" w:space="0" w:color="auto"/>
              <w:right w:val="single" w:sz="4" w:space="0" w:color="auto"/>
            </w:tcBorders>
            <w:shd w:val="clear" w:color="000000" w:fill="FED981"/>
            <w:noWrap/>
            <w:vAlign w:val="bottom"/>
            <w:hideMark/>
          </w:tcPr>
          <w:p w14:paraId="75DDB95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8.4%</w:t>
            </w:r>
          </w:p>
        </w:tc>
      </w:tr>
      <w:tr w:rsidR="00AE3CFB" w:rsidRPr="00AE3CFB" w14:paraId="7ED72830"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6C27CF3D"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Domestic</w:t>
            </w:r>
          </w:p>
        </w:tc>
        <w:tc>
          <w:tcPr>
            <w:tcW w:w="748" w:type="dxa"/>
            <w:tcBorders>
              <w:top w:val="single" w:sz="4" w:space="0" w:color="auto"/>
              <w:left w:val="single" w:sz="12" w:space="0" w:color="auto"/>
              <w:bottom w:val="single" w:sz="4" w:space="0" w:color="auto"/>
              <w:right w:val="single" w:sz="4" w:space="0" w:color="auto"/>
            </w:tcBorders>
            <w:shd w:val="clear" w:color="000000" w:fill="FFE383"/>
            <w:noWrap/>
            <w:vAlign w:val="bottom"/>
            <w:hideMark/>
          </w:tcPr>
          <w:p w14:paraId="4E46484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6.0%</w:t>
            </w:r>
          </w:p>
        </w:tc>
        <w:tc>
          <w:tcPr>
            <w:tcW w:w="748"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7950969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c>
          <w:tcPr>
            <w:tcW w:w="748" w:type="dxa"/>
            <w:tcBorders>
              <w:top w:val="single" w:sz="4" w:space="0" w:color="auto"/>
              <w:left w:val="single" w:sz="4" w:space="0" w:color="auto"/>
              <w:bottom w:val="single" w:sz="4" w:space="0" w:color="auto"/>
              <w:right w:val="single" w:sz="4" w:space="0" w:color="auto"/>
            </w:tcBorders>
            <w:shd w:val="clear" w:color="000000" w:fill="FFD981"/>
            <w:noWrap/>
            <w:vAlign w:val="bottom"/>
            <w:hideMark/>
          </w:tcPr>
          <w:p w14:paraId="23AE699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8.3%</w:t>
            </w:r>
          </w:p>
        </w:tc>
        <w:tc>
          <w:tcPr>
            <w:tcW w:w="748" w:type="dxa"/>
            <w:tcBorders>
              <w:top w:val="single" w:sz="4" w:space="0" w:color="auto"/>
              <w:left w:val="single" w:sz="4" w:space="0" w:color="auto"/>
              <w:bottom w:val="single" w:sz="4" w:space="0" w:color="auto"/>
              <w:right w:val="single" w:sz="4" w:space="0" w:color="auto"/>
            </w:tcBorders>
            <w:shd w:val="clear" w:color="000000" w:fill="FED680"/>
            <w:noWrap/>
            <w:vAlign w:val="bottom"/>
            <w:hideMark/>
          </w:tcPr>
          <w:p w14:paraId="7516739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9.0%</w:t>
            </w:r>
          </w:p>
        </w:tc>
        <w:tc>
          <w:tcPr>
            <w:tcW w:w="947"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795D539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6.2%</w:t>
            </w:r>
          </w:p>
        </w:tc>
        <w:tc>
          <w:tcPr>
            <w:tcW w:w="964" w:type="dxa"/>
            <w:tcBorders>
              <w:top w:val="single" w:sz="4" w:space="0" w:color="auto"/>
              <w:left w:val="single" w:sz="4" w:space="0" w:color="auto"/>
              <w:bottom w:val="single" w:sz="4" w:space="0" w:color="auto"/>
              <w:right w:val="single" w:sz="4" w:space="0" w:color="auto"/>
            </w:tcBorders>
            <w:shd w:val="clear" w:color="000000" w:fill="FECE7F"/>
            <w:noWrap/>
            <w:vAlign w:val="bottom"/>
            <w:hideMark/>
          </w:tcPr>
          <w:p w14:paraId="0C5D1C9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10.8%</w:t>
            </w:r>
          </w:p>
        </w:tc>
        <w:tc>
          <w:tcPr>
            <w:tcW w:w="985" w:type="dxa"/>
            <w:tcBorders>
              <w:top w:val="single" w:sz="4" w:space="0" w:color="auto"/>
              <w:left w:val="single" w:sz="4" w:space="0" w:color="auto"/>
              <w:bottom w:val="single" w:sz="4" w:space="0" w:color="auto"/>
              <w:right w:val="single" w:sz="4" w:space="0" w:color="auto"/>
            </w:tcBorders>
            <w:shd w:val="clear" w:color="000000" w:fill="FED580"/>
            <w:noWrap/>
            <w:vAlign w:val="bottom"/>
            <w:hideMark/>
          </w:tcPr>
          <w:p w14:paraId="6B1E275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9.3%</w:t>
            </w:r>
          </w:p>
        </w:tc>
      </w:tr>
      <w:tr w:rsidR="00AE3CFB" w:rsidRPr="00AE3CFB" w14:paraId="46EF09EC"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1F2DAAA8"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Aircraft</w:t>
            </w:r>
          </w:p>
        </w:tc>
        <w:tc>
          <w:tcPr>
            <w:tcW w:w="748" w:type="dxa"/>
            <w:tcBorders>
              <w:top w:val="single" w:sz="4" w:space="0" w:color="auto"/>
              <w:left w:val="single" w:sz="12" w:space="0" w:color="auto"/>
              <w:bottom w:val="single" w:sz="4" w:space="0" w:color="auto"/>
              <w:right w:val="single" w:sz="4" w:space="0" w:color="auto"/>
            </w:tcBorders>
            <w:shd w:val="clear" w:color="000000" w:fill="A4D07E"/>
            <w:noWrap/>
            <w:vAlign w:val="bottom"/>
            <w:hideMark/>
          </w:tcPr>
          <w:p w14:paraId="35F8B43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1.8%</w:t>
            </w:r>
          </w:p>
        </w:tc>
        <w:tc>
          <w:tcPr>
            <w:tcW w:w="748" w:type="dxa"/>
            <w:tcBorders>
              <w:top w:val="single" w:sz="4" w:space="0" w:color="auto"/>
              <w:left w:val="single" w:sz="4" w:space="0" w:color="auto"/>
              <w:bottom w:val="single" w:sz="4" w:space="0" w:color="auto"/>
              <w:right w:val="single" w:sz="4" w:space="0" w:color="auto"/>
            </w:tcBorders>
            <w:shd w:val="clear" w:color="000000" w:fill="FFE383"/>
            <w:noWrap/>
            <w:vAlign w:val="bottom"/>
            <w:hideMark/>
          </w:tcPr>
          <w:p w14:paraId="2125886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6.0%</w:t>
            </w:r>
          </w:p>
        </w:tc>
        <w:tc>
          <w:tcPr>
            <w:tcW w:w="748" w:type="dxa"/>
            <w:tcBorders>
              <w:top w:val="single" w:sz="4" w:space="0" w:color="auto"/>
              <w:left w:val="single" w:sz="4" w:space="0" w:color="auto"/>
              <w:bottom w:val="single" w:sz="4" w:space="0" w:color="auto"/>
              <w:right w:val="single" w:sz="4" w:space="0" w:color="auto"/>
            </w:tcBorders>
            <w:shd w:val="clear" w:color="000000" w:fill="94CC7D"/>
            <w:noWrap/>
            <w:vAlign w:val="bottom"/>
            <w:hideMark/>
          </w:tcPr>
          <w:p w14:paraId="37EDBD2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1.4%</w:t>
            </w:r>
          </w:p>
        </w:tc>
        <w:tc>
          <w:tcPr>
            <w:tcW w:w="748" w:type="dxa"/>
            <w:tcBorders>
              <w:top w:val="single" w:sz="4" w:space="0" w:color="auto"/>
              <w:left w:val="single" w:sz="4" w:space="0" w:color="auto"/>
              <w:bottom w:val="single" w:sz="4" w:space="0" w:color="auto"/>
              <w:right w:val="single" w:sz="4" w:space="0" w:color="auto"/>
            </w:tcBorders>
            <w:shd w:val="clear" w:color="000000" w:fill="AAD27F"/>
            <w:noWrap/>
            <w:vAlign w:val="bottom"/>
            <w:hideMark/>
          </w:tcPr>
          <w:p w14:paraId="367DE7F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947" w:type="dxa"/>
            <w:tcBorders>
              <w:top w:val="single" w:sz="4" w:space="0" w:color="auto"/>
              <w:left w:val="single" w:sz="4" w:space="0" w:color="auto"/>
              <w:bottom w:val="single" w:sz="4" w:space="0" w:color="auto"/>
              <w:right w:val="single" w:sz="4" w:space="0" w:color="auto"/>
            </w:tcBorders>
            <w:shd w:val="clear" w:color="000000" w:fill="FCB37A"/>
            <w:noWrap/>
            <w:vAlign w:val="bottom"/>
            <w:hideMark/>
          </w:tcPr>
          <w:p w14:paraId="1739D3E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17.1%</w:t>
            </w:r>
          </w:p>
        </w:tc>
        <w:tc>
          <w:tcPr>
            <w:tcW w:w="964" w:type="dxa"/>
            <w:tcBorders>
              <w:top w:val="single" w:sz="4" w:space="0" w:color="auto"/>
              <w:left w:val="single" w:sz="4" w:space="0" w:color="auto"/>
              <w:bottom w:val="single" w:sz="4" w:space="0" w:color="auto"/>
              <w:right w:val="single" w:sz="4" w:space="0" w:color="auto"/>
            </w:tcBorders>
            <w:shd w:val="clear" w:color="000000" w:fill="ABD37F"/>
            <w:noWrap/>
            <w:vAlign w:val="bottom"/>
            <w:hideMark/>
          </w:tcPr>
          <w:p w14:paraId="20838D4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985" w:type="dxa"/>
            <w:tcBorders>
              <w:top w:val="single" w:sz="4" w:space="0" w:color="auto"/>
              <w:left w:val="single" w:sz="4" w:space="0" w:color="auto"/>
              <w:bottom w:val="single" w:sz="4" w:space="0" w:color="auto"/>
              <w:right w:val="single" w:sz="4" w:space="0" w:color="auto"/>
            </w:tcBorders>
            <w:shd w:val="clear" w:color="000000" w:fill="E3E382"/>
            <w:noWrap/>
            <w:vAlign w:val="bottom"/>
            <w:hideMark/>
          </w:tcPr>
          <w:p w14:paraId="71CFAB6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r>
      <w:tr w:rsidR="00AE3CFB" w:rsidRPr="00AE3CFB" w14:paraId="7B4AD25B"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B5C8078"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Rail</w:t>
            </w:r>
          </w:p>
        </w:tc>
        <w:tc>
          <w:tcPr>
            <w:tcW w:w="748" w:type="dxa"/>
            <w:tcBorders>
              <w:top w:val="single" w:sz="4" w:space="0" w:color="auto"/>
              <w:left w:val="single" w:sz="12" w:space="0" w:color="auto"/>
              <w:bottom w:val="single" w:sz="4" w:space="0" w:color="auto"/>
              <w:right w:val="single" w:sz="4" w:space="0" w:color="auto"/>
            </w:tcBorders>
            <w:shd w:val="clear" w:color="000000" w:fill="CEDC81"/>
            <w:noWrap/>
            <w:vAlign w:val="bottom"/>
            <w:hideMark/>
          </w:tcPr>
          <w:p w14:paraId="06B95E5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748" w:type="dxa"/>
            <w:tcBorders>
              <w:top w:val="single" w:sz="4" w:space="0" w:color="auto"/>
              <w:left w:val="single" w:sz="4" w:space="0" w:color="auto"/>
              <w:bottom w:val="single" w:sz="4" w:space="0" w:color="auto"/>
              <w:right w:val="single" w:sz="4" w:space="0" w:color="auto"/>
            </w:tcBorders>
            <w:shd w:val="clear" w:color="000000" w:fill="BED880"/>
            <w:noWrap/>
            <w:vAlign w:val="bottom"/>
            <w:hideMark/>
          </w:tcPr>
          <w:p w14:paraId="1065659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748" w:type="dxa"/>
            <w:tcBorders>
              <w:top w:val="single" w:sz="4" w:space="0" w:color="auto"/>
              <w:left w:val="single" w:sz="4" w:space="0" w:color="auto"/>
              <w:bottom w:val="single" w:sz="4" w:space="0" w:color="auto"/>
              <w:right w:val="single" w:sz="4" w:space="0" w:color="auto"/>
            </w:tcBorders>
            <w:shd w:val="clear" w:color="000000" w:fill="FED480"/>
            <w:noWrap/>
            <w:vAlign w:val="bottom"/>
            <w:hideMark/>
          </w:tcPr>
          <w:p w14:paraId="1CF7CD0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9.5%</w:t>
            </w:r>
          </w:p>
        </w:tc>
        <w:tc>
          <w:tcPr>
            <w:tcW w:w="748" w:type="dxa"/>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6980E6E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6.5%</w:t>
            </w:r>
          </w:p>
        </w:tc>
        <w:tc>
          <w:tcPr>
            <w:tcW w:w="947" w:type="dxa"/>
            <w:tcBorders>
              <w:top w:val="single" w:sz="4" w:space="0" w:color="auto"/>
              <w:left w:val="single" w:sz="4" w:space="0" w:color="auto"/>
              <w:bottom w:val="single" w:sz="4" w:space="0" w:color="auto"/>
              <w:right w:val="single" w:sz="4" w:space="0" w:color="auto"/>
            </w:tcBorders>
            <w:shd w:val="clear" w:color="000000" w:fill="99CD7E"/>
            <w:noWrap/>
            <w:vAlign w:val="bottom"/>
            <w:hideMark/>
          </w:tcPr>
          <w:p w14:paraId="1126D43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1.5%</w:t>
            </w:r>
          </w:p>
        </w:tc>
        <w:tc>
          <w:tcPr>
            <w:tcW w:w="964"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19A8AAA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4.4%</w:t>
            </w:r>
          </w:p>
        </w:tc>
        <w:tc>
          <w:tcPr>
            <w:tcW w:w="985"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76A6E27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7.8%</w:t>
            </w:r>
          </w:p>
        </w:tc>
      </w:tr>
      <w:tr w:rsidR="00AE3CFB" w:rsidRPr="00AE3CFB" w14:paraId="6AD059F5"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0074F941"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Other</w:t>
            </w:r>
          </w:p>
        </w:tc>
        <w:tc>
          <w:tcPr>
            <w:tcW w:w="748" w:type="dxa"/>
            <w:tcBorders>
              <w:top w:val="single" w:sz="4" w:space="0" w:color="auto"/>
              <w:left w:val="single" w:sz="12" w:space="0" w:color="auto"/>
              <w:bottom w:val="single" w:sz="4" w:space="0" w:color="auto"/>
              <w:right w:val="single" w:sz="4" w:space="0" w:color="auto"/>
            </w:tcBorders>
            <w:shd w:val="clear" w:color="000000" w:fill="FFEB84"/>
            <w:noWrap/>
            <w:vAlign w:val="bottom"/>
            <w:hideMark/>
          </w:tcPr>
          <w:p w14:paraId="228AE06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4.0%</w:t>
            </w:r>
          </w:p>
        </w:tc>
        <w:tc>
          <w:tcPr>
            <w:tcW w:w="748"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4CF5BD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4.2%</w:t>
            </w:r>
          </w:p>
        </w:tc>
        <w:tc>
          <w:tcPr>
            <w:tcW w:w="748"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6203CBB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5.2%</w:t>
            </w:r>
          </w:p>
        </w:tc>
        <w:tc>
          <w:tcPr>
            <w:tcW w:w="748"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46AC1ED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4.9%</w:t>
            </w:r>
          </w:p>
        </w:tc>
        <w:tc>
          <w:tcPr>
            <w:tcW w:w="947" w:type="dxa"/>
            <w:tcBorders>
              <w:top w:val="single" w:sz="4" w:space="0" w:color="auto"/>
              <w:left w:val="single" w:sz="4" w:space="0" w:color="auto"/>
              <w:bottom w:val="single" w:sz="4" w:space="0" w:color="auto"/>
              <w:right w:val="single" w:sz="4" w:space="0" w:color="auto"/>
            </w:tcBorders>
            <w:shd w:val="clear" w:color="000000" w:fill="FED17F"/>
            <w:noWrap/>
            <w:vAlign w:val="bottom"/>
            <w:hideMark/>
          </w:tcPr>
          <w:p w14:paraId="5427669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10.3%</w:t>
            </w:r>
          </w:p>
        </w:tc>
        <w:tc>
          <w:tcPr>
            <w:tcW w:w="964"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06974B7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5.8%</w:t>
            </w:r>
          </w:p>
        </w:tc>
        <w:tc>
          <w:tcPr>
            <w:tcW w:w="985"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75376FF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6.3%</w:t>
            </w:r>
          </w:p>
        </w:tc>
      </w:tr>
      <w:tr w:rsidR="00AE3CFB" w:rsidRPr="00AE3CFB" w14:paraId="235E23E7"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5618016A"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Point Sources</w:t>
            </w:r>
          </w:p>
        </w:tc>
        <w:tc>
          <w:tcPr>
            <w:tcW w:w="748" w:type="dxa"/>
            <w:tcBorders>
              <w:top w:val="single" w:sz="4" w:space="0" w:color="auto"/>
              <w:left w:val="single" w:sz="12" w:space="0" w:color="auto"/>
              <w:bottom w:val="single" w:sz="4" w:space="0" w:color="auto"/>
              <w:right w:val="single" w:sz="4" w:space="0" w:color="auto"/>
            </w:tcBorders>
            <w:shd w:val="clear" w:color="000000" w:fill="AAD27F"/>
            <w:noWrap/>
            <w:vAlign w:val="bottom"/>
            <w:hideMark/>
          </w:tcPr>
          <w:p w14:paraId="71FB319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748" w:type="dxa"/>
            <w:tcBorders>
              <w:top w:val="single" w:sz="4" w:space="0" w:color="auto"/>
              <w:left w:val="single" w:sz="4" w:space="0" w:color="auto"/>
              <w:bottom w:val="single" w:sz="4" w:space="0" w:color="auto"/>
              <w:right w:val="single" w:sz="4" w:space="0" w:color="auto"/>
            </w:tcBorders>
            <w:shd w:val="clear" w:color="000000" w:fill="FFDC81"/>
            <w:noWrap/>
            <w:vAlign w:val="bottom"/>
            <w:hideMark/>
          </w:tcPr>
          <w:p w14:paraId="4CAB931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7.7%</w:t>
            </w:r>
          </w:p>
        </w:tc>
        <w:tc>
          <w:tcPr>
            <w:tcW w:w="748" w:type="dxa"/>
            <w:tcBorders>
              <w:top w:val="single" w:sz="4" w:space="0" w:color="auto"/>
              <w:left w:val="single" w:sz="4" w:space="0" w:color="auto"/>
              <w:bottom w:val="single" w:sz="4" w:space="0" w:color="auto"/>
              <w:right w:val="single" w:sz="4" w:space="0" w:color="auto"/>
            </w:tcBorders>
            <w:shd w:val="clear" w:color="000000" w:fill="ABD27F"/>
            <w:noWrap/>
            <w:vAlign w:val="bottom"/>
            <w:hideMark/>
          </w:tcPr>
          <w:p w14:paraId="6D372D7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748" w:type="dxa"/>
            <w:tcBorders>
              <w:top w:val="single" w:sz="4" w:space="0" w:color="auto"/>
              <w:left w:val="single" w:sz="4" w:space="0" w:color="auto"/>
              <w:bottom w:val="single" w:sz="4" w:space="0" w:color="auto"/>
              <w:right w:val="single" w:sz="4" w:space="0" w:color="auto"/>
            </w:tcBorders>
            <w:shd w:val="clear" w:color="000000" w:fill="BDD880"/>
            <w:noWrap/>
            <w:vAlign w:val="bottom"/>
            <w:hideMark/>
          </w:tcPr>
          <w:p w14:paraId="78D883C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947"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254436D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7.9%</w:t>
            </w:r>
          </w:p>
        </w:tc>
        <w:tc>
          <w:tcPr>
            <w:tcW w:w="964" w:type="dxa"/>
            <w:tcBorders>
              <w:top w:val="single" w:sz="4" w:space="0" w:color="auto"/>
              <w:left w:val="single" w:sz="4" w:space="0" w:color="auto"/>
              <w:bottom w:val="single" w:sz="4" w:space="0" w:color="auto"/>
              <w:right w:val="single" w:sz="4" w:space="0" w:color="auto"/>
            </w:tcBorders>
            <w:shd w:val="clear" w:color="000000" w:fill="B5D57F"/>
            <w:noWrap/>
            <w:vAlign w:val="bottom"/>
            <w:hideMark/>
          </w:tcPr>
          <w:p w14:paraId="44F8D64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2.2%</w:t>
            </w:r>
          </w:p>
        </w:tc>
        <w:tc>
          <w:tcPr>
            <w:tcW w:w="985" w:type="dxa"/>
            <w:tcBorders>
              <w:top w:val="single" w:sz="4" w:space="0" w:color="auto"/>
              <w:left w:val="single" w:sz="4" w:space="0" w:color="auto"/>
              <w:bottom w:val="single" w:sz="4" w:space="0" w:color="auto"/>
              <w:right w:val="single" w:sz="4" w:space="0" w:color="auto"/>
            </w:tcBorders>
            <w:shd w:val="clear" w:color="000000" w:fill="D1DD81"/>
            <w:noWrap/>
            <w:vAlign w:val="bottom"/>
            <w:hideMark/>
          </w:tcPr>
          <w:p w14:paraId="1942666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2.9%</w:t>
            </w:r>
          </w:p>
        </w:tc>
      </w:tr>
      <w:tr w:rsidR="00AE3CFB" w:rsidRPr="00AE3CFB" w14:paraId="59F779EC" w14:textId="77777777" w:rsidTr="00AE3CFB">
        <w:trPr>
          <w:trHeight w:val="290"/>
        </w:trPr>
        <w:tc>
          <w:tcPr>
            <w:tcW w:w="2152" w:type="dxa"/>
            <w:tcBorders>
              <w:top w:val="nil"/>
              <w:left w:val="single" w:sz="4" w:space="0" w:color="auto"/>
              <w:bottom w:val="single" w:sz="4" w:space="0" w:color="auto"/>
              <w:right w:val="single" w:sz="12" w:space="0" w:color="auto"/>
            </w:tcBorders>
            <w:shd w:val="clear" w:color="auto" w:fill="auto"/>
            <w:noWrap/>
            <w:vAlign w:val="bottom"/>
            <w:hideMark/>
          </w:tcPr>
          <w:p w14:paraId="6D942324"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Rural</w:t>
            </w:r>
          </w:p>
        </w:tc>
        <w:tc>
          <w:tcPr>
            <w:tcW w:w="748" w:type="dxa"/>
            <w:tcBorders>
              <w:top w:val="single" w:sz="4" w:space="0" w:color="auto"/>
              <w:left w:val="single" w:sz="12" w:space="0" w:color="auto"/>
              <w:bottom w:val="single" w:sz="4" w:space="0" w:color="auto"/>
              <w:right w:val="single" w:sz="4" w:space="0" w:color="auto"/>
            </w:tcBorders>
            <w:shd w:val="clear" w:color="000000" w:fill="FDBD7C"/>
            <w:noWrap/>
            <w:vAlign w:val="bottom"/>
            <w:hideMark/>
          </w:tcPr>
          <w:p w14:paraId="67150E3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14.8%</w:t>
            </w:r>
          </w:p>
        </w:tc>
        <w:tc>
          <w:tcPr>
            <w:tcW w:w="748" w:type="dxa"/>
            <w:tcBorders>
              <w:top w:val="single" w:sz="4" w:space="0" w:color="auto"/>
              <w:left w:val="single" w:sz="4" w:space="0" w:color="auto"/>
              <w:bottom w:val="single" w:sz="4" w:space="0" w:color="auto"/>
              <w:right w:val="single" w:sz="4" w:space="0" w:color="auto"/>
            </w:tcBorders>
            <w:shd w:val="clear" w:color="000000" w:fill="FCAC78"/>
            <w:noWrap/>
            <w:vAlign w:val="bottom"/>
            <w:hideMark/>
          </w:tcPr>
          <w:p w14:paraId="2DCE603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18.9%</w:t>
            </w:r>
          </w:p>
        </w:tc>
        <w:tc>
          <w:tcPr>
            <w:tcW w:w="748" w:type="dxa"/>
            <w:tcBorders>
              <w:top w:val="single" w:sz="4" w:space="0" w:color="auto"/>
              <w:left w:val="single" w:sz="4" w:space="0" w:color="auto"/>
              <w:bottom w:val="single" w:sz="4" w:space="0" w:color="auto"/>
              <w:right w:val="single" w:sz="4" w:space="0" w:color="auto"/>
            </w:tcBorders>
            <w:shd w:val="clear" w:color="000000" w:fill="FDB67A"/>
            <w:noWrap/>
            <w:vAlign w:val="bottom"/>
            <w:hideMark/>
          </w:tcPr>
          <w:p w14:paraId="614E05D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16.5%</w:t>
            </w:r>
          </w:p>
        </w:tc>
        <w:tc>
          <w:tcPr>
            <w:tcW w:w="748" w:type="dxa"/>
            <w:tcBorders>
              <w:top w:val="single" w:sz="4" w:space="0" w:color="auto"/>
              <w:left w:val="single" w:sz="4" w:space="0" w:color="auto"/>
              <w:bottom w:val="single" w:sz="4" w:space="0" w:color="auto"/>
              <w:right w:val="single" w:sz="4" w:space="0" w:color="auto"/>
            </w:tcBorders>
            <w:shd w:val="clear" w:color="000000" w:fill="FCB37A"/>
            <w:noWrap/>
            <w:vAlign w:val="bottom"/>
            <w:hideMark/>
          </w:tcPr>
          <w:p w14:paraId="09428CC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17.3%</w:t>
            </w:r>
          </w:p>
        </w:tc>
        <w:tc>
          <w:tcPr>
            <w:tcW w:w="947" w:type="dxa"/>
            <w:tcBorders>
              <w:top w:val="single" w:sz="4" w:space="0" w:color="auto"/>
              <w:left w:val="single" w:sz="4" w:space="0" w:color="auto"/>
              <w:bottom w:val="single" w:sz="4" w:space="0" w:color="auto"/>
              <w:right w:val="single" w:sz="4" w:space="0" w:color="auto"/>
            </w:tcBorders>
            <w:shd w:val="clear" w:color="000000" w:fill="FB9E76"/>
            <w:noWrap/>
            <w:vAlign w:val="bottom"/>
            <w:hideMark/>
          </w:tcPr>
          <w:p w14:paraId="591F844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22.1%</w:t>
            </w:r>
          </w:p>
        </w:tc>
        <w:tc>
          <w:tcPr>
            <w:tcW w:w="964" w:type="dxa"/>
            <w:tcBorders>
              <w:top w:val="single" w:sz="4" w:space="0" w:color="auto"/>
              <w:left w:val="single" w:sz="4" w:space="0" w:color="auto"/>
              <w:bottom w:val="single" w:sz="4" w:space="0" w:color="auto"/>
              <w:right w:val="single" w:sz="4" w:space="0" w:color="auto"/>
            </w:tcBorders>
            <w:shd w:val="clear" w:color="000000" w:fill="FCA377"/>
            <w:noWrap/>
            <w:vAlign w:val="bottom"/>
            <w:hideMark/>
          </w:tcPr>
          <w:p w14:paraId="2923B89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21.0%</w:t>
            </w:r>
          </w:p>
        </w:tc>
        <w:tc>
          <w:tcPr>
            <w:tcW w:w="985" w:type="dxa"/>
            <w:tcBorders>
              <w:top w:val="single" w:sz="4" w:space="0" w:color="auto"/>
              <w:left w:val="single" w:sz="4" w:space="0" w:color="auto"/>
              <w:bottom w:val="single" w:sz="4" w:space="0" w:color="auto"/>
              <w:right w:val="single" w:sz="4" w:space="0" w:color="auto"/>
            </w:tcBorders>
            <w:shd w:val="clear" w:color="000000" w:fill="FCA577"/>
            <w:noWrap/>
            <w:vAlign w:val="bottom"/>
            <w:hideMark/>
          </w:tcPr>
          <w:p w14:paraId="5A6E712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20.4%</w:t>
            </w:r>
          </w:p>
        </w:tc>
      </w:tr>
      <w:bookmarkEnd w:id="104"/>
    </w:tbl>
    <w:p w14:paraId="08EE0689" w14:textId="77777777" w:rsidR="00893953" w:rsidRDefault="00893953" w:rsidP="00893953">
      <w:pPr>
        <w:pStyle w:val="Heading3"/>
        <w:numPr>
          <w:ilvl w:val="0"/>
          <w:numId w:val="0"/>
        </w:numPr>
        <w:spacing w:before="0" w:after="0"/>
        <w:ind w:left="570" w:hanging="567"/>
      </w:pPr>
    </w:p>
    <w:p w14:paraId="56C5B1D1" w14:textId="79E608D7" w:rsidR="00A16B7D" w:rsidRDefault="00A16B7D" w:rsidP="0025036F">
      <w:pPr>
        <w:pStyle w:val="Heading3"/>
        <w:numPr>
          <w:ilvl w:val="2"/>
          <w:numId w:val="72"/>
        </w:numPr>
        <w:spacing w:after="0"/>
      </w:pPr>
      <w:r>
        <w:t xml:space="preserve"> </w:t>
      </w:r>
      <w:bookmarkStart w:id="105" w:name="_Toc159264897"/>
      <w:bookmarkStart w:id="106" w:name="_Toc160129568"/>
      <w:r>
        <w:t>PM</w:t>
      </w:r>
      <w:r w:rsidRPr="00185CE6">
        <w:rPr>
          <w:vertAlign w:val="subscript"/>
        </w:rPr>
        <w:t>10</w:t>
      </w:r>
      <w:r>
        <w:t xml:space="preserve"> and PM</w:t>
      </w:r>
      <w:r w:rsidRPr="00185CE6">
        <w:rPr>
          <w:vertAlign w:val="subscript"/>
        </w:rPr>
        <w:t>2.5</w:t>
      </w:r>
      <w:r>
        <w:t xml:space="preserve"> source apportionment</w:t>
      </w:r>
      <w:bookmarkEnd w:id="105"/>
      <w:bookmarkEnd w:id="106"/>
    </w:p>
    <w:p w14:paraId="794372FE" w14:textId="238761A5" w:rsidR="00A16B7D" w:rsidRDefault="00A16B7D" w:rsidP="00A16B7D">
      <w:bookmarkStart w:id="107" w:name="_Hlk159879865"/>
      <w:r>
        <w:t>For PM</w:t>
      </w:r>
      <w:r w:rsidRPr="00C15592">
        <w:rPr>
          <w:vertAlign w:val="subscript"/>
        </w:rPr>
        <w:t>10</w:t>
      </w:r>
      <w:r>
        <w:t xml:space="preserve">, the source apportionment study found that non-road emission sources, such as secondary PM (37.7%), </w:t>
      </w:r>
      <w:r w:rsidR="008E4365">
        <w:t>residual</w:t>
      </w:r>
      <w:r>
        <w:t xml:space="preserve"> (33.3%), and domestic heating (9.6%), are the key contributors to total emissions. Road emission sources only contributed to 10.6% of total PM</w:t>
      </w:r>
      <w:r w:rsidRPr="00185CE6">
        <w:rPr>
          <w:vertAlign w:val="subscript"/>
        </w:rPr>
        <w:t>10</w:t>
      </w:r>
      <w:r>
        <w:t xml:space="preserve"> emissions in 2022.</w:t>
      </w:r>
    </w:p>
    <w:p w14:paraId="2B9F8139" w14:textId="6AD7366C" w:rsidR="00A16B7D" w:rsidRDefault="00A16B7D" w:rsidP="00A16B7D">
      <w:r>
        <w:t>Similarly, for PM</w:t>
      </w:r>
      <w:r w:rsidRPr="00185CE6">
        <w:rPr>
          <w:vertAlign w:val="subscript"/>
        </w:rPr>
        <w:t>2.5</w:t>
      </w:r>
      <w:r>
        <w:t xml:space="preserve">, the key emissions </w:t>
      </w:r>
      <w:r w:rsidR="008E4365">
        <w:t>sources</w:t>
      </w:r>
      <w:r>
        <w:t xml:space="preserve"> are secondary PM (47.9%), </w:t>
      </w:r>
      <w:r w:rsidR="008E4365">
        <w:t>residual</w:t>
      </w:r>
      <w:r>
        <w:t xml:space="preserve"> (22.7%), and domestic heating (13.9%). Road emissions only contributed 9.3% of total PM</w:t>
      </w:r>
      <w:r>
        <w:rPr>
          <w:vertAlign w:val="subscript"/>
        </w:rPr>
        <w:t>2.5</w:t>
      </w:r>
      <w:r>
        <w:t xml:space="preserve"> emissions.</w:t>
      </w:r>
    </w:p>
    <w:bookmarkEnd w:id="107"/>
    <w:p w14:paraId="50258A1F" w14:textId="0EC50AED" w:rsidR="00B775AF" w:rsidRDefault="00B775AF" w:rsidP="00B775AF">
      <w:r w:rsidRPr="003F5535">
        <w:t xml:space="preserve">Within each AQMA, the average percentage </w:t>
      </w:r>
      <w:r w:rsidR="00843021">
        <w:t xml:space="preserve">of </w:t>
      </w:r>
      <w:r w:rsidRPr="003F5535">
        <w:t>source contributions from PM</w:t>
      </w:r>
      <w:r w:rsidR="00AE3CFB" w:rsidRPr="007D5CC7">
        <w:rPr>
          <w:vertAlign w:val="subscript"/>
        </w:rPr>
        <w:t>10</w:t>
      </w:r>
      <w:r w:rsidRPr="003F5535">
        <w:t xml:space="preserve"> and PM</w:t>
      </w:r>
      <w:r w:rsidR="00AE3CFB" w:rsidRPr="00A23144">
        <w:rPr>
          <w:vertAlign w:val="subscript"/>
        </w:rPr>
        <w:t>2.5</w:t>
      </w:r>
      <w:r w:rsidRPr="003F5535">
        <w:t xml:space="preserve"> are shown in Table </w:t>
      </w:r>
      <w:r w:rsidR="00DE1CD0">
        <w:t>3.</w:t>
      </w:r>
      <w:r w:rsidR="00DC1213">
        <w:t>4</w:t>
      </w:r>
      <w:r w:rsidRPr="003F5535">
        <w:t xml:space="preserve"> and Table </w:t>
      </w:r>
      <w:r w:rsidR="00DE1CD0">
        <w:t>3.</w:t>
      </w:r>
      <w:r w:rsidR="00DC1213">
        <w:t>5</w:t>
      </w:r>
      <w:r w:rsidRPr="003F5535">
        <w:t xml:space="preserve"> below</w:t>
      </w:r>
      <w:r w:rsidR="00843021">
        <w:t>, respectively</w:t>
      </w:r>
      <w:r w:rsidRPr="003F5535">
        <w:t xml:space="preserve">.  </w:t>
      </w:r>
    </w:p>
    <w:p w14:paraId="42EB6953" w14:textId="0C0D1F9E" w:rsidR="00DE1CD0" w:rsidRPr="00DE1CD0" w:rsidRDefault="00DE1CD0" w:rsidP="00DE1CD0">
      <w:pPr>
        <w:pStyle w:val="Tables"/>
      </w:pPr>
      <w:bookmarkStart w:id="108" w:name="_Toc160128555"/>
      <w:r>
        <w:t>Table 3.</w:t>
      </w:r>
      <w:r w:rsidR="00DC1213">
        <w:t>4</w:t>
      </w:r>
      <w:r>
        <w:t>: PM</w:t>
      </w:r>
      <w:r>
        <w:rPr>
          <w:vertAlign w:val="subscript"/>
        </w:rPr>
        <w:t>10</w:t>
      </w:r>
      <w:r>
        <w:t xml:space="preserve"> source apportionment by AQMA and non-AQMA areas</w:t>
      </w:r>
      <w:bookmarkEnd w:id="108"/>
    </w:p>
    <w:tbl>
      <w:tblPr>
        <w:tblW w:w="9209" w:type="dxa"/>
        <w:tblLook w:val="04A0" w:firstRow="1" w:lastRow="0" w:firstColumn="1" w:lastColumn="0" w:noHBand="0" w:noVBand="1"/>
      </w:tblPr>
      <w:tblGrid>
        <w:gridCol w:w="2084"/>
        <w:gridCol w:w="933"/>
        <w:gridCol w:w="933"/>
        <w:gridCol w:w="933"/>
        <w:gridCol w:w="933"/>
        <w:gridCol w:w="1109"/>
        <w:gridCol w:w="1085"/>
        <w:gridCol w:w="1262"/>
      </w:tblGrid>
      <w:tr w:rsidR="00CD3166" w:rsidRPr="00CD3166" w14:paraId="4DDA07AD" w14:textId="77777777" w:rsidTr="00DE1CD0">
        <w:trPr>
          <w:trHeight w:val="290"/>
          <w:tblHeader/>
        </w:trPr>
        <w:tc>
          <w:tcPr>
            <w:tcW w:w="2084" w:type="dxa"/>
            <w:tcBorders>
              <w:top w:val="single" w:sz="4" w:space="0" w:color="auto"/>
              <w:left w:val="single" w:sz="4" w:space="0" w:color="auto"/>
              <w:bottom w:val="single" w:sz="12" w:space="0" w:color="auto"/>
              <w:right w:val="single" w:sz="12" w:space="0" w:color="auto"/>
            </w:tcBorders>
            <w:shd w:val="clear" w:color="auto" w:fill="auto"/>
            <w:noWrap/>
            <w:vAlign w:val="center"/>
            <w:hideMark/>
          </w:tcPr>
          <w:p w14:paraId="580CAD90" w14:textId="77777777" w:rsidR="00CD3166" w:rsidRPr="00CD3166" w:rsidRDefault="00CD3166" w:rsidP="00CD3166">
            <w:pPr>
              <w:spacing w:before="0" w:after="0" w:line="240" w:lineRule="auto"/>
              <w:rPr>
                <w:rFonts w:cs="Arial"/>
                <w:b/>
                <w:bCs/>
                <w:color w:val="000000"/>
                <w:sz w:val="22"/>
                <w:szCs w:val="22"/>
                <w:lang w:eastAsia="en-GB"/>
              </w:rPr>
            </w:pPr>
            <w:r w:rsidRPr="00CD3166">
              <w:rPr>
                <w:rFonts w:cs="Arial"/>
                <w:b/>
                <w:bCs/>
                <w:color w:val="000000"/>
                <w:sz w:val="22"/>
                <w:szCs w:val="22"/>
                <w:lang w:eastAsia="en-GB"/>
              </w:rPr>
              <w:t>PM</w:t>
            </w:r>
            <w:r w:rsidRPr="007D5CC7">
              <w:rPr>
                <w:rFonts w:cs="Arial"/>
                <w:b/>
                <w:bCs/>
                <w:color w:val="000000"/>
                <w:sz w:val="22"/>
                <w:szCs w:val="22"/>
                <w:vertAlign w:val="subscript"/>
                <w:lang w:eastAsia="en-GB"/>
              </w:rPr>
              <w:t>10</w:t>
            </w:r>
            <w:r w:rsidRPr="00CD3166">
              <w:rPr>
                <w:rFonts w:cs="Arial"/>
                <w:b/>
                <w:bCs/>
                <w:color w:val="000000"/>
                <w:sz w:val="22"/>
                <w:szCs w:val="22"/>
                <w:lang w:eastAsia="en-GB"/>
              </w:rPr>
              <w:t xml:space="preserve"> Sources</w:t>
            </w:r>
          </w:p>
        </w:tc>
        <w:tc>
          <w:tcPr>
            <w:tcW w:w="933" w:type="dxa"/>
            <w:tcBorders>
              <w:top w:val="single" w:sz="4" w:space="0" w:color="auto"/>
              <w:left w:val="single" w:sz="12" w:space="0" w:color="auto"/>
              <w:bottom w:val="single" w:sz="12" w:space="0" w:color="auto"/>
              <w:right w:val="single" w:sz="4" w:space="0" w:color="auto"/>
            </w:tcBorders>
            <w:shd w:val="clear" w:color="auto" w:fill="auto"/>
            <w:noWrap/>
            <w:vAlign w:val="center"/>
            <w:hideMark/>
          </w:tcPr>
          <w:p w14:paraId="796B4281"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 xml:space="preserve">AQMA 1 </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22E33CDC"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AQMA 2</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02A29047"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AQMA 3</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3185AACB"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AQMA 4</w:t>
            </w:r>
          </w:p>
        </w:tc>
        <w:tc>
          <w:tcPr>
            <w:tcW w:w="1077" w:type="dxa"/>
            <w:tcBorders>
              <w:top w:val="single" w:sz="4" w:space="0" w:color="auto"/>
              <w:left w:val="nil"/>
              <w:bottom w:val="single" w:sz="12" w:space="0" w:color="auto"/>
              <w:right w:val="single" w:sz="4" w:space="0" w:color="auto"/>
            </w:tcBorders>
            <w:shd w:val="clear" w:color="auto" w:fill="auto"/>
            <w:noWrap/>
            <w:vAlign w:val="center"/>
            <w:hideMark/>
          </w:tcPr>
          <w:p w14:paraId="6FF5EDA9"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Industrial</w:t>
            </w:r>
          </w:p>
        </w:tc>
        <w:tc>
          <w:tcPr>
            <w:tcW w:w="1054" w:type="dxa"/>
            <w:tcBorders>
              <w:top w:val="single" w:sz="4" w:space="0" w:color="auto"/>
              <w:left w:val="nil"/>
              <w:bottom w:val="single" w:sz="12" w:space="0" w:color="auto"/>
              <w:right w:val="single" w:sz="4" w:space="0" w:color="auto"/>
            </w:tcBorders>
            <w:shd w:val="clear" w:color="auto" w:fill="auto"/>
            <w:noWrap/>
            <w:vAlign w:val="center"/>
            <w:hideMark/>
          </w:tcPr>
          <w:p w14:paraId="48AB5AEA"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Kerbside</w:t>
            </w:r>
          </w:p>
        </w:tc>
        <w:tc>
          <w:tcPr>
            <w:tcW w:w="1262" w:type="dxa"/>
            <w:tcBorders>
              <w:top w:val="single" w:sz="4" w:space="0" w:color="auto"/>
              <w:left w:val="nil"/>
              <w:bottom w:val="single" w:sz="12" w:space="0" w:color="auto"/>
              <w:right w:val="single" w:sz="4" w:space="0" w:color="auto"/>
            </w:tcBorders>
            <w:shd w:val="clear" w:color="auto" w:fill="auto"/>
            <w:noWrap/>
            <w:vAlign w:val="center"/>
            <w:hideMark/>
          </w:tcPr>
          <w:p w14:paraId="70CB99D9" w14:textId="77777777" w:rsidR="00CD3166" w:rsidRPr="00CD3166" w:rsidRDefault="00CD3166" w:rsidP="00CD3166">
            <w:pPr>
              <w:spacing w:before="0" w:after="0" w:line="240" w:lineRule="auto"/>
              <w:jc w:val="center"/>
              <w:rPr>
                <w:rFonts w:cs="Arial"/>
                <w:color w:val="000000"/>
                <w:sz w:val="22"/>
                <w:szCs w:val="22"/>
                <w:lang w:eastAsia="en-GB"/>
              </w:rPr>
            </w:pPr>
            <w:r w:rsidRPr="00CD3166">
              <w:rPr>
                <w:rFonts w:cs="Arial"/>
                <w:color w:val="000000"/>
                <w:sz w:val="22"/>
                <w:szCs w:val="22"/>
                <w:lang w:eastAsia="en-GB"/>
              </w:rPr>
              <w:t>Roadside</w:t>
            </w:r>
          </w:p>
        </w:tc>
      </w:tr>
      <w:tr w:rsidR="00CD3166" w:rsidRPr="00CD3166" w14:paraId="36975E10" w14:textId="77777777" w:rsidTr="00CD3166">
        <w:trPr>
          <w:trHeight w:val="290"/>
        </w:trPr>
        <w:tc>
          <w:tcPr>
            <w:tcW w:w="2084" w:type="dxa"/>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40655CC7"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Petrol cars</w:t>
            </w:r>
          </w:p>
        </w:tc>
        <w:tc>
          <w:tcPr>
            <w:tcW w:w="933" w:type="dxa"/>
            <w:tcBorders>
              <w:top w:val="single" w:sz="12" w:space="0" w:color="auto"/>
              <w:left w:val="single" w:sz="12" w:space="0" w:color="auto"/>
              <w:bottom w:val="single" w:sz="4" w:space="0" w:color="auto"/>
              <w:right w:val="single" w:sz="4" w:space="0" w:color="auto"/>
            </w:tcBorders>
            <w:shd w:val="clear" w:color="000000" w:fill="FFE082"/>
            <w:noWrap/>
            <w:vAlign w:val="bottom"/>
            <w:hideMark/>
          </w:tcPr>
          <w:p w14:paraId="0BA50B7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4.9%</w:t>
            </w:r>
          </w:p>
        </w:tc>
        <w:tc>
          <w:tcPr>
            <w:tcW w:w="933" w:type="dxa"/>
            <w:tcBorders>
              <w:top w:val="single" w:sz="12" w:space="0" w:color="auto"/>
              <w:left w:val="single" w:sz="4" w:space="0" w:color="auto"/>
              <w:bottom w:val="single" w:sz="4" w:space="0" w:color="auto"/>
              <w:right w:val="single" w:sz="4" w:space="0" w:color="auto"/>
            </w:tcBorders>
            <w:shd w:val="clear" w:color="000000" w:fill="FFE583"/>
            <w:noWrap/>
            <w:vAlign w:val="bottom"/>
            <w:hideMark/>
          </w:tcPr>
          <w:p w14:paraId="55B5D7E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3.1%</w:t>
            </w:r>
          </w:p>
        </w:tc>
        <w:tc>
          <w:tcPr>
            <w:tcW w:w="933" w:type="dxa"/>
            <w:tcBorders>
              <w:top w:val="single" w:sz="12" w:space="0" w:color="auto"/>
              <w:left w:val="single" w:sz="4" w:space="0" w:color="auto"/>
              <w:bottom w:val="single" w:sz="4" w:space="0" w:color="auto"/>
              <w:right w:val="single" w:sz="4" w:space="0" w:color="auto"/>
            </w:tcBorders>
            <w:shd w:val="clear" w:color="000000" w:fill="FFE483"/>
            <w:noWrap/>
            <w:vAlign w:val="bottom"/>
            <w:hideMark/>
          </w:tcPr>
          <w:p w14:paraId="3C27B20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3.5%</w:t>
            </w:r>
          </w:p>
        </w:tc>
        <w:tc>
          <w:tcPr>
            <w:tcW w:w="933" w:type="dxa"/>
            <w:tcBorders>
              <w:top w:val="single" w:sz="12" w:space="0" w:color="auto"/>
              <w:left w:val="single" w:sz="4" w:space="0" w:color="auto"/>
              <w:bottom w:val="single" w:sz="4" w:space="0" w:color="auto"/>
              <w:right w:val="single" w:sz="4" w:space="0" w:color="auto"/>
            </w:tcBorders>
            <w:shd w:val="clear" w:color="000000" w:fill="FFE183"/>
            <w:noWrap/>
            <w:vAlign w:val="bottom"/>
            <w:hideMark/>
          </w:tcPr>
          <w:p w14:paraId="59E651F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4.4%</w:t>
            </w:r>
          </w:p>
        </w:tc>
        <w:tc>
          <w:tcPr>
            <w:tcW w:w="1077"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73E4831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1.9%</w:t>
            </w:r>
          </w:p>
        </w:tc>
        <w:tc>
          <w:tcPr>
            <w:tcW w:w="1054" w:type="dxa"/>
            <w:tcBorders>
              <w:top w:val="single" w:sz="12" w:space="0" w:color="auto"/>
              <w:left w:val="single" w:sz="4" w:space="0" w:color="auto"/>
              <w:bottom w:val="single" w:sz="4" w:space="0" w:color="auto"/>
              <w:right w:val="single" w:sz="4" w:space="0" w:color="auto"/>
            </w:tcBorders>
            <w:shd w:val="clear" w:color="000000" w:fill="FFE383"/>
            <w:noWrap/>
            <w:vAlign w:val="bottom"/>
            <w:hideMark/>
          </w:tcPr>
          <w:p w14:paraId="2086194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3.8%</w:t>
            </w:r>
          </w:p>
        </w:tc>
        <w:tc>
          <w:tcPr>
            <w:tcW w:w="1262" w:type="dxa"/>
            <w:tcBorders>
              <w:top w:val="single" w:sz="12" w:space="0" w:color="auto"/>
              <w:left w:val="single" w:sz="4" w:space="0" w:color="auto"/>
              <w:bottom w:val="single" w:sz="4" w:space="0" w:color="auto"/>
              <w:right w:val="single" w:sz="4" w:space="0" w:color="auto"/>
            </w:tcBorders>
            <w:shd w:val="clear" w:color="000000" w:fill="FFE583"/>
            <w:noWrap/>
            <w:vAlign w:val="bottom"/>
            <w:hideMark/>
          </w:tcPr>
          <w:p w14:paraId="5385298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3.1%</w:t>
            </w:r>
          </w:p>
        </w:tc>
      </w:tr>
      <w:tr w:rsidR="00CD3166" w:rsidRPr="00CD3166" w14:paraId="01BFB290"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680057DD"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Diesel cars</w:t>
            </w:r>
          </w:p>
        </w:tc>
        <w:tc>
          <w:tcPr>
            <w:tcW w:w="933" w:type="dxa"/>
            <w:tcBorders>
              <w:top w:val="single" w:sz="4" w:space="0" w:color="auto"/>
              <w:left w:val="single" w:sz="12" w:space="0" w:color="auto"/>
              <w:bottom w:val="single" w:sz="4" w:space="0" w:color="auto"/>
              <w:right w:val="single" w:sz="4" w:space="0" w:color="auto"/>
            </w:tcBorders>
            <w:shd w:val="clear" w:color="000000" w:fill="FFE182"/>
            <w:noWrap/>
            <w:vAlign w:val="bottom"/>
            <w:hideMark/>
          </w:tcPr>
          <w:p w14:paraId="7037A12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4.7%</w:t>
            </w:r>
          </w:p>
        </w:tc>
        <w:tc>
          <w:tcPr>
            <w:tcW w:w="933"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212D8C1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2.3%</w:t>
            </w:r>
          </w:p>
        </w:tc>
        <w:tc>
          <w:tcPr>
            <w:tcW w:w="933"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6B650AA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2.7%</w:t>
            </w:r>
          </w:p>
        </w:tc>
        <w:tc>
          <w:tcPr>
            <w:tcW w:w="933"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1E55910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3.4%</w:t>
            </w:r>
          </w:p>
        </w:tc>
        <w:tc>
          <w:tcPr>
            <w:tcW w:w="1077"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53A907B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1.4%</w:t>
            </w:r>
          </w:p>
        </w:tc>
        <w:tc>
          <w:tcPr>
            <w:tcW w:w="1054" w:type="dxa"/>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1699D95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2.9%</w:t>
            </w:r>
          </w:p>
        </w:tc>
        <w:tc>
          <w:tcPr>
            <w:tcW w:w="1262"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27339AA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2.4%</w:t>
            </w:r>
          </w:p>
        </w:tc>
      </w:tr>
      <w:tr w:rsidR="00CD3166" w:rsidRPr="00CD3166" w14:paraId="32AC3692"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3231E7E6"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Hybrid Petrol Cars</w:t>
            </w:r>
          </w:p>
        </w:tc>
        <w:tc>
          <w:tcPr>
            <w:tcW w:w="933" w:type="dxa"/>
            <w:tcBorders>
              <w:top w:val="single" w:sz="4" w:space="0" w:color="auto"/>
              <w:left w:val="single" w:sz="12" w:space="0" w:color="auto"/>
              <w:bottom w:val="single" w:sz="4" w:space="0" w:color="auto"/>
              <w:right w:val="single" w:sz="4" w:space="0" w:color="auto"/>
            </w:tcBorders>
            <w:shd w:val="clear" w:color="000000" w:fill="B1D47F"/>
            <w:noWrap/>
            <w:vAlign w:val="bottom"/>
            <w:hideMark/>
          </w:tcPr>
          <w:p w14:paraId="3F9A352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92CB7D"/>
            <w:noWrap/>
            <w:vAlign w:val="bottom"/>
            <w:hideMark/>
          </w:tcPr>
          <w:p w14:paraId="19F503E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9ACD7E"/>
            <w:noWrap/>
            <w:vAlign w:val="bottom"/>
            <w:hideMark/>
          </w:tcPr>
          <w:p w14:paraId="67A3E21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14:paraId="1524EA5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0.4%</w:t>
            </w:r>
          </w:p>
        </w:tc>
        <w:tc>
          <w:tcPr>
            <w:tcW w:w="1077" w:type="dxa"/>
            <w:tcBorders>
              <w:top w:val="single" w:sz="4" w:space="0" w:color="auto"/>
              <w:left w:val="single" w:sz="4" w:space="0" w:color="auto"/>
              <w:bottom w:val="single" w:sz="4" w:space="0" w:color="auto"/>
              <w:right w:val="single" w:sz="4" w:space="0" w:color="auto"/>
            </w:tcBorders>
            <w:shd w:val="clear" w:color="000000" w:fill="7EC57C"/>
            <w:noWrap/>
            <w:vAlign w:val="bottom"/>
            <w:hideMark/>
          </w:tcPr>
          <w:p w14:paraId="443ED39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1054" w:type="dxa"/>
            <w:tcBorders>
              <w:top w:val="single" w:sz="4" w:space="0" w:color="auto"/>
              <w:left w:val="single" w:sz="4" w:space="0" w:color="auto"/>
              <w:bottom w:val="single" w:sz="4" w:space="0" w:color="auto"/>
              <w:right w:val="single" w:sz="4" w:space="0" w:color="auto"/>
            </w:tcBorders>
            <w:shd w:val="clear" w:color="000000" w:fill="9ECF7E"/>
            <w:noWrap/>
            <w:vAlign w:val="bottom"/>
            <w:hideMark/>
          </w:tcPr>
          <w:p w14:paraId="3948F6DE"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0.4%</w:t>
            </w:r>
          </w:p>
        </w:tc>
        <w:tc>
          <w:tcPr>
            <w:tcW w:w="1262" w:type="dxa"/>
            <w:tcBorders>
              <w:top w:val="single" w:sz="4" w:space="0" w:color="auto"/>
              <w:left w:val="single" w:sz="4" w:space="0" w:color="auto"/>
              <w:bottom w:val="single" w:sz="4" w:space="0" w:color="auto"/>
              <w:right w:val="single" w:sz="4" w:space="0" w:color="auto"/>
            </w:tcBorders>
            <w:shd w:val="clear" w:color="000000" w:fill="93CB7D"/>
            <w:noWrap/>
            <w:vAlign w:val="bottom"/>
            <w:hideMark/>
          </w:tcPr>
          <w:p w14:paraId="3F336B6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r>
      <w:tr w:rsidR="00CD3166" w:rsidRPr="00CD3166" w14:paraId="0368BBB6"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13B644F3"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Hybrid Diesel Cars</w:t>
            </w:r>
          </w:p>
        </w:tc>
        <w:tc>
          <w:tcPr>
            <w:tcW w:w="933" w:type="dxa"/>
            <w:tcBorders>
              <w:top w:val="single" w:sz="4" w:space="0" w:color="auto"/>
              <w:left w:val="single" w:sz="12" w:space="0" w:color="auto"/>
              <w:bottom w:val="single" w:sz="4" w:space="0" w:color="auto"/>
              <w:right w:val="single" w:sz="4" w:space="0" w:color="auto"/>
            </w:tcBorders>
            <w:shd w:val="clear" w:color="000000" w:fill="6EC17B"/>
            <w:noWrap/>
            <w:vAlign w:val="bottom"/>
            <w:hideMark/>
          </w:tcPr>
          <w:p w14:paraId="527FE3C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66BE7B"/>
            <w:noWrap/>
            <w:vAlign w:val="bottom"/>
            <w:hideMark/>
          </w:tcPr>
          <w:p w14:paraId="0F536B9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0.0%</w:t>
            </w:r>
          </w:p>
        </w:tc>
        <w:tc>
          <w:tcPr>
            <w:tcW w:w="933"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0E546A1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69C07B"/>
            <w:noWrap/>
            <w:vAlign w:val="bottom"/>
            <w:hideMark/>
          </w:tcPr>
          <w:p w14:paraId="57759D3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07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61DF43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0.0%</w:t>
            </w:r>
          </w:p>
        </w:tc>
        <w:tc>
          <w:tcPr>
            <w:tcW w:w="1054" w:type="dxa"/>
            <w:tcBorders>
              <w:top w:val="single" w:sz="4" w:space="0" w:color="auto"/>
              <w:left w:val="single" w:sz="4" w:space="0" w:color="auto"/>
              <w:bottom w:val="single" w:sz="4" w:space="0" w:color="auto"/>
              <w:right w:val="single" w:sz="4" w:space="0" w:color="auto"/>
            </w:tcBorders>
            <w:shd w:val="clear" w:color="000000" w:fill="68BF7B"/>
            <w:noWrap/>
            <w:vAlign w:val="bottom"/>
            <w:hideMark/>
          </w:tcPr>
          <w:p w14:paraId="562DDD2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66BE7B"/>
            <w:noWrap/>
            <w:vAlign w:val="bottom"/>
            <w:hideMark/>
          </w:tcPr>
          <w:p w14:paraId="3889395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0.0%</w:t>
            </w:r>
          </w:p>
        </w:tc>
      </w:tr>
      <w:tr w:rsidR="00CD3166" w:rsidRPr="00CD3166" w14:paraId="2ED41B06"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63F5DC14"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lastRenderedPageBreak/>
              <w:t>Buses</w:t>
            </w:r>
          </w:p>
        </w:tc>
        <w:tc>
          <w:tcPr>
            <w:tcW w:w="933" w:type="dxa"/>
            <w:tcBorders>
              <w:top w:val="single" w:sz="4" w:space="0" w:color="auto"/>
              <w:left w:val="single" w:sz="12" w:space="0" w:color="auto"/>
              <w:bottom w:val="single" w:sz="4" w:space="0" w:color="auto"/>
              <w:right w:val="single" w:sz="4" w:space="0" w:color="auto"/>
            </w:tcBorders>
            <w:shd w:val="clear" w:color="000000" w:fill="63BE7B"/>
            <w:noWrap/>
            <w:vAlign w:val="bottom"/>
            <w:hideMark/>
          </w:tcPr>
          <w:p w14:paraId="6A08D67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0.0%</w:t>
            </w:r>
          </w:p>
        </w:tc>
        <w:tc>
          <w:tcPr>
            <w:tcW w:w="933" w:type="dxa"/>
            <w:tcBorders>
              <w:top w:val="single" w:sz="4" w:space="0" w:color="auto"/>
              <w:left w:val="single" w:sz="4" w:space="0" w:color="auto"/>
              <w:bottom w:val="single" w:sz="4" w:space="0" w:color="auto"/>
              <w:right w:val="single" w:sz="4" w:space="0" w:color="auto"/>
            </w:tcBorders>
            <w:shd w:val="clear" w:color="000000" w:fill="BBD780"/>
            <w:noWrap/>
            <w:vAlign w:val="bottom"/>
            <w:hideMark/>
          </w:tcPr>
          <w:p w14:paraId="7019507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91CB7D"/>
            <w:noWrap/>
            <w:vAlign w:val="bottom"/>
            <w:hideMark/>
          </w:tcPr>
          <w:p w14:paraId="163134B6"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C0D980"/>
            <w:noWrap/>
            <w:vAlign w:val="bottom"/>
            <w:hideMark/>
          </w:tcPr>
          <w:p w14:paraId="78BFDC3E"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0.6%</w:t>
            </w:r>
          </w:p>
        </w:tc>
        <w:tc>
          <w:tcPr>
            <w:tcW w:w="1077"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7371243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054"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56874F2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95CC7D"/>
            <w:noWrap/>
            <w:vAlign w:val="bottom"/>
            <w:hideMark/>
          </w:tcPr>
          <w:p w14:paraId="1FF5ABF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r>
      <w:tr w:rsidR="00CD3166" w:rsidRPr="00CD3166" w14:paraId="62A9285D"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1A1D704D"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LGVs</w:t>
            </w:r>
          </w:p>
        </w:tc>
        <w:tc>
          <w:tcPr>
            <w:tcW w:w="933" w:type="dxa"/>
            <w:tcBorders>
              <w:top w:val="single" w:sz="4" w:space="0" w:color="auto"/>
              <w:left w:val="single" w:sz="12" w:space="0" w:color="auto"/>
              <w:bottom w:val="single" w:sz="4" w:space="0" w:color="auto"/>
              <w:right w:val="single" w:sz="4" w:space="0" w:color="auto"/>
            </w:tcBorders>
            <w:shd w:val="clear" w:color="000000" w:fill="FFEA84"/>
            <w:noWrap/>
            <w:vAlign w:val="bottom"/>
            <w:hideMark/>
          </w:tcPr>
          <w:p w14:paraId="7669F98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1.5%</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A95F1A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5637BA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1.1%</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48B075E"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1077" w:type="dxa"/>
            <w:tcBorders>
              <w:top w:val="single" w:sz="4" w:space="0" w:color="auto"/>
              <w:left w:val="single" w:sz="4" w:space="0" w:color="auto"/>
              <w:bottom w:val="single" w:sz="4" w:space="0" w:color="auto"/>
              <w:right w:val="single" w:sz="4" w:space="0" w:color="auto"/>
            </w:tcBorders>
            <w:shd w:val="clear" w:color="000000" w:fill="B3D57F"/>
            <w:noWrap/>
            <w:vAlign w:val="bottom"/>
            <w:hideMark/>
          </w:tcPr>
          <w:p w14:paraId="34A64AE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1054" w:type="dxa"/>
            <w:tcBorders>
              <w:top w:val="single" w:sz="4" w:space="0" w:color="auto"/>
              <w:left w:val="single" w:sz="4" w:space="0" w:color="auto"/>
              <w:bottom w:val="single" w:sz="4" w:space="0" w:color="auto"/>
              <w:right w:val="single" w:sz="4" w:space="0" w:color="auto"/>
            </w:tcBorders>
            <w:shd w:val="clear" w:color="000000" w:fill="DAE081"/>
            <w:noWrap/>
            <w:vAlign w:val="bottom"/>
            <w:hideMark/>
          </w:tcPr>
          <w:p w14:paraId="6A93A09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0.7%</w:t>
            </w:r>
          </w:p>
        </w:tc>
        <w:tc>
          <w:tcPr>
            <w:tcW w:w="1262" w:type="dxa"/>
            <w:tcBorders>
              <w:top w:val="single" w:sz="4" w:space="0" w:color="auto"/>
              <w:left w:val="single" w:sz="4" w:space="0" w:color="auto"/>
              <w:bottom w:val="single" w:sz="4" w:space="0" w:color="auto"/>
              <w:right w:val="single" w:sz="4" w:space="0" w:color="auto"/>
            </w:tcBorders>
            <w:shd w:val="clear" w:color="000000" w:fill="DCE182"/>
            <w:noWrap/>
            <w:vAlign w:val="bottom"/>
            <w:hideMark/>
          </w:tcPr>
          <w:p w14:paraId="3C8558B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0.7%</w:t>
            </w:r>
          </w:p>
        </w:tc>
      </w:tr>
      <w:tr w:rsidR="00CD3166" w:rsidRPr="00CD3166" w14:paraId="07791A29"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0E7E675B"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Rigid HGVs</w:t>
            </w:r>
          </w:p>
        </w:tc>
        <w:tc>
          <w:tcPr>
            <w:tcW w:w="933" w:type="dxa"/>
            <w:tcBorders>
              <w:top w:val="single" w:sz="4" w:space="0" w:color="auto"/>
              <w:left w:val="single" w:sz="12" w:space="0" w:color="auto"/>
              <w:bottom w:val="single" w:sz="4" w:space="0" w:color="auto"/>
              <w:right w:val="single" w:sz="4" w:space="0" w:color="auto"/>
            </w:tcBorders>
            <w:shd w:val="clear" w:color="000000" w:fill="FFEB84"/>
            <w:noWrap/>
            <w:vAlign w:val="bottom"/>
            <w:hideMark/>
          </w:tcPr>
          <w:p w14:paraId="224FD34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1.1%</w:t>
            </w:r>
          </w:p>
        </w:tc>
        <w:tc>
          <w:tcPr>
            <w:tcW w:w="933"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6B69B7C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1.7%</w:t>
            </w:r>
          </w:p>
        </w:tc>
        <w:tc>
          <w:tcPr>
            <w:tcW w:w="933" w:type="dxa"/>
            <w:tcBorders>
              <w:top w:val="single" w:sz="4" w:space="0" w:color="auto"/>
              <w:left w:val="single" w:sz="4" w:space="0" w:color="auto"/>
              <w:bottom w:val="single" w:sz="4" w:space="0" w:color="auto"/>
              <w:right w:val="single" w:sz="4" w:space="0" w:color="auto"/>
            </w:tcBorders>
            <w:shd w:val="clear" w:color="000000" w:fill="F1E783"/>
            <w:noWrap/>
            <w:vAlign w:val="bottom"/>
            <w:hideMark/>
          </w:tcPr>
          <w:p w14:paraId="51BCAE8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0.8%</w:t>
            </w:r>
          </w:p>
        </w:tc>
        <w:tc>
          <w:tcPr>
            <w:tcW w:w="933" w:type="dxa"/>
            <w:tcBorders>
              <w:top w:val="single" w:sz="4" w:space="0" w:color="auto"/>
              <w:left w:val="single" w:sz="4" w:space="0" w:color="auto"/>
              <w:bottom w:val="single" w:sz="4" w:space="0" w:color="auto"/>
              <w:right w:val="single" w:sz="4" w:space="0" w:color="auto"/>
            </w:tcBorders>
            <w:shd w:val="clear" w:color="000000" w:fill="D0DD81"/>
            <w:noWrap/>
            <w:vAlign w:val="bottom"/>
            <w:hideMark/>
          </w:tcPr>
          <w:p w14:paraId="4E804B7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0.6%</w:t>
            </w:r>
          </w:p>
        </w:tc>
        <w:tc>
          <w:tcPr>
            <w:tcW w:w="1077" w:type="dxa"/>
            <w:tcBorders>
              <w:top w:val="single" w:sz="4" w:space="0" w:color="auto"/>
              <w:left w:val="single" w:sz="4" w:space="0" w:color="auto"/>
              <w:bottom w:val="single" w:sz="4" w:space="0" w:color="auto"/>
              <w:right w:val="single" w:sz="4" w:space="0" w:color="auto"/>
            </w:tcBorders>
            <w:shd w:val="clear" w:color="000000" w:fill="B0D47F"/>
            <w:noWrap/>
            <w:vAlign w:val="bottom"/>
            <w:hideMark/>
          </w:tcPr>
          <w:p w14:paraId="2ADC90BE"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1054" w:type="dxa"/>
            <w:tcBorders>
              <w:top w:val="single" w:sz="4" w:space="0" w:color="auto"/>
              <w:left w:val="single" w:sz="4" w:space="0" w:color="auto"/>
              <w:bottom w:val="single" w:sz="4" w:space="0" w:color="auto"/>
              <w:right w:val="single" w:sz="4" w:space="0" w:color="auto"/>
            </w:tcBorders>
            <w:shd w:val="clear" w:color="000000" w:fill="87C87D"/>
            <w:noWrap/>
            <w:vAlign w:val="bottom"/>
            <w:hideMark/>
          </w:tcPr>
          <w:p w14:paraId="6AA9817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1262" w:type="dxa"/>
            <w:tcBorders>
              <w:top w:val="single" w:sz="4" w:space="0" w:color="auto"/>
              <w:left w:val="single" w:sz="4" w:space="0" w:color="auto"/>
              <w:bottom w:val="single" w:sz="4" w:space="0" w:color="auto"/>
              <w:right w:val="single" w:sz="4" w:space="0" w:color="auto"/>
            </w:tcBorders>
            <w:shd w:val="clear" w:color="000000" w:fill="92CB7D"/>
            <w:noWrap/>
            <w:vAlign w:val="bottom"/>
            <w:hideMark/>
          </w:tcPr>
          <w:p w14:paraId="03D7C3A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r>
      <w:tr w:rsidR="00CD3166" w:rsidRPr="00CD3166" w14:paraId="6A4804F9"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4BED577B"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Artic HGVs</w:t>
            </w:r>
          </w:p>
        </w:tc>
        <w:tc>
          <w:tcPr>
            <w:tcW w:w="933" w:type="dxa"/>
            <w:tcBorders>
              <w:top w:val="single" w:sz="4" w:space="0" w:color="auto"/>
              <w:left w:val="single" w:sz="12" w:space="0" w:color="auto"/>
              <w:bottom w:val="single" w:sz="4" w:space="0" w:color="auto"/>
              <w:right w:val="single" w:sz="4" w:space="0" w:color="auto"/>
            </w:tcBorders>
            <w:shd w:val="clear" w:color="000000" w:fill="FFEA84"/>
            <w:noWrap/>
            <w:vAlign w:val="bottom"/>
            <w:hideMark/>
          </w:tcPr>
          <w:p w14:paraId="6B41F98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1.5%</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D0F775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933" w:type="dxa"/>
            <w:tcBorders>
              <w:top w:val="single" w:sz="4" w:space="0" w:color="auto"/>
              <w:left w:val="single" w:sz="4" w:space="0" w:color="auto"/>
              <w:bottom w:val="single" w:sz="4" w:space="0" w:color="auto"/>
              <w:right w:val="single" w:sz="4" w:space="0" w:color="auto"/>
            </w:tcBorders>
            <w:shd w:val="clear" w:color="000000" w:fill="B2D47F"/>
            <w:noWrap/>
            <w:vAlign w:val="bottom"/>
            <w:hideMark/>
          </w:tcPr>
          <w:p w14:paraId="3561BAF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9ECF7E"/>
            <w:noWrap/>
            <w:vAlign w:val="bottom"/>
            <w:hideMark/>
          </w:tcPr>
          <w:p w14:paraId="014D78D6"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0.4%</w:t>
            </w:r>
          </w:p>
        </w:tc>
        <w:tc>
          <w:tcPr>
            <w:tcW w:w="1077" w:type="dxa"/>
            <w:tcBorders>
              <w:top w:val="single" w:sz="4" w:space="0" w:color="auto"/>
              <w:left w:val="single" w:sz="4" w:space="0" w:color="auto"/>
              <w:bottom w:val="single" w:sz="4" w:space="0" w:color="auto"/>
              <w:right w:val="single" w:sz="4" w:space="0" w:color="auto"/>
            </w:tcBorders>
            <w:shd w:val="clear" w:color="000000" w:fill="8DCA7D"/>
            <w:noWrap/>
            <w:vAlign w:val="bottom"/>
            <w:hideMark/>
          </w:tcPr>
          <w:p w14:paraId="14214F95"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1054" w:type="dxa"/>
            <w:tcBorders>
              <w:top w:val="single" w:sz="4" w:space="0" w:color="auto"/>
              <w:left w:val="single" w:sz="4" w:space="0" w:color="auto"/>
              <w:bottom w:val="single" w:sz="4" w:space="0" w:color="auto"/>
              <w:right w:val="single" w:sz="4" w:space="0" w:color="auto"/>
            </w:tcBorders>
            <w:shd w:val="clear" w:color="000000" w:fill="76C37C"/>
            <w:noWrap/>
            <w:vAlign w:val="bottom"/>
            <w:hideMark/>
          </w:tcPr>
          <w:p w14:paraId="5CF6D68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7BC57C"/>
            <w:noWrap/>
            <w:vAlign w:val="bottom"/>
            <w:hideMark/>
          </w:tcPr>
          <w:p w14:paraId="0491D93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r>
      <w:tr w:rsidR="00CD3166" w:rsidRPr="00CD3166" w14:paraId="7A726CF9"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67F3C269"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Taxis</w:t>
            </w:r>
          </w:p>
        </w:tc>
        <w:tc>
          <w:tcPr>
            <w:tcW w:w="933" w:type="dxa"/>
            <w:tcBorders>
              <w:top w:val="single" w:sz="4" w:space="0" w:color="auto"/>
              <w:left w:val="single" w:sz="12" w:space="0" w:color="auto"/>
              <w:bottom w:val="single" w:sz="4" w:space="0" w:color="auto"/>
              <w:right w:val="single" w:sz="4" w:space="0" w:color="auto"/>
            </w:tcBorders>
            <w:shd w:val="clear" w:color="000000" w:fill="91CB7D"/>
            <w:noWrap/>
            <w:vAlign w:val="bottom"/>
            <w:hideMark/>
          </w:tcPr>
          <w:p w14:paraId="0D761CF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89C97D"/>
            <w:noWrap/>
            <w:vAlign w:val="bottom"/>
            <w:hideMark/>
          </w:tcPr>
          <w:p w14:paraId="074151D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8FCA7D"/>
            <w:noWrap/>
            <w:vAlign w:val="bottom"/>
            <w:hideMark/>
          </w:tcPr>
          <w:p w14:paraId="6FEDB4D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D2DE81"/>
            <w:noWrap/>
            <w:vAlign w:val="bottom"/>
            <w:hideMark/>
          </w:tcPr>
          <w:p w14:paraId="0D3E9E9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0.6%</w:t>
            </w:r>
          </w:p>
        </w:tc>
        <w:tc>
          <w:tcPr>
            <w:tcW w:w="1077"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36574A5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054" w:type="dxa"/>
            <w:tcBorders>
              <w:top w:val="single" w:sz="4" w:space="0" w:color="auto"/>
              <w:left w:val="single" w:sz="4" w:space="0" w:color="auto"/>
              <w:bottom w:val="single" w:sz="4" w:space="0" w:color="auto"/>
              <w:right w:val="single" w:sz="4" w:space="0" w:color="auto"/>
            </w:tcBorders>
            <w:shd w:val="clear" w:color="000000" w:fill="AED37F"/>
            <w:noWrap/>
            <w:vAlign w:val="bottom"/>
            <w:hideMark/>
          </w:tcPr>
          <w:p w14:paraId="4DCBE7F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0.4%</w:t>
            </w:r>
          </w:p>
        </w:tc>
        <w:tc>
          <w:tcPr>
            <w:tcW w:w="1262" w:type="dxa"/>
            <w:tcBorders>
              <w:top w:val="single" w:sz="4" w:space="0" w:color="auto"/>
              <w:left w:val="single" w:sz="4" w:space="0" w:color="auto"/>
              <w:bottom w:val="single" w:sz="4" w:space="0" w:color="auto"/>
              <w:right w:val="single" w:sz="4" w:space="0" w:color="auto"/>
            </w:tcBorders>
            <w:shd w:val="clear" w:color="000000" w:fill="98CD7E"/>
            <w:noWrap/>
            <w:vAlign w:val="bottom"/>
            <w:hideMark/>
          </w:tcPr>
          <w:p w14:paraId="228F9C7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r>
      <w:tr w:rsidR="00CD3166" w:rsidRPr="00CD3166" w14:paraId="5C910F16"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12CB944E"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Minor Rd + Cold Start</w:t>
            </w:r>
          </w:p>
        </w:tc>
        <w:tc>
          <w:tcPr>
            <w:tcW w:w="933" w:type="dxa"/>
            <w:tcBorders>
              <w:top w:val="single" w:sz="4" w:space="0" w:color="auto"/>
              <w:left w:val="single" w:sz="12" w:space="0" w:color="auto"/>
              <w:bottom w:val="single" w:sz="4" w:space="0" w:color="auto"/>
              <w:right w:val="single" w:sz="4" w:space="0" w:color="auto"/>
            </w:tcBorders>
            <w:shd w:val="clear" w:color="000000" w:fill="72C27B"/>
            <w:noWrap/>
            <w:vAlign w:val="bottom"/>
            <w:hideMark/>
          </w:tcPr>
          <w:p w14:paraId="270533F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70C17B"/>
            <w:noWrap/>
            <w:vAlign w:val="bottom"/>
            <w:hideMark/>
          </w:tcPr>
          <w:p w14:paraId="0DA6D34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7AC47C"/>
            <w:noWrap/>
            <w:vAlign w:val="bottom"/>
            <w:hideMark/>
          </w:tcPr>
          <w:p w14:paraId="5404617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471C438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1077"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14:paraId="2256C94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054" w:type="dxa"/>
            <w:tcBorders>
              <w:top w:val="single" w:sz="4" w:space="0" w:color="auto"/>
              <w:left w:val="single" w:sz="4" w:space="0" w:color="auto"/>
              <w:bottom w:val="single" w:sz="4" w:space="0" w:color="auto"/>
              <w:right w:val="single" w:sz="4" w:space="0" w:color="auto"/>
            </w:tcBorders>
            <w:shd w:val="clear" w:color="000000" w:fill="7BC47C"/>
            <w:noWrap/>
            <w:vAlign w:val="bottom"/>
            <w:hideMark/>
          </w:tcPr>
          <w:p w14:paraId="7674E76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0.2%</w:t>
            </w:r>
          </w:p>
        </w:tc>
        <w:tc>
          <w:tcPr>
            <w:tcW w:w="1262"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14:paraId="7DDE849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r>
      <w:tr w:rsidR="00CD3166" w:rsidRPr="00CD3166" w14:paraId="5D5B9C8B"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43FC996E"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Industry</w:t>
            </w:r>
          </w:p>
        </w:tc>
        <w:tc>
          <w:tcPr>
            <w:tcW w:w="933" w:type="dxa"/>
            <w:tcBorders>
              <w:top w:val="single" w:sz="4" w:space="0" w:color="auto"/>
              <w:left w:val="single" w:sz="12" w:space="0" w:color="auto"/>
              <w:bottom w:val="single" w:sz="4" w:space="0" w:color="auto"/>
              <w:right w:val="single" w:sz="4" w:space="0" w:color="auto"/>
            </w:tcBorders>
            <w:shd w:val="clear" w:color="000000" w:fill="FFE082"/>
            <w:noWrap/>
            <w:vAlign w:val="bottom"/>
            <w:hideMark/>
          </w:tcPr>
          <w:p w14:paraId="4C96F40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4.9%</w:t>
            </w:r>
          </w:p>
        </w:tc>
        <w:tc>
          <w:tcPr>
            <w:tcW w:w="933" w:type="dxa"/>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561C1C3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5.2%</w:t>
            </w:r>
          </w:p>
        </w:tc>
        <w:tc>
          <w:tcPr>
            <w:tcW w:w="933" w:type="dxa"/>
            <w:tcBorders>
              <w:top w:val="single" w:sz="4" w:space="0" w:color="auto"/>
              <w:left w:val="single" w:sz="4" w:space="0" w:color="auto"/>
              <w:bottom w:val="single" w:sz="4" w:space="0" w:color="auto"/>
              <w:right w:val="single" w:sz="4" w:space="0" w:color="auto"/>
            </w:tcBorders>
            <w:shd w:val="clear" w:color="000000" w:fill="FFE082"/>
            <w:noWrap/>
            <w:vAlign w:val="bottom"/>
            <w:hideMark/>
          </w:tcPr>
          <w:p w14:paraId="0F74216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4.9%</w:t>
            </w:r>
          </w:p>
        </w:tc>
        <w:tc>
          <w:tcPr>
            <w:tcW w:w="933" w:type="dxa"/>
            <w:tcBorders>
              <w:top w:val="single" w:sz="4" w:space="0" w:color="auto"/>
              <w:left w:val="single" w:sz="4" w:space="0" w:color="auto"/>
              <w:bottom w:val="single" w:sz="4" w:space="0" w:color="auto"/>
              <w:right w:val="single" w:sz="4" w:space="0" w:color="auto"/>
            </w:tcBorders>
            <w:shd w:val="clear" w:color="000000" w:fill="FFDC82"/>
            <w:noWrap/>
            <w:vAlign w:val="bottom"/>
            <w:hideMark/>
          </w:tcPr>
          <w:p w14:paraId="7531828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6.4%</w:t>
            </w:r>
          </w:p>
        </w:tc>
        <w:tc>
          <w:tcPr>
            <w:tcW w:w="1077" w:type="dxa"/>
            <w:tcBorders>
              <w:top w:val="single" w:sz="4" w:space="0" w:color="auto"/>
              <w:left w:val="single" w:sz="4" w:space="0" w:color="auto"/>
              <w:bottom w:val="single" w:sz="4" w:space="0" w:color="auto"/>
              <w:right w:val="single" w:sz="4" w:space="0" w:color="auto"/>
            </w:tcBorders>
            <w:shd w:val="clear" w:color="000000" w:fill="FFE483"/>
            <w:noWrap/>
            <w:vAlign w:val="bottom"/>
            <w:hideMark/>
          </w:tcPr>
          <w:p w14:paraId="0769F574"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3.5%</w:t>
            </w:r>
          </w:p>
        </w:tc>
        <w:tc>
          <w:tcPr>
            <w:tcW w:w="1054" w:type="dxa"/>
            <w:tcBorders>
              <w:top w:val="single" w:sz="4" w:space="0" w:color="auto"/>
              <w:left w:val="single" w:sz="4" w:space="0" w:color="auto"/>
              <w:bottom w:val="single" w:sz="4" w:space="0" w:color="auto"/>
              <w:right w:val="single" w:sz="4" w:space="0" w:color="auto"/>
            </w:tcBorders>
            <w:shd w:val="clear" w:color="000000" w:fill="FFDE82"/>
            <w:noWrap/>
            <w:vAlign w:val="bottom"/>
            <w:hideMark/>
          </w:tcPr>
          <w:p w14:paraId="06FA067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5.7%</w:t>
            </w:r>
          </w:p>
        </w:tc>
        <w:tc>
          <w:tcPr>
            <w:tcW w:w="1262" w:type="dxa"/>
            <w:tcBorders>
              <w:top w:val="single" w:sz="4" w:space="0" w:color="auto"/>
              <w:left w:val="single" w:sz="4" w:space="0" w:color="auto"/>
              <w:bottom w:val="single" w:sz="4" w:space="0" w:color="auto"/>
              <w:right w:val="single" w:sz="4" w:space="0" w:color="auto"/>
            </w:tcBorders>
            <w:shd w:val="clear" w:color="000000" w:fill="FED580"/>
            <w:noWrap/>
            <w:vAlign w:val="bottom"/>
            <w:hideMark/>
          </w:tcPr>
          <w:p w14:paraId="40D5990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8.8%</w:t>
            </w:r>
          </w:p>
        </w:tc>
      </w:tr>
      <w:tr w:rsidR="00CD3166" w:rsidRPr="00CD3166" w14:paraId="42CD55BB"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1E9170E4" w14:textId="77777777" w:rsidR="00CD3166" w:rsidRPr="00CD3166" w:rsidRDefault="00CD3166" w:rsidP="00CD3166">
            <w:pPr>
              <w:spacing w:before="0" w:after="0" w:line="240" w:lineRule="auto"/>
              <w:rPr>
                <w:rFonts w:cs="Arial"/>
                <w:color w:val="000000"/>
                <w:sz w:val="22"/>
                <w:szCs w:val="22"/>
                <w:lang w:eastAsia="en-GB"/>
              </w:rPr>
            </w:pPr>
            <w:r w:rsidRPr="00CD3166">
              <w:rPr>
                <w:rFonts w:cs="Arial"/>
                <w:color w:val="000000"/>
                <w:sz w:val="22"/>
                <w:szCs w:val="22"/>
                <w:lang w:eastAsia="en-GB"/>
              </w:rPr>
              <w:t>Domestic</w:t>
            </w:r>
          </w:p>
        </w:tc>
        <w:tc>
          <w:tcPr>
            <w:tcW w:w="933" w:type="dxa"/>
            <w:tcBorders>
              <w:top w:val="single" w:sz="4" w:space="0" w:color="auto"/>
              <w:left w:val="single" w:sz="12" w:space="0" w:color="auto"/>
              <w:bottom w:val="single" w:sz="4" w:space="0" w:color="auto"/>
              <w:right w:val="single" w:sz="4" w:space="0" w:color="auto"/>
            </w:tcBorders>
            <w:shd w:val="clear" w:color="000000" w:fill="FED680"/>
            <w:noWrap/>
            <w:vAlign w:val="bottom"/>
            <w:hideMark/>
          </w:tcPr>
          <w:p w14:paraId="4CA49FF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8.7%</w:t>
            </w:r>
          </w:p>
        </w:tc>
        <w:tc>
          <w:tcPr>
            <w:tcW w:w="933" w:type="dxa"/>
            <w:tcBorders>
              <w:top w:val="single" w:sz="4" w:space="0" w:color="auto"/>
              <w:left w:val="single" w:sz="4" w:space="0" w:color="auto"/>
              <w:bottom w:val="single" w:sz="4" w:space="0" w:color="auto"/>
              <w:right w:val="single" w:sz="4" w:space="0" w:color="auto"/>
            </w:tcBorders>
            <w:shd w:val="clear" w:color="000000" w:fill="FED881"/>
            <w:noWrap/>
            <w:vAlign w:val="bottom"/>
            <w:hideMark/>
          </w:tcPr>
          <w:p w14:paraId="629A797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7.9%</w:t>
            </w:r>
          </w:p>
        </w:tc>
        <w:tc>
          <w:tcPr>
            <w:tcW w:w="933" w:type="dxa"/>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5B337C5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10.7%</w:t>
            </w:r>
          </w:p>
        </w:tc>
        <w:tc>
          <w:tcPr>
            <w:tcW w:w="933" w:type="dxa"/>
            <w:tcBorders>
              <w:top w:val="single" w:sz="4" w:space="0" w:color="auto"/>
              <w:left w:val="single" w:sz="4" w:space="0" w:color="auto"/>
              <w:bottom w:val="single" w:sz="4" w:space="0" w:color="auto"/>
              <w:right w:val="single" w:sz="4" w:space="0" w:color="auto"/>
            </w:tcBorders>
            <w:shd w:val="clear" w:color="000000" w:fill="FED17F"/>
            <w:noWrap/>
            <w:vAlign w:val="bottom"/>
            <w:hideMark/>
          </w:tcPr>
          <w:p w14:paraId="6134E2F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10.4%</w:t>
            </w:r>
          </w:p>
        </w:tc>
        <w:tc>
          <w:tcPr>
            <w:tcW w:w="1077"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44F46976"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6.8%</w:t>
            </w:r>
          </w:p>
        </w:tc>
        <w:tc>
          <w:tcPr>
            <w:tcW w:w="1054" w:type="dxa"/>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6F7EA92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9.7%</w:t>
            </w:r>
          </w:p>
        </w:tc>
        <w:tc>
          <w:tcPr>
            <w:tcW w:w="1262" w:type="dxa"/>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692B725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10.6%</w:t>
            </w:r>
          </w:p>
        </w:tc>
      </w:tr>
      <w:tr w:rsidR="00CD3166" w:rsidRPr="00CD3166" w14:paraId="74A25FC8"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5A5ECBA3" w14:textId="0F964129" w:rsidR="00CD3166" w:rsidRPr="00CD3166" w:rsidRDefault="009D41FE" w:rsidP="00CD3166">
            <w:pPr>
              <w:spacing w:before="0" w:after="0" w:line="240" w:lineRule="auto"/>
              <w:rPr>
                <w:rFonts w:cs="Arial"/>
                <w:color w:val="000000"/>
                <w:sz w:val="22"/>
                <w:szCs w:val="22"/>
                <w:lang w:eastAsia="en-GB"/>
              </w:rPr>
            </w:pPr>
            <w:r>
              <w:rPr>
                <w:rFonts w:cs="Arial"/>
                <w:color w:val="000000"/>
                <w:sz w:val="22"/>
                <w:szCs w:val="22"/>
                <w:lang w:eastAsia="en-GB"/>
              </w:rPr>
              <w:t>Rail</w:t>
            </w:r>
          </w:p>
        </w:tc>
        <w:tc>
          <w:tcPr>
            <w:tcW w:w="933" w:type="dxa"/>
            <w:tcBorders>
              <w:top w:val="single" w:sz="4" w:space="0" w:color="auto"/>
              <w:left w:val="single" w:sz="12" w:space="0" w:color="auto"/>
              <w:bottom w:val="single" w:sz="4" w:space="0" w:color="auto"/>
              <w:right w:val="single" w:sz="4" w:space="0" w:color="auto"/>
            </w:tcBorders>
            <w:shd w:val="clear" w:color="000000" w:fill="B0D47F"/>
            <w:noWrap/>
            <w:vAlign w:val="bottom"/>
            <w:hideMark/>
          </w:tcPr>
          <w:p w14:paraId="01B70AD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9BCE7E"/>
            <w:noWrap/>
            <w:vAlign w:val="bottom"/>
            <w:hideMark/>
          </w:tcPr>
          <w:p w14:paraId="6628107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2A0D1CD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1.4%</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4196DD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1077" w:type="dxa"/>
            <w:tcBorders>
              <w:top w:val="single" w:sz="4" w:space="0" w:color="auto"/>
              <w:left w:val="single" w:sz="4" w:space="0" w:color="auto"/>
              <w:bottom w:val="single" w:sz="4" w:space="0" w:color="auto"/>
              <w:right w:val="single" w:sz="4" w:space="0" w:color="auto"/>
            </w:tcBorders>
            <w:shd w:val="clear" w:color="000000" w:fill="74C37C"/>
            <w:noWrap/>
            <w:vAlign w:val="bottom"/>
            <w:hideMark/>
          </w:tcPr>
          <w:p w14:paraId="6E98320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0.1%</w:t>
            </w:r>
          </w:p>
        </w:tc>
        <w:tc>
          <w:tcPr>
            <w:tcW w:w="1054" w:type="dxa"/>
            <w:tcBorders>
              <w:top w:val="single" w:sz="4" w:space="0" w:color="auto"/>
              <w:left w:val="single" w:sz="4" w:space="0" w:color="auto"/>
              <w:bottom w:val="single" w:sz="4" w:space="0" w:color="auto"/>
              <w:right w:val="single" w:sz="4" w:space="0" w:color="auto"/>
            </w:tcBorders>
            <w:shd w:val="clear" w:color="000000" w:fill="BBD780"/>
            <w:noWrap/>
            <w:vAlign w:val="bottom"/>
            <w:hideMark/>
          </w:tcPr>
          <w:p w14:paraId="5FC48E6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1262"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29837D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1.1%</w:t>
            </w:r>
          </w:p>
        </w:tc>
      </w:tr>
      <w:tr w:rsidR="00CD3166" w:rsidRPr="00CD3166" w14:paraId="2D2E2517"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14417C76" w14:textId="62EE403A" w:rsidR="00CD3166" w:rsidRPr="00CD3166" w:rsidRDefault="009D41FE" w:rsidP="00CD3166">
            <w:pPr>
              <w:spacing w:before="0" w:after="0" w:line="240" w:lineRule="auto"/>
              <w:rPr>
                <w:rFonts w:cs="Arial"/>
                <w:color w:val="000000"/>
                <w:sz w:val="22"/>
                <w:szCs w:val="22"/>
                <w:lang w:eastAsia="en-GB"/>
              </w:rPr>
            </w:pPr>
            <w:r>
              <w:rPr>
                <w:rFonts w:cs="Arial"/>
                <w:color w:val="000000"/>
                <w:sz w:val="22"/>
                <w:szCs w:val="22"/>
                <w:lang w:eastAsia="en-GB"/>
              </w:rPr>
              <w:t>Other</w:t>
            </w:r>
          </w:p>
        </w:tc>
        <w:tc>
          <w:tcPr>
            <w:tcW w:w="933" w:type="dxa"/>
            <w:tcBorders>
              <w:top w:val="single" w:sz="4" w:space="0" w:color="auto"/>
              <w:left w:val="single" w:sz="12" w:space="0" w:color="auto"/>
              <w:bottom w:val="single" w:sz="4" w:space="0" w:color="auto"/>
              <w:right w:val="single" w:sz="4" w:space="0" w:color="auto"/>
            </w:tcBorders>
            <w:shd w:val="clear" w:color="000000" w:fill="FFEB84"/>
            <w:noWrap/>
            <w:vAlign w:val="bottom"/>
            <w:hideMark/>
          </w:tcPr>
          <w:p w14:paraId="2F5077A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0.9%</w:t>
            </w:r>
          </w:p>
        </w:tc>
        <w:tc>
          <w:tcPr>
            <w:tcW w:w="933" w:type="dxa"/>
            <w:tcBorders>
              <w:top w:val="single" w:sz="4" w:space="0" w:color="auto"/>
              <w:left w:val="single" w:sz="4" w:space="0" w:color="auto"/>
              <w:bottom w:val="single" w:sz="4" w:space="0" w:color="auto"/>
              <w:right w:val="single" w:sz="4" w:space="0" w:color="auto"/>
            </w:tcBorders>
            <w:shd w:val="clear" w:color="000000" w:fill="EBE582"/>
            <w:noWrap/>
            <w:vAlign w:val="bottom"/>
            <w:hideMark/>
          </w:tcPr>
          <w:p w14:paraId="3D0A679B"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0.8%</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335726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1.2%</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472FC76"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1077"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0A4C1E4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1.8%</w:t>
            </w:r>
          </w:p>
        </w:tc>
        <w:tc>
          <w:tcPr>
            <w:tcW w:w="105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53324E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1.0%</w:t>
            </w:r>
          </w:p>
        </w:tc>
        <w:tc>
          <w:tcPr>
            <w:tcW w:w="1262"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361A61FE"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1.1%</w:t>
            </w:r>
          </w:p>
        </w:tc>
      </w:tr>
      <w:tr w:rsidR="00CD3166" w:rsidRPr="00CD3166" w14:paraId="0C02E367"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5E51B8B3" w14:textId="6EDA72BD" w:rsidR="00CD3166" w:rsidRPr="00CD3166" w:rsidRDefault="009D41FE" w:rsidP="00CD3166">
            <w:pPr>
              <w:spacing w:before="0" w:after="0" w:line="240" w:lineRule="auto"/>
              <w:rPr>
                <w:rFonts w:cs="Arial"/>
                <w:color w:val="000000"/>
                <w:sz w:val="22"/>
                <w:szCs w:val="22"/>
                <w:lang w:eastAsia="en-GB"/>
              </w:rPr>
            </w:pPr>
            <w:r>
              <w:rPr>
                <w:rFonts w:cs="Arial"/>
                <w:color w:val="000000"/>
                <w:sz w:val="22"/>
                <w:szCs w:val="22"/>
                <w:lang w:eastAsia="en-GB"/>
              </w:rPr>
              <w:t>PM Secondary</w:t>
            </w:r>
          </w:p>
        </w:tc>
        <w:tc>
          <w:tcPr>
            <w:tcW w:w="933" w:type="dxa"/>
            <w:tcBorders>
              <w:top w:val="single" w:sz="4" w:space="0" w:color="auto"/>
              <w:left w:val="single" w:sz="12" w:space="0" w:color="auto"/>
              <w:bottom w:val="single" w:sz="4" w:space="0" w:color="auto"/>
              <w:right w:val="single" w:sz="4" w:space="0" w:color="auto"/>
            </w:tcBorders>
            <w:shd w:val="clear" w:color="000000" w:fill="FA8B72"/>
            <w:noWrap/>
            <w:vAlign w:val="bottom"/>
            <w:hideMark/>
          </w:tcPr>
          <w:p w14:paraId="0027809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35.2%</w:t>
            </w:r>
          </w:p>
        </w:tc>
        <w:tc>
          <w:tcPr>
            <w:tcW w:w="933" w:type="dxa"/>
            <w:tcBorders>
              <w:top w:val="single" w:sz="4" w:space="0" w:color="auto"/>
              <w:left w:val="single" w:sz="4" w:space="0" w:color="auto"/>
              <w:bottom w:val="single" w:sz="4" w:space="0" w:color="auto"/>
              <w:right w:val="single" w:sz="4" w:space="0" w:color="auto"/>
            </w:tcBorders>
            <w:shd w:val="clear" w:color="000000" w:fill="FA8370"/>
            <w:noWrap/>
            <w:vAlign w:val="bottom"/>
            <w:hideMark/>
          </w:tcPr>
          <w:p w14:paraId="067D31B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37.8%</w:t>
            </w:r>
          </w:p>
        </w:tc>
        <w:tc>
          <w:tcPr>
            <w:tcW w:w="933" w:type="dxa"/>
            <w:tcBorders>
              <w:top w:val="single" w:sz="4" w:space="0" w:color="auto"/>
              <w:left w:val="single" w:sz="4" w:space="0" w:color="auto"/>
              <w:bottom w:val="single" w:sz="4" w:space="0" w:color="auto"/>
              <w:right w:val="single" w:sz="4" w:space="0" w:color="auto"/>
            </w:tcBorders>
            <w:shd w:val="clear" w:color="000000" w:fill="F97B6F"/>
            <w:noWrap/>
            <w:vAlign w:val="bottom"/>
            <w:hideMark/>
          </w:tcPr>
          <w:p w14:paraId="0BE8316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41.0%</w:t>
            </w:r>
          </w:p>
        </w:tc>
        <w:tc>
          <w:tcPr>
            <w:tcW w:w="933" w:type="dxa"/>
            <w:tcBorders>
              <w:top w:val="single" w:sz="4" w:space="0" w:color="auto"/>
              <w:left w:val="single" w:sz="4" w:space="0" w:color="auto"/>
              <w:bottom w:val="single" w:sz="4" w:space="0" w:color="auto"/>
              <w:right w:val="single" w:sz="4" w:space="0" w:color="auto"/>
            </w:tcBorders>
            <w:shd w:val="clear" w:color="000000" w:fill="FA8370"/>
            <w:noWrap/>
            <w:vAlign w:val="bottom"/>
            <w:hideMark/>
          </w:tcPr>
          <w:p w14:paraId="65BC76C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38.0%</w:t>
            </w:r>
          </w:p>
        </w:tc>
        <w:tc>
          <w:tcPr>
            <w:tcW w:w="107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A24831A"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47.0%</w:t>
            </w:r>
          </w:p>
        </w:tc>
        <w:tc>
          <w:tcPr>
            <w:tcW w:w="1054" w:type="dxa"/>
            <w:tcBorders>
              <w:top w:val="single" w:sz="4" w:space="0" w:color="auto"/>
              <w:left w:val="single" w:sz="4" w:space="0" w:color="auto"/>
              <w:bottom w:val="single" w:sz="4" w:space="0" w:color="auto"/>
              <w:right w:val="single" w:sz="4" w:space="0" w:color="auto"/>
            </w:tcBorders>
            <w:shd w:val="clear" w:color="000000" w:fill="FA8671"/>
            <w:noWrap/>
            <w:vAlign w:val="bottom"/>
            <w:hideMark/>
          </w:tcPr>
          <w:p w14:paraId="35C6220F"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37.1%</w:t>
            </w:r>
          </w:p>
        </w:tc>
        <w:tc>
          <w:tcPr>
            <w:tcW w:w="1262" w:type="dxa"/>
            <w:tcBorders>
              <w:top w:val="single" w:sz="4" w:space="0" w:color="auto"/>
              <w:left w:val="single" w:sz="4" w:space="0" w:color="auto"/>
              <w:bottom w:val="single" w:sz="4" w:space="0" w:color="auto"/>
              <w:right w:val="single" w:sz="4" w:space="0" w:color="auto"/>
            </w:tcBorders>
            <w:shd w:val="clear" w:color="000000" w:fill="FA8370"/>
            <w:noWrap/>
            <w:vAlign w:val="bottom"/>
            <w:hideMark/>
          </w:tcPr>
          <w:p w14:paraId="0D157A56"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38.0%</w:t>
            </w:r>
          </w:p>
        </w:tc>
      </w:tr>
      <w:tr w:rsidR="00CD3166" w:rsidRPr="00CD3166" w14:paraId="473C3ADC"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65DA95B2" w14:textId="3F2F3503" w:rsidR="00CD3166" w:rsidRPr="00CD3166" w:rsidRDefault="009D41FE" w:rsidP="00CD3166">
            <w:pPr>
              <w:spacing w:before="0" w:after="0" w:line="240" w:lineRule="auto"/>
              <w:rPr>
                <w:rFonts w:cs="Arial"/>
                <w:color w:val="000000"/>
                <w:sz w:val="22"/>
                <w:szCs w:val="22"/>
                <w:lang w:eastAsia="en-GB"/>
              </w:rPr>
            </w:pPr>
            <w:r>
              <w:rPr>
                <w:rFonts w:cs="Arial"/>
                <w:color w:val="000000"/>
                <w:sz w:val="22"/>
                <w:szCs w:val="22"/>
                <w:lang w:eastAsia="en-GB"/>
              </w:rPr>
              <w:t>Residual</w:t>
            </w:r>
          </w:p>
        </w:tc>
        <w:tc>
          <w:tcPr>
            <w:tcW w:w="933" w:type="dxa"/>
            <w:tcBorders>
              <w:top w:val="single" w:sz="4" w:space="0" w:color="auto"/>
              <w:left w:val="single" w:sz="12" w:space="0" w:color="auto"/>
              <w:bottom w:val="single" w:sz="4" w:space="0" w:color="auto"/>
              <w:right w:val="single" w:sz="4" w:space="0" w:color="auto"/>
            </w:tcBorders>
            <w:shd w:val="clear" w:color="000000" w:fill="FA8C72"/>
            <w:noWrap/>
            <w:vAlign w:val="bottom"/>
            <w:hideMark/>
          </w:tcPr>
          <w:p w14:paraId="0DADBF1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34.7%</w:t>
            </w:r>
          </w:p>
        </w:tc>
        <w:tc>
          <w:tcPr>
            <w:tcW w:w="933" w:type="dxa"/>
            <w:tcBorders>
              <w:top w:val="single" w:sz="4" w:space="0" w:color="auto"/>
              <w:left w:val="single" w:sz="4" w:space="0" w:color="auto"/>
              <w:bottom w:val="single" w:sz="4" w:space="0" w:color="auto"/>
              <w:right w:val="single" w:sz="4" w:space="0" w:color="auto"/>
            </w:tcBorders>
            <w:shd w:val="clear" w:color="000000" w:fill="FA8671"/>
            <w:noWrap/>
            <w:vAlign w:val="bottom"/>
            <w:hideMark/>
          </w:tcPr>
          <w:p w14:paraId="5D8948C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37.0%</w:t>
            </w:r>
          </w:p>
        </w:tc>
        <w:tc>
          <w:tcPr>
            <w:tcW w:w="933" w:type="dxa"/>
            <w:tcBorders>
              <w:top w:val="single" w:sz="4" w:space="0" w:color="auto"/>
              <w:left w:val="single" w:sz="4" w:space="0" w:color="auto"/>
              <w:bottom w:val="single" w:sz="4" w:space="0" w:color="auto"/>
              <w:right w:val="single" w:sz="4" w:space="0" w:color="auto"/>
            </w:tcBorders>
            <w:shd w:val="clear" w:color="000000" w:fill="FB9874"/>
            <w:noWrap/>
            <w:vAlign w:val="bottom"/>
            <w:hideMark/>
          </w:tcPr>
          <w:p w14:paraId="76BA99B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30.5%</w:t>
            </w:r>
          </w:p>
        </w:tc>
        <w:tc>
          <w:tcPr>
            <w:tcW w:w="933" w:type="dxa"/>
            <w:tcBorders>
              <w:top w:val="single" w:sz="4" w:space="0" w:color="auto"/>
              <w:left w:val="single" w:sz="4" w:space="0" w:color="auto"/>
              <w:bottom w:val="single" w:sz="4" w:space="0" w:color="auto"/>
              <w:right w:val="single" w:sz="4" w:space="0" w:color="auto"/>
            </w:tcBorders>
            <w:shd w:val="clear" w:color="000000" w:fill="FB9774"/>
            <w:noWrap/>
            <w:vAlign w:val="bottom"/>
            <w:hideMark/>
          </w:tcPr>
          <w:p w14:paraId="6FA7F8FD"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30.8%</w:t>
            </w:r>
          </w:p>
        </w:tc>
        <w:tc>
          <w:tcPr>
            <w:tcW w:w="1077" w:type="dxa"/>
            <w:tcBorders>
              <w:top w:val="single" w:sz="4" w:space="0" w:color="auto"/>
              <w:left w:val="single" w:sz="4" w:space="0" w:color="auto"/>
              <w:bottom w:val="single" w:sz="4" w:space="0" w:color="auto"/>
              <w:right w:val="single" w:sz="4" w:space="0" w:color="auto"/>
            </w:tcBorders>
            <w:shd w:val="clear" w:color="000000" w:fill="FA8F73"/>
            <w:noWrap/>
            <w:vAlign w:val="bottom"/>
            <w:hideMark/>
          </w:tcPr>
          <w:p w14:paraId="1A07F753"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33.9%</w:t>
            </w:r>
          </w:p>
        </w:tc>
        <w:tc>
          <w:tcPr>
            <w:tcW w:w="1054" w:type="dxa"/>
            <w:tcBorders>
              <w:top w:val="single" w:sz="4" w:space="0" w:color="auto"/>
              <w:left w:val="single" w:sz="4" w:space="0" w:color="auto"/>
              <w:bottom w:val="single" w:sz="4" w:space="0" w:color="auto"/>
              <w:right w:val="single" w:sz="4" w:space="0" w:color="auto"/>
            </w:tcBorders>
            <w:shd w:val="clear" w:color="000000" w:fill="FA8771"/>
            <w:noWrap/>
            <w:vAlign w:val="bottom"/>
            <w:hideMark/>
          </w:tcPr>
          <w:p w14:paraId="3EA7F6E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36.6%</w:t>
            </w:r>
          </w:p>
        </w:tc>
        <w:tc>
          <w:tcPr>
            <w:tcW w:w="1262" w:type="dxa"/>
            <w:tcBorders>
              <w:top w:val="single" w:sz="4" w:space="0" w:color="auto"/>
              <w:left w:val="single" w:sz="4" w:space="0" w:color="auto"/>
              <w:bottom w:val="single" w:sz="4" w:space="0" w:color="auto"/>
              <w:right w:val="single" w:sz="4" w:space="0" w:color="auto"/>
            </w:tcBorders>
            <w:shd w:val="clear" w:color="000000" w:fill="FB9474"/>
            <w:noWrap/>
            <w:vAlign w:val="bottom"/>
            <w:hideMark/>
          </w:tcPr>
          <w:p w14:paraId="4CB7EE42"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32.0%</w:t>
            </w:r>
          </w:p>
        </w:tc>
      </w:tr>
      <w:tr w:rsidR="00CD3166" w:rsidRPr="00CD3166" w14:paraId="4D1FF90C" w14:textId="77777777" w:rsidTr="00CD3166">
        <w:trPr>
          <w:trHeight w:val="290"/>
        </w:trPr>
        <w:tc>
          <w:tcPr>
            <w:tcW w:w="2084" w:type="dxa"/>
            <w:tcBorders>
              <w:top w:val="nil"/>
              <w:left w:val="single" w:sz="4" w:space="0" w:color="auto"/>
              <w:bottom w:val="single" w:sz="4" w:space="0" w:color="auto"/>
              <w:right w:val="single" w:sz="12" w:space="0" w:color="auto"/>
            </w:tcBorders>
            <w:shd w:val="clear" w:color="auto" w:fill="auto"/>
            <w:noWrap/>
            <w:vAlign w:val="bottom"/>
            <w:hideMark/>
          </w:tcPr>
          <w:p w14:paraId="6CAADE70" w14:textId="414DBF8A" w:rsidR="00CD3166" w:rsidRPr="00CD3166" w:rsidRDefault="009D41FE" w:rsidP="00CD3166">
            <w:pPr>
              <w:spacing w:before="0" w:after="0" w:line="240" w:lineRule="auto"/>
              <w:rPr>
                <w:rFonts w:cs="Arial"/>
                <w:color w:val="000000"/>
                <w:sz w:val="22"/>
                <w:szCs w:val="22"/>
                <w:lang w:eastAsia="en-GB"/>
              </w:rPr>
            </w:pPr>
            <w:r>
              <w:rPr>
                <w:rFonts w:cs="Arial"/>
                <w:color w:val="000000"/>
                <w:sz w:val="22"/>
                <w:szCs w:val="22"/>
                <w:lang w:eastAsia="en-GB"/>
              </w:rPr>
              <w:t>Point sources</w:t>
            </w:r>
          </w:p>
        </w:tc>
        <w:tc>
          <w:tcPr>
            <w:tcW w:w="933" w:type="dxa"/>
            <w:tcBorders>
              <w:top w:val="single" w:sz="4" w:space="0" w:color="auto"/>
              <w:left w:val="single" w:sz="12" w:space="0" w:color="auto"/>
              <w:bottom w:val="single" w:sz="4" w:space="0" w:color="auto"/>
              <w:right w:val="single" w:sz="4" w:space="0" w:color="auto"/>
            </w:tcBorders>
            <w:shd w:val="clear" w:color="000000" w:fill="B9D67F"/>
            <w:noWrap/>
            <w:vAlign w:val="bottom"/>
            <w:hideMark/>
          </w:tcPr>
          <w:p w14:paraId="72246AB1"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C6DA80"/>
            <w:noWrap/>
            <w:vAlign w:val="bottom"/>
            <w:hideMark/>
          </w:tcPr>
          <w:p w14:paraId="7A1DF9D0"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0.6%</w:t>
            </w:r>
          </w:p>
        </w:tc>
        <w:tc>
          <w:tcPr>
            <w:tcW w:w="933" w:type="dxa"/>
            <w:tcBorders>
              <w:top w:val="single" w:sz="4" w:space="0" w:color="auto"/>
              <w:left w:val="single" w:sz="4" w:space="0" w:color="auto"/>
              <w:bottom w:val="single" w:sz="4" w:space="0" w:color="auto"/>
              <w:right w:val="single" w:sz="4" w:space="0" w:color="auto"/>
            </w:tcBorders>
            <w:shd w:val="clear" w:color="000000" w:fill="D5DF81"/>
            <w:noWrap/>
            <w:vAlign w:val="bottom"/>
            <w:hideMark/>
          </w:tcPr>
          <w:p w14:paraId="6B05A7F5"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0.7%</w:t>
            </w:r>
          </w:p>
        </w:tc>
        <w:tc>
          <w:tcPr>
            <w:tcW w:w="933" w:type="dxa"/>
            <w:tcBorders>
              <w:top w:val="single" w:sz="4" w:space="0" w:color="auto"/>
              <w:left w:val="single" w:sz="4" w:space="0" w:color="auto"/>
              <w:bottom w:val="single" w:sz="4" w:space="0" w:color="auto"/>
              <w:right w:val="single" w:sz="4" w:space="0" w:color="auto"/>
            </w:tcBorders>
            <w:shd w:val="clear" w:color="000000" w:fill="B4D57F"/>
            <w:noWrap/>
            <w:vAlign w:val="bottom"/>
            <w:hideMark/>
          </w:tcPr>
          <w:p w14:paraId="53094489"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1077"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25971037"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1.7%</w:t>
            </w:r>
          </w:p>
        </w:tc>
        <w:tc>
          <w:tcPr>
            <w:tcW w:w="1054" w:type="dxa"/>
            <w:tcBorders>
              <w:top w:val="single" w:sz="4" w:space="0" w:color="auto"/>
              <w:left w:val="single" w:sz="4" w:space="0" w:color="auto"/>
              <w:bottom w:val="single" w:sz="4" w:space="0" w:color="auto"/>
              <w:right w:val="single" w:sz="4" w:space="0" w:color="auto"/>
            </w:tcBorders>
            <w:shd w:val="clear" w:color="000000" w:fill="B8D67F"/>
            <w:noWrap/>
            <w:vAlign w:val="bottom"/>
            <w:hideMark/>
          </w:tcPr>
          <w:p w14:paraId="2F55DCA8"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0.5%</w:t>
            </w:r>
          </w:p>
        </w:tc>
        <w:tc>
          <w:tcPr>
            <w:tcW w:w="1262" w:type="dxa"/>
            <w:tcBorders>
              <w:top w:val="single" w:sz="4" w:space="0" w:color="auto"/>
              <w:left w:val="single" w:sz="4" w:space="0" w:color="auto"/>
              <w:bottom w:val="single" w:sz="4" w:space="0" w:color="auto"/>
              <w:right w:val="single" w:sz="4" w:space="0" w:color="auto"/>
            </w:tcBorders>
            <w:shd w:val="clear" w:color="000000" w:fill="CADB80"/>
            <w:noWrap/>
            <w:vAlign w:val="bottom"/>
            <w:hideMark/>
          </w:tcPr>
          <w:p w14:paraId="0BFEE83C" w14:textId="77777777" w:rsidR="00CD3166" w:rsidRPr="00CD3166" w:rsidRDefault="00CD3166" w:rsidP="00CD3166">
            <w:pPr>
              <w:spacing w:before="0" w:after="0" w:line="240" w:lineRule="auto"/>
              <w:jc w:val="right"/>
              <w:rPr>
                <w:rFonts w:cs="Arial"/>
                <w:color w:val="000000"/>
                <w:sz w:val="22"/>
                <w:szCs w:val="22"/>
                <w:lang w:eastAsia="en-GB"/>
              </w:rPr>
            </w:pPr>
            <w:r w:rsidRPr="00CD3166">
              <w:rPr>
                <w:rFonts w:cs="Arial"/>
                <w:color w:val="000000"/>
                <w:sz w:val="22"/>
                <w:szCs w:val="22"/>
                <w:lang w:eastAsia="en-GB"/>
              </w:rPr>
              <w:t>0.6%</w:t>
            </w:r>
          </w:p>
        </w:tc>
      </w:tr>
    </w:tbl>
    <w:p w14:paraId="78E5735C" w14:textId="77777777" w:rsidR="00AE3CFB" w:rsidRDefault="00AE3CFB" w:rsidP="00B775AF">
      <w:pPr>
        <w:rPr>
          <w:color w:val="FF0000"/>
        </w:rPr>
      </w:pPr>
    </w:p>
    <w:p w14:paraId="4003CD33" w14:textId="276D9C2D" w:rsidR="00DE1CD0" w:rsidRPr="00DE1CD0" w:rsidRDefault="00DE1CD0" w:rsidP="00DE1CD0">
      <w:pPr>
        <w:pStyle w:val="Tables"/>
      </w:pPr>
      <w:bookmarkStart w:id="109" w:name="_Toc160128556"/>
      <w:r>
        <w:t>Table 3.</w:t>
      </w:r>
      <w:r w:rsidR="00DC1213">
        <w:t>5</w:t>
      </w:r>
      <w:r>
        <w:t>: PM</w:t>
      </w:r>
      <w:r>
        <w:rPr>
          <w:vertAlign w:val="subscript"/>
        </w:rPr>
        <w:t>2.5</w:t>
      </w:r>
      <w:r>
        <w:t xml:space="preserve"> source apportionment by AQMA and non-AQMA areas</w:t>
      </w:r>
      <w:bookmarkEnd w:id="109"/>
    </w:p>
    <w:tbl>
      <w:tblPr>
        <w:tblW w:w="9272" w:type="dxa"/>
        <w:tblLook w:val="04A0" w:firstRow="1" w:lastRow="0" w:firstColumn="1" w:lastColumn="0" w:noHBand="0" w:noVBand="1"/>
      </w:tblPr>
      <w:tblGrid>
        <w:gridCol w:w="2084"/>
        <w:gridCol w:w="933"/>
        <w:gridCol w:w="933"/>
        <w:gridCol w:w="933"/>
        <w:gridCol w:w="933"/>
        <w:gridCol w:w="1109"/>
        <w:gridCol w:w="1085"/>
        <w:gridCol w:w="1262"/>
      </w:tblGrid>
      <w:tr w:rsidR="00AE3CFB" w:rsidRPr="00AE3CFB" w14:paraId="318BB3A2" w14:textId="77777777" w:rsidTr="00EC75DD">
        <w:trPr>
          <w:trHeight w:val="290"/>
        </w:trPr>
        <w:tc>
          <w:tcPr>
            <w:tcW w:w="2084" w:type="dxa"/>
            <w:tcBorders>
              <w:top w:val="single" w:sz="4" w:space="0" w:color="auto"/>
              <w:left w:val="single" w:sz="4" w:space="0" w:color="auto"/>
              <w:bottom w:val="single" w:sz="12" w:space="0" w:color="auto"/>
              <w:right w:val="single" w:sz="12" w:space="0" w:color="auto"/>
            </w:tcBorders>
            <w:shd w:val="clear" w:color="auto" w:fill="auto"/>
            <w:noWrap/>
            <w:vAlign w:val="center"/>
            <w:hideMark/>
          </w:tcPr>
          <w:p w14:paraId="5A98DC83" w14:textId="6C5E4F8E" w:rsidR="00AE3CFB" w:rsidRPr="00AE3CFB" w:rsidRDefault="00AE3CFB" w:rsidP="00AE3CFB">
            <w:pPr>
              <w:spacing w:before="0" w:after="0" w:line="240" w:lineRule="auto"/>
              <w:rPr>
                <w:rFonts w:cs="Arial"/>
                <w:b/>
                <w:bCs/>
                <w:color w:val="000000"/>
                <w:sz w:val="22"/>
                <w:szCs w:val="22"/>
                <w:lang w:eastAsia="en-GB"/>
              </w:rPr>
            </w:pPr>
            <w:r>
              <w:rPr>
                <w:rFonts w:cs="Arial"/>
                <w:b/>
                <w:bCs/>
                <w:color w:val="000000"/>
                <w:sz w:val="22"/>
                <w:szCs w:val="22"/>
                <w:lang w:eastAsia="en-GB"/>
              </w:rPr>
              <w:t>PM</w:t>
            </w:r>
            <w:r w:rsidRPr="00A23144">
              <w:rPr>
                <w:rFonts w:cs="Arial"/>
                <w:b/>
                <w:bCs/>
                <w:color w:val="000000"/>
                <w:sz w:val="22"/>
                <w:szCs w:val="22"/>
                <w:vertAlign w:val="subscript"/>
                <w:lang w:eastAsia="en-GB"/>
              </w:rPr>
              <w:t>2.5</w:t>
            </w:r>
            <w:r>
              <w:rPr>
                <w:rFonts w:cs="Arial"/>
                <w:b/>
                <w:bCs/>
                <w:color w:val="000000"/>
                <w:sz w:val="22"/>
                <w:szCs w:val="22"/>
                <w:lang w:eastAsia="en-GB"/>
              </w:rPr>
              <w:t xml:space="preserve"> Sources</w:t>
            </w:r>
          </w:p>
        </w:tc>
        <w:tc>
          <w:tcPr>
            <w:tcW w:w="933" w:type="dxa"/>
            <w:tcBorders>
              <w:top w:val="single" w:sz="4" w:space="0" w:color="auto"/>
              <w:left w:val="single" w:sz="12" w:space="0" w:color="auto"/>
              <w:bottom w:val="single" w:sz="12" w:space="0" w:color="auto"/>
              <w:right w:val="single" w:sz="4" w:space="0" w:color="auto"/>
            </w:tcBorders>
            <w:shd w:val="clear" w:color="auto" w:fill="auto"/>
            <w:noWrap/>
            <w:vAlign w:val="center"/>
            <w:hideMark/>
          </w:tcPr>
          <w:p w14:paraId="35506867"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AQMA 1</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68C216F3"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AQMA 2</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78F758D1"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AQMA 3</w:t>
            </w:r>
          </w:p>
        </w:tc>
        <w:tc>
          <w:tcPr>
            <w:tcW w:w="933" w:type="dxa"/>
            <w:tcBorders>
              <w:top w:val="single" w:sz="4" w:space="0" w:color="auto"/>
              <w:left w:val="nil"/>
              <w:bottom w:val="single" w:sz="12" w:space="0" w:color="auto"/>
              <w:right w:val="single" w:sz="4" w:space="0" w:color="auto"/>
            </w:tcBorders>
            <w:shd w:val="clear" w:color="auto" w:fill="auto"/>
            <w:noWrap/>
            <w:vAlign w:val="center"/>
            <w:hideMark/>
          </w:tcPr>
          <w:p w14:paraId="44174362"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 xml:space="preserve">AQMA 4 </w:t>
            </w:r>
          </w:p>
        </w:tc>
        <w:tc>
          <w:tcPr>
            <w:tcW w:w="1109" w:type="dxa"/>
            <w:tcBorders>
              <w:top w:val="single" w:sz="4" w:space="0" w:color="auto"/>
              <w:left w:val="nil"/>
              <w:bottom w:val="single" w:sz="12" w:space="0" w:color="auto"/>
              <w:right w:val="single" w:sz="4" w:space="0" w:color="auto"/>
            </w:tcBorders>
            <w:shd w:val="clear" w:color="auto" w:fill="auto"/>
            <w:noWrap/>
            <w:vAlign w:val="center"/>
            <w:hideMark/>
          </w:tcPr>
          <w:p w14:paraId="4B80F160"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Industrial</w:t>
            </w:r>
          </w:p>
        </w:tc>
        <w:tc>
          <w:tcPr>
            <w:tcW w:w="1085" w:type="dxa"/>
            <w:tcBorders>
              <w:top w:val="single" w:sz="4" w:space="0" w:color="auto"/>
              <w:left w:val="nil"/>
              <w:bottom w:val="single" w:sz="12" w:space="0" w:color="auto"/>
              <w:right w:val="single" w:sz="4" w:space="0" w:color="auto"/>
            </w:tcBorders>
            <w:shd w:val="clear" w:color="auto" w:fill="auto"/>
            <w:noWrap/>
            <w:vAlign w:val="center"/>
            <w:hideMark/>
          </w:tcPr>
          <w:p w14:paraId="2CB8C37F"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Kerbside</w:t>
            </w:r>
          </w:p>
        </w:tc>
        <w:tc>
          <w:tcPr>
            <w:tcW w:w="1262" w:type="dxa"/>
            <w:tcBorders>
              <w:top w:val="single" w:sz="4" w:space="0" w:color="auto"/>
              <w:left w:val="nil"/>
              <w:bottom w:val="single" w:sz="12" w:space="0" w:color="auto"/>
              <w:right w:val="single" w:sz="4" w:space="0" w:color="auto"/>
            </w:tcBorders>
            <w:shd w:val="clear" w:color="auto" w:fill="auto"/>
            <w:noWrap/>
            <w:vAlign w:val="center"/>
            <w:hideMark/>
          </w:tcPr>
          <w:p w14:paraId="4730ADE3" w14:textId="77777777" w:rsidR="00AE3CFB" w:rsidRPr="00AE3CFB" w:rsidRDefault="00AE3CFB" w:rsidP="00AE3CFB">
            <w:pPr>
              <w:spacing w:before="0" w:after="0" w:line="240" w:lineRule="auto"/>
              <w:jc w:val="center"/>
              <w:rPr>
                <w:rFonts w:cs="Arial"/>
                <w:color w:val="000000"/>
                <w:sz w:val="22"/>
                <w:szCs w:val="22"/>
                <w:lang w:eastAsia="en-GB"/>
              </w:rPr>
            </w:pPr>
            <w:r w:rsidRPr="00AE3CFB">
              <w:rPr>
                <w:rFonts w:cs="Arial"/>
                <w:color w:val="000000"/>
                <w:sz w:val="22"/>
                <w:szCs w:val="22"/>
                <w:lang w:eastAsia="en-GB"/>
              </w:rPr>
              <w:t>Roadside</w:t>
            </w:r>
          </w:p>
        </w:tc>
      </w:tr>
      <w:tr w:rsidR="00AE3CFB" w:rsidRPr="00AE3CFB" w14:paraId="2FF50278" w14:textId="77777777" w:rsidTr="00EC75DD">
        <w:trPr>
          <w:trHeight w:val="290"/>
        </w:trPr>
        <w:tc>
          <w:tcPr>
            <w:tcW w:w="2084" w:type="dxa"/>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57772358"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Petrol cars</w:t>
            </w:r>
          </w:p>
        </w:tc>
        <w:tc>
          <w:tcPr>
            <w:tcW w:w="933" w:type="dxa"/>
            <w:tcBorders>
              <w:top w:val="single" w:sz="12" w:space="0" w:color="auto"/>
              <w:left w:val="single" w:sz="12" w:space="0" w:color="auto"/>
              <w:bottom w:val="single" w:sz="4" w:space="0" w:color="auto"/>
              <w:right w:val="single" w:sz="4" w:space="0" w:color="auto"/>
            </w:tcBorders>
            <w:shd w:val="clear" w:color="000000" w:fill="FFE383"/>
            <w:noWrap/>
            <w:vAlign w:val="bottom"/>
            <w:hideMark/>
          </w:tcPr>
          <w:p w14:paraId="1093CA7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4.3%</w:t>
            </w:r>
          </w:p>
        </w:tc>
        <w:tc>
          <w:tcPr>
            <w:tcW w:w="933" w:type="dxa"/>
            <w:tcBorders>
              <w:top w:val="single" w:sz="12" w:space="0" w:color="auto"/>
              <w:left w:val="single" w:sz="4" w:space="0" w:color="auto"/>
              <w:bottom w:val="single" w:sz="4" w:space="0" w:color="auto"/>
              <w:right w:val="single" w:sz="4" w:space="0" w:color="auto"/>
            </w:tcBorders>
            <w:shd w:val="clear" w:color="000000" w:fill="FFE784"/>
            <w:noWrap/>
            <w:vAlign w:val="bottom"/>
            <w:hideMark/>
          </w:tcPr>
          <w:p w14:paraId="10CB663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2.6%</w:t>
            </w:r>
          </w:p>
        </w:tc>
        <w:tc>
          <w:tcPr>
            <w:tcW w:w="933" w:type="dxa"/>
            <w:tcBorders>
              <w:top w:val="single" w:sz="12" w:space="0" w:color="auto"/>
              <w:left w:val="single" w:sz="4" w:space="0" w:color="auto"/>
              <w:bottom w:val="single" w:sz="4" w:space="0" w:color="auto"/>
              <w:right w:val="single" w:sz="4" w:space="0" w:color="auto"/>
            </w:tcBorders>
            <w:shd w:val="clear" w:color="000000" w:fill="FFE683"/>
            <w:noWrap/>
            <w:vAlign w:val="bottom"/>
            <w:hideMark/>
          </w:tcPr>
          <w:p w14:paraId="661C1E4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3.0%</w:t>
            </w:r>
          </w:p>
        </w:tc>
        <w:tc>
          <w:tcPr>
            <w:tcW w:w="933" w:type="dxa"/>
            <w:tcBorders>
              <w:top w:val="single" w:sz="12" w:space="0" w:color="auto"/>
              <w:left w:val="single" w:sz="4" w:space="0" w:color="auto"/>
              <w:bottom w:val="single" w:sz="4" w:space="0" w:color="auto"/>
              <w:right w:val="single" w:sz="4" w:space="0" w:color="auto"/>
            </w:tcBorders>
            <w:shd w:val="clear" w:color="000000" w:fill="FFE483"/>
            <w:noWrap/>
            <w:vAlign w:val="bottom"/>
            <w:hideMark/>
          </w:tcPr>
          <w:p w14:paraId="5FC321C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3.7%</w:t>
            </w:r>
          </w:p>
        </w:tc>
        <w:tc>
          <w:tcPr>
            <w:tcW w:w="1109" w:type="dxa"/>
            <w:tcBorders>
              <w:top w:val="single" w:sz="12" w:space="0" w:color="auto"/>
              <w:left w:val="single" w:sz="4" w:space="0" w:color="auto"/>
              <w:bottom w:val="single" w:sz="4" w:space="0" w:color="auto"/>
              <w:right w:val="single" w:sz="4" w:space="0" w:color="auto"/>
            </w:tcBorders>
            <w:shd w:val="clear" w:color="000000" w:fill="FFE984"/>
            <w:noWrap/>
            <w:vAlign w:val="bottom"/>
            <w:hideMark/>
          </w:tcPr>
          <w:p w14:paraId="5BF4874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1.6%</w:t>
            </w:r>
          </w:p>
        </w:tc>
        <w:tc>
          <w:tcPr>
            <w:tcW w:w="1085" w:type="dxa"/>
            <w:tcBorders>
              <w:top w:val="single" w:sz="12" w:space="0" w:color="auto"/>
              <w:left w:val="single" w:sz="4" w:space="0" w:color="auto"/>
              <w:bottom w:val="single" w:sz="4" w:space="0" w:color="auto"/>
              <w:right w:val="single" w:sz="4" w:space="0" w:color="auto"/>
            </w:tcBorders>
            <w:shd w:val="clear" w:color="000000" w:fill="FFE683"/>
            <w:noWrap/>
            <w:vAlign w:val="bottom"/>
            <w:hideMark/>
          </w:tcPr>
          <w:p w14:paraId="4EF72F9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3.2%</w:t>
            </w:r>
          </w:p>
        </w:tc>
        <w:tc>
          <w:tcPr>
            <w:tcW w:w="1262" w:type="dxa"/>
            <w:tcBorders>
              <w:top w:val="single" w:sz="12" w:space="0" w:color="auto"/>
              <w:left w:val="single" w:sz="4" w:space="0" w:color="auto"/>
              <w:bottom w:val="single" w:sz="4" w:space="0" w:color="auto"/>
              <w:right w:val="single" w:sz="4" w:space="0" w:color="auto"/>
            </w:tcBorders>
            <w:shd w:val="clear" w:color="000000" w:fill="FFE784"/>
            <w:noWrap/>
            <w:vAlign w:val="bottom"/>
            <w:hideMark/>
          </w:tcPr>
          <w:p w14:paraId="7BE8E06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2.6%</w:t>
            </w:r>
          </w:p>
        </w:tc>
      </w:tr>
      <w:tr w:rsidR="00EC75DD" w:rsidRPr="00AE3CFB" w14:paraId="1B9ECF88"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656C7A9A"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Diesel cars</w:t>
            </w:r>
          </w:p>
        </w:tc>
        <w:tc>
          <w:tcPr>
            <w:tcW w:w="933" w:type="dxa"/>
            <w:tcBorders>
              <w:top w:val="single" w:sz="4" w:space="0" w:color="auto"/>
              <w:left w:val="single" w:sz="12" w:space="0" w:color="auto"/>
              <w:bottom w:val="single" w:sz="4" w:space="0" w:color="auto"/>
              <w:right w:val="single" w:sz="4" w:space="0" w:color="auto"/>
            </w:tcBorders>
            <w:shd w:val="clear" w:color="000000" w:fill="FFE383"/>
            <w:noWrap/>
            <w:vAlign w:val="bottom"/>
            <w:hideMark/>
          </w:tcPr>
          <w:p w14:paraId="0DA84AF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4.4%</w:t>
            </w:r>
          </w:p>
        </w:tc>
        <w:tc>
          <w:tcPr>
            <w:tcW w:w="933"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0C50206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2.1%</w:t>
            </w:r>
          </w:p>
        </w:tc>
        <w:tc>
          <w:tcPr>
            <w:tcW w:w="933"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78F8A86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933" w:type="dxa"/>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766130B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3.1%</w:t>
            </w:r>
          </w:p>
        </w:tc>
        <w:tc>
          <w:tcPr>
            <w:tcW w:w="1109"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09979AD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1.3%</w:t>
            </w:r>
          </w:p>
        </w:tc>
        <w:tc>
          <w:tcPr>
            <w:tcW w:w="1085"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181C6F1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2.6%</w:t>
            </w:r>
          </w:p>
        </w:tc>
        <w:tc>
          <w:tcPr>
            <w:tcW w:w="1262"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15DEB3A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2.1%</w:t>
            </w:r>
          </w:p>
        </w:tc>
      </w:tr>
      <w:tr w:rsidR="00EC75DD" w:rsidRPr="00AE3CFB" w14:paraId="25CA40C9"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368C6149"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Hybrid Petrol Cars</w:t>
            </w:r>
          </w:p>
        </w:tc>
        <w:tc>
          <w:tcPr>
            <w:tcW w:w="933" w:type="dxa"/>
            <w:tcBorders>
              <w:top w:val="single" w:sz="4" w:space="0" w:color="auto"/>
              <w:left w:val="single" w:sz="12" w:space="0" w:color="auto"/>
              <w:bottom w:val="single" w:sz="4" w:space="0" w:color="auto"/>
              <w:right w:val="single" w:sz="4" w:space="0" w:color="auto"/>
            </w:tcBorders>
            <w:shd w:val="clear" w:color="000000" w:fill="AFD47F"/>
            <w:noWrap/>
            <w:vAlign w:val="bottom"/>
            <w:hideMark/>
          </w:tcPr>
          <w:p w14:paraId="427CEEE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933" w:type="dxa"/>
            <w:tcBorders>
              <w:top w:val="single" w:sz="4" w:space="0" w:color="auto"/>
              <w:left w:val="single" w:sz="4" w:space="0" w:color="auto"/>
              <w:bottom w:val="single" w:sz="4" w:space="0" w:color="auto"/>
              <w:right w:val="single" w:sz="4" w:space="0" w:color="auto"/>
            </w:tcBorders>
            <w:shd w:val="clear" w:color="000000" w:fill="90CB7D"/>
            <w:noWrap/>
            <w:vAlign w:val="bottom"/>
            <w:hideMark/>
          </w:tcPr>
          <w:p w14:paraId="4DE7104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96CC7D"/>
            <w:noWrap/>
            <w:vAlign w:val="bottom"/>
            <w:hideMark/>
          </w:tcPr>
          <w:p w14:paraId="346767C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A4D07E"/>
            <w:noWrap/>
            <w:vAlign w:val="bottom"/>
            <w:hideMark/>
          </w:tcPr>
          <w:p w14:paraId="7E041E4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109"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14:paraId="7F0B128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085" w:type="dxa"/>
            <w:tcBorders>
              <w:top w:val="single" w:sz="4" w:space="0" w:color="auto"/>
              <w:left w:val="single" w:sz="4" w:space="0" w:color="auto"/>
              <w:bottom w:val="single" w:sz="4" w:space="0" w:color="auto"/>
              <w:right w:val="single" w:sz="4" w:space="0" w:color="auto"/>
            </w:tcBorders>
            <w:shd w:val="clear" w:color="000000" w:fill="9ACD7E"/>
            <w:noWrap/>
            <w:vAlign w:val="bottom"/>
            <w:hideMark/>
          </w:tcPr>
          <w:p w14:paraId="66D221C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1262" w:type="dxa"/>
            <w:tcBorders>
              <w:top w:val="single" w:sz="4" w:space="0" w:color="auto"/>
              <w:left w:val="single" w:sz="4" w:space="0" w:color="auto"/>
              <w:bottom w:val="single" w:sz="4" w:space="0" w:color="auto"/>
              <w:right w:val="single" w:sz="4" w:space="0" w:color="auto"/>
            </w:tcBorders>
            <w:shd w:val="clear" w:color="000000" w:fill="8ECA7D"/>
            <w:noWrap/>
            <w:vAlign w:val="bottom"/>
            <w:hideMark/>
          </w:tcPr>
          <w:p w14:paraId="2665ADD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EC75DD" w:rsidRPr="00AE3CFB" w14:paraId="32BDD12F"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5B241D49"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Hybrid Diesel Cars</w:t>
            </w:r>
          </w:p>
        </w:tc>
        <w:tc>
          <w:tcPr>
            <w:tcW w:w="933" w:type="dxa"/>
            <w:tcBorders>
              <w:top w:val="single" w:sz="4" w:space="0" w:color="auto"/>
              <w:left w:val="single" w:sz="12" w:space="0" w:color="auto"/>
              <w:bottom w:val="single" w:sz="4" w:space="0" w:color="auto"/>
              <w:right w:val="single" w:sz="4" w:space="0" w:color="auto"/>
            </w:tcBorders>
            <w:shd w:val="clear" w:color="000000" w:fill="6EC17B"/>
            <w:noWrap/>
            <w:vAlign w:val="bottom"/>
            <w:hideMark/>
          </w:tcPr>
          <w:p w14:paraId="1384513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66BE7B"/>
            <w:noWrap/>
            <w:vAlign w:val="bottom"/>
            <w:hideMark/>
          </w:tcPr>
          <w:p w14:paraId="562B65D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933"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59EEED4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933" w:type="dxa"/>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3E11A68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1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62DFB1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1085"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6D071CE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1262"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44EC27C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r>
      <w:tr w:rsidR="00EC75DD" w:rsidRPr="00AE3CFB" w14:paraId="43F7D2A6"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370EC926"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Buses</w:t>
            </w:r>
          </w:p>
        </w:tc>
        <w:tc>
          <w:tcPr>
            <w:tcW w:w="933" w:type="dxa"/>
            <w:tcBorders>
              <w:top w:val="single" w:sz="4" w:space="0" w:color="auto"/>
              <w:left w:val="single" w:sz="12" w:space="0" w:color="auto"/>
              <w:bottom w:val="single" w:sz="4" w:space="0" w:color="auto"/>
              <w:right w:val="single" w:sz="4" w:space="0" w:color="auto"/>
            </w:tcBorders>
            <w:shd w:val="clear" w:color="000000" w:fill="64BE7B"/>
            <w:noWrap/>
            <w:vAlign w:val="bottom"/>
            <w:hideMark/>
          </w:tcPr>
          <w:p w14:paraId="4D477EC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933" w:type="dxa"/>
            <w:tcBorders>
              <w:top w:val="single" w:sz="4" w:space="0" w:color="auto"/>
              <w:left w:val="single" w:sz="4" w:space="0" w:color="auto"/>
              <w:bottom w:val="single" w:sz="4" w:space="0" w:color="auto"/>
              <w:right w:val="single" w:sz="4" w:space="0" w:color="auto"/>
            </w:tcBorders>
            <w:shd w:val="clear" w:color="000000" w:fill="B9D67F"/>
            <w:noWrap/>
            <w:vAlign w:val="bottom"/>
            <w:hideMark/>
          </w:tcPr>
          <w:p w14:paraId="4AD8BA6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0.5%</w:t>
            </w:r>
          </w:p>
        </w:tc>
        <w:tc>
          <w:tcPr>
            <w:tcW w:w="933" w:type="dxa"/>
            <w:tcBorders>
              <w:top w:val="single" w:sz="4" w:space="0" w:color="auto"/>
              <w:left w:val="single" w:sz="4" w:space="0" w:color="auto"/>
              <w:bottom w:val="single" w:sz="4" w:space="0" w:color="auto"/>
              <w:right w:val="single" w:sz="4" w:space="0" w:color="auto"/>
            </w:tcBorders>
            <w:shd w:val="clear" w:color="000000" w:fill="91CB7D"/>
            <w:noWrap/>
            <w:vAlign w:val="bottom"/>
            <w:hideMark/>
          </w:tcPr>
          <w:p w14:paraId="77737D7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BFD880"/>
            <w:noWrap/>
            <w:vAlign w:val="bottom"/>
            <w:hideMark/>
          </w:tcPr>
          <w:p w14:paraId="24A0669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0.5%</w:t>
            </w:r>
          </w:p>
        </w:tc>
        <w:tc>
          <w:tcPr>
            <w:tcW w:w="1109" w:type="dxa"/>
            <w:tcBorders>
              <w:top w:val="single" w:sz="4" w:space="0" w:color="auto"/>
              <w:left w:val="single" w:sz="4" w:space="0" w:color="auto"/>
              <w:bottom w:val="single" w:sz="4" w:space="0" w:color="auto"/>
              <w:right w:val="single" w:sz="4" w:space="0" w:color="auto"/>
            </w:tcBorders>
            <w:shd w:val="clear" w:color="000000" w:fill="67BF7B"/>
            <w:noWrap/>
            <w:vAlign w:val="bottom"/>
            <w:hideMark/>
          </w:tcPr>
          <w:p w14:paraId="388B8EB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1085"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14:paraId="5CEF95C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92CB7D"/>
            <w:noWrap/>
            <w:vAlign w:val="bottom"/>
            <w:hideMark/>
          </w:tcPr>
          <w:p w14:paraId="6E516760"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r>
      <w:tr w:rsidR="00EC75DD" w:rsidRPr="00AE3CFB" w14:paraId="69B86D4F"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1558FF0D"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LGVs</w:t>
            </w:r>
          </w:p>
        </w:tc>
        <w:tc>
          <w:tcPr>
            <w:tcW w:w="933" w:type="dxa"/>
            <w:tcBorders>
              <w:top w:val="single" w:sz="4" w:space="0" w:color="auto"/>
              <w:left w:val="single" w:sz="12" w:space="0" w:color="auto"/>
              <w:bottom w:val="single" w:sz="4" w:space="0" w:color="auto"/>
              <w:right w:val="single" w:sz="4" w:space="0" w:color="auto"/>
            </w:tcBorders>
            <w:shd w:val="clear" w:color="000000" w:fill="FFEA84"/>
            <w:noWrap/>
            <w:vAlign w:val="bottom"/>
            <w:hideMark/>
          </w:tcPr>
          <w:p w14:paraId="123D59E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1.4%</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6AEFE5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0.9%</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260EA8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0.9%</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B125ED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0.9%</w:t>
            </w:r>
          </w:p>
        </w:tc>
        <w:tc>
          <w:tcPr>
            <w:tcW w:w="1109" w:type="dxa"/>
            <w:tcBorders>
              <w:top w:val="single" w:sz="4" w:space="0" w:color="auto"/>
              <w:left w:val="single" w:sz="4" w:space="0" w:color="auto"/>
              <w:bottom w:val="single" w:sz="4" w:space="0" w:color="auto"/>
              <w:right w:val="single" w:sz="4" w:space="0" w:color="auto"/>
            </w:tcBorders>
            <w:shd w:val="clear" w:color="000000" w:fill="B0D47F"/>
            <w:noWrap/>
            <w:vAlign w:val="bottom"/>
            <w:hideMark/>
          </w:tcPr>
          <w:p w14:paraId="7ACC319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085" w:type="dxa"/>
            <w:tcBorders>
              <w:top w:val="single" w:sz="4" w:space="0" w:color="auto"/>
              <w:left w:val="single" w:sz="4" w:space="0" w:color="auto"/>
              <w:bottom w:val="single" w:sz="4" w:space="0" w:color="auto"/>
              <w:right w:val="single" w:sz="4" w:space="0" w:color="auto"/>
            </w:tcBorders>
            <w:shd w:val="clear" w:color="000000" w:fill="D4DE81"/>
            <w:noWrap/>
            <w:vAlign w:val="bottom"/>
            <w:hideMark/>
          </w:tcPr>
          <w:p w14:paraId="0698755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0.6%</w:t>
            </w:r>
          </w:p>
        </w:tc>
        <w:tc>
          <w:tcPr>
            <w:tcW w:w="1262" w:type="dxa"/>
            <w:tcBorders>
              <w:top w:val="single" w:sz="4" w:space="0" w:color="auto"/>
              <w:left w:val="single" w:sz="4" w:space="0" w:color="auto"/>
              <w:bottom w:val="single" w:sz="4" w:space="0" w:color="auto"/>
              <w:right w:val="single" w:sz="4" w:space="0" w:color="auto"/>
            </w:tcBorders>
            <w:shd w:val="clear" w:color="000000" w:fill="D4DE81"/>
            <w:noWrap/>
            <w:vAlign w:val="bottom"/>
            <w:hideMark/>
          </w:tcPr>
          <w:p w14:paraId="21DB00B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0.6%</w:t>
            </w:r>
          </w:p>
        </w:tc>
      </w:tr>
      <w:tr w:rsidR="00EC75DD" w:rsidRPr="00AE3CFB" w14:paraId="1AA5F669"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63466C4E"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Rigid HGVs</w:t>
            </w:r>
          </w:p>
        </w:tc>
        <w:tc>
          <w:tcPr>
            <w:tcW w:w="933" w:type="dxa"/>
            <w:tcBorders>
              <w:top w:val="single" w:sz="4" w:space="0" w:color="auto"/>
              <w:left w:val="single" w:sz="12" w:space="0" w:color="auto"/>
              <w:bottom w:val="single" w:sz="4" w:space="0" w:color="auto"/>
              <w:right w:val="single" w:sz="4" w:space="0" w:color="auto"/>
            </w:tcBorders>
            <w:shd w:val="clear" w:color="000000" w:fill="FFEB84"/>
            <w:noWrap/>
            <w:vAlign w:val="bottom"/>
            <w:hideMark/>
          </w:tcPr>
          <w:p w14:paraId="1FB5C8C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0.9%</w:t>
            </w:r>
          </w:p>
        </w:tc>
        <w:tc>
          <w:tcPr>
            <w:tcW w:w="933"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1BE5197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1.5%</w:t>
            </w:r>
          </w:p>
        </w:tc>
        <w:tc>
          <w:tcPr>
            <w:tcW w:w="933" w:type="dxa"/>
            <w:tcBorders>
              <w:top w:val="single" w:sz="4" w:space="0" w:color="auto"/>
              <w:left w:val="single" w:sz="4" w:space="0" w:color="auto"/>
              <w:bottom w:val="single" w:sz="4" w:space="0" w:color="auto"/>
              <w:right w:val="single" w:sz="4" w:space="0" w:color="auto"/>
            </w:tcBorders>
            <w:shd w:val="clear" w:color="000000" w:fill="E7E482"/>
            <w:noWrap/>
            <w:vAlign w:val="bottom"/>
            <w:hideMark/>
          </w:tcPr>
          <w:p w14:paraId="3F0FD96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0.7%</w:t>
            </w:r>
          </w:p>
        </w:tc>
        <w:tc>
          <w:tcPr>
            <w:tcW w:w="933" w:type="dxa"/>
            <w:tcBorders>
              <w:top w:val="single" w:sz="4" w:space="0" w:color="auto"/>
              <w:left w:val="single" w:sz="4" w:space="0" w:color="auto"/>
              <w:bottom w:val="single" w:sz="4" w:space="0" w:color="auto"/>
              <w:right w:val="single" w:sz="4" w:space="0" w:color="auto"/>
            </w:tcBorders>
            <w:shd w:val="clear" w:color="000000" w:fill="C9DB80"/>
            <w:noWrap/>
            <w:vAlign w:val="bottom"/>
            <w:hideMark/>
          </w:tcPr>
          <w:p w14:paraId="5E13399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0.5%</w:t>
            </w:r>
          </w:p>
        </w:tc>
        <w:tc>
          <w:tcPr>
            <w:tcW w:w="1109" w:type="dxa"/>
            <w:tcBorders>
              <w:top w:val="single" w:sz="4" w:space="0" w:color="auto"/>
              <w:left w:val="single" w:sz="4" w:space="0" w:color="auto"/>
              <w:bottom w:val="single" w:sz="4" w:space="0" w:color="auto"/>
              <w:right w:val="single" w:sz="4" w:space="0" w:color="auto"/>
            </w:tcBorders>
            <w:shd w:val="clear" w:color="000000" w:fill="ABD27F"/>
            <w:noWrap/>
            <w:vAlign w:val="bottom"/>
            <w:hideMark/>
          </w:tcPr>
          <w:p w14:paraId="2294A65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085" w:type="dxa"/>
            <w:tcBorders>
              <w:top w:val="single" w:sz="4" w:space="0" w:color="auto"/>
              <w:left w:val="single" w:sz="4" w:space="0" w:color="auto"/>
              <w:bottom w:val="single" w:sz="4" w:space="0" w:color="auto"/>
              <w:right w:val="single" w:sz="4" w:space="0" w:color="auto"/>
            </w:tcBorders>
            <w:shd w:val="clear" w:color="000000" w:fill="84C77C"/>
            <w:noWrap/>
            <w:vAlign w:val="bottom"/>
            <w:hideMark/>
          </w:tcPr>
          <w:p w14:paraId="3BBE9E64"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262" w:type="dxa"/>
            <w:tcBorders>
              <w:top w:val="single" w:sz="4" w:space="0" w:color="auto"/>
              <w:left w:val="single" w:sz="4" w:space="0" w:color="auto"/>
              <w:bottom w:val="single" w:sz="4" w:space="0" w:color="auto"/>
              <w:right w:val="single" w:sz="4" w:space="0" w:color="auto"/>
            </w:tcBorders>
            <w:shd w:val="clear" w:color="000000" w:fill="8DCA7D"/>
            <w:noWrap/>
            <w:vAlign w:val="bottom"/>
            <w:hideMark/>
          </w:tcPr>
          <w:p w14:paraId="1ACF380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EC75DD" w:rsidRPr="00AE3CFB" w14:paraId="17546A4B"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6BEAC9A6"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Artic HGVs</w:t>
            </w:r>
          </w:p>
        </w:tc>
        <w:tc>
          <w:tcPr>
            <w:tcW w:w="933" w:type="dxa"/>
            <w:tcBorders>
              <w:top w:val="single" w:sz="4" w:space="0" w:color="auto"/>
              <w:left w:val="single" w:sz="12" w:space="0" w:color="auto"/>
              <w:bottom w:val="single" w:sz="4" w:space="0" w:color="auto"/>
              <w:right w:val="single" w:sz="4" w:space="0" w:color="auto"/>
            </w:tcBorders>
            <w:shd w:val="clear" w:color="000000" w:fill="FFEA84"/>
            <w:noWrap/>
            <w:vAlign w:val="bottom"/>
            <w:hideMark/>
          </w:tcPr>
          <w:p w14:paraId="2946C54A"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1.3%</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B0B759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0.9%</w:t>
            </w:r>
          </w:p>
        </w:tc>
        <w:tc>
          <w:tcPr>
            <w:tcW w:w="933" w:type="dxa"/>
            <w:tcBorders>
              <w:top w:val="single" w:sz="4" w:space="0" w:color="auto"/>
              <w:left w:val="single" w:sz="4" w:space="0" w:color="auto"/>
              <w:bottom w:val="single" w:sz="4" w:space="0" w:color="auto"/>
              <w:right w:val="single" w:sz="4" w:space="0" w:color="auto"/>
            </w:tcBorders>
            <w:shd w:val="clear" w:color="000000" w:fill="AFD47F"/>
            <w:noWrap/>
            <w:vAlign w:val="bottom"/>
            <w:hideMark/>
          </w:tcPr>
          <w:p w14:paraId="21AABCD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933" w:type="dxa"/>
            <w:tcBorders>
              <w:top w:val="single" w:sz="4" w:space="0" w:color="auto"/>
              <w:left w:val="single" w:sz="4" w:space="0" w:color="auto"/>
              <w:bottom w:val="single" w:sz="4" w:space="0" w:color="auto"/>
              <w:right w:val="single" w:sz="4" w:space="0" w:color="auto"/>
            </w:tcBorders>
            <w:shd w:val="clear" w:color="000000" w:fill="9DCE7E"/>
            <w:noWrap/>
            <w:vAlign w:val="bottom"/>
            <w:hideMark/>
          </w:tcPr>
          <w:p w14:paraId="2E1AF9D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1109" w:type="dxa"/>
            <w:tcBorders>
              <w:top w:val="single" w:sz="4" w:space="0" w:color="auto"/>
              <w:left w:val="single" w:sz="4" w:space="0" w:color="auto"/>
              <w:bottom w:val="single" w:sz="4" w:space="0" w:color="auto"/>
              <w:right w:val="single" w:sz="4" w:space="0" w:color="auto"/>
            </w:tcBorders>
            <w:shd w:val="clear" w:color="000000" w:fill="8CC97D"/>
            <w:noWrap/>
            <w:vAlign w:val="bottom"/>
            <w:hideMark/>
          </w:tcPr>
          <w:p w14:paraId="5BEF8B5D"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085" w:type="dxa"/>
            <w:tcBorders>
              <w:top w:val="single" w:sz="4" w:space="0" w:color="auto"/>
              <w:left w:val="single" w:sz="4" w:space="0" w:color="auto"/>
              <w:bottom w:val="single" w:sz="4" w:space="0" w:color="auto"/>
              <w:right w:val="single" w:sz="4" w:space="0" w:color="auto"/>
            </w:tcBorders>
            <w:shd w:val="clear" w:color="000000" w:fill="75C37C"/>
            <w:noWrap/>
            <w:vAlign w:val="bottom"/>
            <w:hideMark/>
          </w:tcPr>
          <w:p w14:paraId="0FC25BF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79C47C"/>
            <w:noWrap/>
            <w:vAlign w:val="bottom"/>
            <w:hideMark/>
          </w:tcPr>
          <w:p w14:paraId="2E4E926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r>
      <w:tr w:rsidR="00EC75DD" w:rsidRPr="00AE3CFB" w14:paraId="63F5A654"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1C7E7B0B"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Taxis</w:t>
            </w:r>
          </w:p>
        </w:tc>
        <w:tc>
          <w:tcPr>
            <w:tcW w:w="933" w:type="dxa"/>
            <w:tcBorders>
              <w:top w:val="single" w:sz="4" w:space="0" w:color="auto"/>
              <w:left w:val="single" w:sz="12" w:space="0" w:color="auto"/>
              <w:bottom w:val="single" w:sz="4" w:space="0" w:color="auto"/>
              <w:right w:val="single" w:sz="4" w:space="0" w:color="auto"/>
            </w:tcBorders>
            <w:shd w:val="clear" w:color="000000" w:fill="95CC7D"/>
            <w:noWrap/>
            <w:vAlign w:val="bottom"/>
            <w:hideMark/>
          </w:tcPr>
          <w:p w14:paraId="3B43068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8BC97D"/>
            <w:noWrap/>
            <w:vAlign w:val="bottom"/>
            <w:hideMark/>
          </w:tcPr>
          <w:p w14:paraId="155E1EFF"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90CB7D"/>
            <w:noWrap/>
            <w:vAlign w:val="bottom"/>
            <w:hideMark/>
          </w:tcPr>
          <w:p w14:paraId="56D7C7B8"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D7DF81"/>
            <w:noWrap/>
            <w:vAlign w:val="bottom"/>
            <w:hideMark/>
          </w:tcPr>
          <w:p w14:paraId="2F15C8B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0.6%</w:t>
            </w:r>
          </w:p>
        </w:tc>
        <w:tc>
          <w:tcPr>
            <w:tcW w:w="1109" w:type="dxa"/>
            <w:tcBorders>
              <w:top w:val="single" w:sz="4" w:space="0" w:color="auto"/>
              <w:left w:val="single" w:sz="4" w:space="0" w:color="auto"/>
              <w:bottom w:val="single" w:sz="4" w:space="0" w:color="auto"/>
              <w:right w:val="single" w:sz="4" w:space="0" w:color="auto"/>
            </w:tcBorders>
            <w:shd w:val="clear" w:color="000000" w:fill="79C47C"/>
            <w:noWrap/>
            <w:vAlign w:val="bottom"/>
            <w:hideMark/>
          </w:tcPr>
          <w:p w14:paraId="71C108E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085" w:type="dxa"/>
            <w:tcBorders>
              <w:top w:val="single" w:sz="4" w:space="0" w:color="auto"/>
              <w:left w:val="single" w:sz="4" w:space="0" w:color="auto"/>
              <w:bottom w:val="single" w:sz="4" w:space="0" w:color="auto"/>
              <w:right w:val="single" w:sz="4" w:space="0" w:color="auto"/>
            </w:tcBorders>
            <w:shd w:val="clear" w:color="000000" w:fill="B0D47F"/>
            <w:noWrap/>
            <w:vAlign w:val="bottom"/>
            <w:hideMark/>
          </w:tcPr>
          <w:p w14:paraId="157EDD76"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0.4%</w:t>
            </w:r>
          </w:p>
        </w:tc>
        <w:tc>
          <w:tcPr>
            <w:tcW w:w="1262" w:type="dxa"/>
            <w:tcBorders>
              <w:top w:val="single" w:sz="4" w:space="0" w:color="auto"/>
              <w:left w:val="single" w:sz="4" w:space="0" w:color="auto"/>
              <w:bottom w:val="single" w:sz="4" w:space="0" w:color="auto"/>
              <w:right w:val="single" w:sz="4" w:space="0" w:color="auto"/>
            </w:tcBorders>
            <w:shd w:val="clear" w:color="000000" w:fill="98CD7E"/>
            <w:noWrap/>
            <w:vAlign w:val="bottom"/>
            <w:hideMark/>
          </w:tcPr>
          <w:p w14:paraId="3F02A80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r>
      <w:tr w:rsidR="00EC75DD" w:rsidRPr="00AE3CFB" w14:paraId="5B797A75"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61FAD9C7"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Minor Rd + Cold Start</w:t>
            </w:r>
          </w:p>
        </w:tc>
        <w:tc>
          <w:tcPr>
            <w:tcW w:w="933" w:type="dxa"/>
            <w:tcBorders>
              <w:top w:val="single" w:sz="4" w:space="0" w:color="auto"/>
              <w:left w:val="single" w:sz="12" w:space="0" w:color="auto"/>
              <w:bottom w:val="single" w:sz="4" w:space="0" w:color="auto"/>
              <w:right w:val="single" w:sz="4" w:space="0" w:color="auto"/>
            </w:tcBorders>
            <w:shd w:val="clear" w:color="000000" w:fill="7FC67C"/>
            <w:noWrap/>
            <w:vAlign w:val="bottom"/>
            <w:hideMark/>
          </w:tcPr>
          <w:p w14:paraId="6F818B65"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14:paraId="57CD954E"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89C97D"/>
            <w:noWrap/>
            <w:vAlign w:val="bottom"/>
            <w:hideMark/>
          </w:tcPr>
          <w:p w14:paraId="04E5B5AB"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933" w:type="dxa"/>
            <w:tcBorders>
              <w:top w:val="single" w:sz="4" w:space="0" w:color="auto"/>
              <w:left w:val="single" w:sz="4" w:space="0" w:color="auto"/>
              <w:bottom w:val="single" w:sz="4" w:space="0" w:color="auto"/>
              <w:right w:val="single" w:sz="4" w:space="0" w:color="auto"/>
            </w:tcBorders>
            <w:shd w:val="clear" w:color="000000" w:fill="8AC97D"/>
            <w:noWrap/>
            <w:vAlign w:val="bottom"/>
            <w:hideMark/>
          </w:tcPr>
          <w:p w14:paraId="7B771CE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109" w:type="dxa"/>
            <w:tcBorders>
              <w:top w:val="single" w:sz="4" w:space="0" w:color="auto"/>
              <w:left w:val="single" w:sz="4" w:space="0" w:color="auto"/>
              <w:bottom w:val="single" w:sz="4" w:space="0" w:color="auto"/>
              <w:right w:val="single" w:sz="4" w:space="0" w:color="auto"/>
            </w:tcBorders>
            <w:shd w:val="clear" w:color="000000" w:fill="80C67C"/>
            <w:noWrap/>
            <w:vAlign w:val="bottom"/>
            <w:hideMark/>
          </w:tcPr>
          <w:p w14:paraId="239D14E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085" w:type="dxa"/>
            <w:tcBorders>
              <w:top w:val="single" w:sz="4" w:space="0" w:color="auto"/>
              <w:left w:val="single" w:sz="4" w:space="0" w:color="auto"/>
              <w:bottom w:val="single" w:sz="4" w:space="0" w:color="auto"/>
              <w:right w:val="single" w:sz="4" w:space="0" w:color="auto"/>
            </w:tcBorders>
            <w:shd w:val="clear" w:color="000000" w:fill="8FCA7D"/>
            <w:noWrap/>
            <w:vAlign w:val="bottom"/>
            <w:hideMark/>
          </w:tcPr>
          <w:p w14:paraId="5C3797F1"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262" w:type="dxa"/>
            <w:tcBorders>
              <w:top w:val="single" w:sz="4" w:space="0" w:color="auto"/>
              <w:left w:val="single" w:sz="4" w:space="0" w:color="auto"/>
              <w:bottom w:val="single" w:sz="4" w:space="0" w:color="auto"/>
              <w:right w:val="single" w:sz="4" w:space="0" w:color="auto"/>
            </w:tcBorders>
            <w:shd w:val="clear" w:color="000000" w:fill="88C87D"/>
            <w:noWrap/>
            <w:vAlign w:val="bottom"/>
            <w:hideMark/>
          </w:tcPr>
          <w:p w14:paraId="5BCCD0F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EC75DD" w:rsidRPr="00AE3CFB" w14:paraId="6DEAE6CF"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5E5BB577" w14:textId="77777777" w:rsidR="00AE3CFB" w:rsidRPr="00AE3CFB" w:rsidRDefault="00AE3CFB" w:rsidP="00AE3CFB">
            <w:pPr>
              <w:spacing w:before="0" w:after="0" w:line="240" w:lineRule="auto"/>
              <w:rPr>
                <w:rFonts w:cs="Arial"/>
                <w:color w:val="000000"/>
                <w:sz w:val="22"/>
                <w:szCs w:val="22"/>
                <w:lang w:eastAsia="en-GB"/>
              </w:rPr>
            </w:pPr>
            <w:r w:rsidRPr="00AE3CFB">
              <w:rPr>
                <w:rFonts w:cs="Arial"/>
                <w:color w:val="000000"/>
                <w:sz w:val="22"/>
                <w:szCs w:val="22"/>
                <w:lang w:eastAsia="en-GB"/>
              </w:rPr>
              <w:t>Industry</w:t>
            </w:r>
          </w:p>
        </w:tc>
        <w:tc>
          <w:tcPr>
            <w:tcW w:w="933" w:type="dxa"/>
            <w:tcBorders>
              <w:top w:val="single" w:sz="4" w:space="0" w:color="auto"/>
              <w:left w:val="single" w:sz="12" w:space="0" w:color="auto"/>
              <w:bottom w:val="single" w:sz="4" w:space="0" w:color="auto"/>
              <w:right w:val="single" w:sz="4" w:space="0" w:color="auto"/>
            </w:tcBorders>
            <w:shd w:val="clear" w:color="000000" w:fill="FFE784"/>
            <w:noWrap/>
            <w:vAlign w:val="bottom"/>
            <w:hideMark/>
          </w:tcPr>
          <w:p w14:paraId="7F4D83B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2.6%</w:t>
            </w:r>
          </w:p>
        </w:tc>
        <w:tc>
          <w:tcPr>
            <w:tcW w:w="933"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5BC2525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933" w:type="dxa"/>
            <w:tcBorders>
              <w:top w:val="single" w:sz="4" w:space="0" w:color="auto"/>
              <w:left w:val="single" w:sz="4" w:space="0" w:color="auto"/>
              <w:bottom w:val="single" w:sz="4" w:space="0" w:color="auto"/>
              <w:right w:val="single" w:sz="4" w:space="0" w:color="auto"/>
            </w:tcBorders>
            <w:shd w:val="clear" w:color="000000" w:fill="FFE684"/>
            <w:noWrap/>
            <w:vAlign w:val="bottom"/>
            <w:hideMark/>
          </w:tcPr>
          <w:p w14:paraId="48DD345C"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2.8%</w:t>
            </w:r>
          </w:p>
        </w:tc>
        <w:tc>
          <w:tcPr>
            <w:tcW w:w="933" w:type="dxa"/>
            <w:tcBorders>
              <w:top w:val="single" w:sz="4" w:space="0" w:color="auto"/>
              <w:left w:val="single" w:sz="4" w:space="0" w:color="auto"/>
              <w:bottom w:val="single" w:sz="4" w:space="0" w:color="auto"/>
              <w:right w:val="single" w:sz="4" w:space="0" w:color="auto"/>
            </w:tcBorders>
            <w:shd w:val="clear" w:color="000000" w:fill="FFE583"/>
            <w:noWrap/>
            <w:vAlign w:val="bottom"/>
            <w:hideMark/>
          </w:tcPr>
          <w:p w14:paraId="692E9113"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3.3%</w:t>
            </w:r>
          </w:p>
        </w:tc>
        <w:tc>
          <w:tcPr>
            <w:tcW w:w="1109"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3A807612"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2.4%</w:t>
            </w:r>
          </w:p>
        </w:tc>
        <w:tc>
          <w:tcPr>
            <w:tcW w:w="1085" w:type="dxa"/>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6D3E6727"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2.9%</w:t>
            </w:r>
          </w:p>
        </w:tc>
        <w:tc>
          <w:tcPr>
            <w:tcW w:w="1262" w:type="dxa"/>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0E084279" w14:textId="77777777" w:rsidR="00AE3CFB" w:rsidRPr="00AE3CFB" w:rsidRDefault="00AE3CFB" w:rsidP="00AE3CFB">
            <w:pPr>
              <w:spacing w:before="0" w:after="0" w:line="240" w:lineRule="auto"/>
              <w:jc w:val="right"/>
              <w:rPr>
                <w:rFonts w:cs="Arial"/>
                <w:color w:val="000000"/>
                <w:sz w:val="22"/>
                <w:szCs w:val="22"/>
                <w:lang w:eastAsia="en-GB"/>
              </w:rPr>
            </w:pPr>
            <w:r w:rsidRPr="00AE3CFB">
              <w:rPr>
                <w:rFonts w:cs="Arial"/>
                <w:color w:val="000000"/>
                <w:sz w:val="22"/>
                <w:szCs w:val="22"/>
                <w:lang w:eastAsia="en-GB"/>
              </w:rPr>
              <w:t>5.9%</w:t>
            </w:r>
          </w:p>
        </w:tc>
      </w:tr>
      <w:tr w:rsidR="009D41FE" w:rsidRPr="00AE3CFB" w14:paraId="313E5DD0"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67A57EA5" w14:textId="735A844E" w:rsidR="009D41FE" w:rsidRPr="00AE3CFB" w:rsidRDefault="009D41FE" w:rsidP="009D41FE">
            <w:pPr>
              <w:spacing w:before="0" w:after="0" w:line="240" w:lineRule="auto"/>
              <w:rPr>
                <w:rFonts w:cs="Arial"/>
                <w:color w:val="000000"/>
                <w:sz w:val="22"/>
                <w:szCs w:val="22"/>
                <w:lang w:eastAsia="en-GB"/>
              </w:rPr>
            </w:pPr>
            <w:r w:rsidRPr="00CD3166">
              <w:rPr>
                <w:rFonts w:cs="Arial"/>
                <w:color w:val="000000"/>
                <w:sz w:val="22"/>
                <w:szCs w:val="22"/>
                <w:lang w:eastAsia="en-GB"/>
              </w:rPr>
              <w:t>Domestic</w:t>
            </w:r>
          </w:p>
        </w:tc>
        <w:tc>
          <w:tcPr>
            <w:tcW w:w="933" w:type="dxa"/>
            <w:tcBorders>
              <w:top w:val="single" w:sz="4" w:space="0" w:color="auto"/>
              <w:left w:val="single" w:sz="12" w:space="0" w:color="auto"/>
              <w:bottom w:val="single" w:sz="4" w:space="0" w:color="auto"/>
              <w:right w:val="single" w:sz="4" w:space="0" w:color="auto"/>
            </w:tcBorders>
            <w:shd w:val="clear" w:color="000000" w:fill="FECE7F"/>
            <w:noWrap/>
            <w:vAlign w:val="bottom"/>
            <w:hideMark/>
          </w:tcPr>
          <w:p w14:paraId="52F86C10"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12.8%</w:t>
            </w:r>
          </w:p>
        </w:tc>
        <w:tc>
          <w:tcPr>
            <w:tcW w:w="933" w:type="dxa"/>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1F567FC6"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11.7%</w:t>
            </w:r>
          </w:p>
        </w:tc>
        <w:tc>
          <w:tcPr>
            <w:tcW w:w="933" w:type="dxa"/>
            <w:tcBorders>
              <w:top w:val="single" w:sz="4" w:space="0" w:color="auto"/>
              <w:left w:val="single" w:sz="4" w:space="0" w:color="auto"/>
              <w:bottom w:val="single" w:sz="4" w:space="0" w:color="auto"/>
              <w:right w:val="single" w:sz="4" w:space="0" w:color="auto"/>
            </w:tcBorders>
            <w:shd w:val="clear" w:color="000000" w:fill="FEC97E"/>
            <w:noWrap/>
            <w:vAlign w:val="bottom"/>
            <w:hideMark/>
          </w:tcPr>
          <w:p w14:paraId="5470A03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14.4%</w:t>
            </w:r>
          </w:p>
        </w:tc>
        <w:tc>
          <w:tcPr>
            <w:tcW w:w="933" w:type="dxa"/>
            <w:tcBorders>
              <w:top w:val="single" w:sz="4" w:space="0" w:color="auto"/>
              <w:left w:val="single" w:sz="4" w:space="0" w:color="auto"/>
              <w:bottom w:val="single" w:sz="4" w:space="0" w:color="auto"/>
              <w:right w:val="single" w:sz="4" w:space="0" w:color="auto"/>
            </w:tcBorders>
            <w:shd w:val="clear" w:color="000000" w:fill="FEC87E"/>
            <w:noWrap/>
            <w:vAlign w:val="bottom"/>
            <w:hideMark/>
          </w:tcPr>
          <w:p w14:paraId="7FBFADF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15.1%</w:t>
            </w:r>
          </w:p>
        </w:tc>
        <w:tc>
          <w:tcPr>
            <w:tcW w:w="1109" w:type="dxa"/>
            <w:tcBorders>
              <w:top w:val="single" w:sz="4" w:space="0" w:color="auto"/>
              <w:left w:val="single" w:sz="4" w:space="0" w:color="auto"/>
              <w:bottom w:val="single" w:sz="4" w:space="0" w:color="auto"/>
              <w:right w:val="single" w:sz="4" w:space="0" w:color="auto"/>
            </w:tcBorders>
            <w:shd w:val="clear" w:color="000000" w:fill="FED881"/>
            <w:noWrap/>
            <w:vAlign w:val="bottom"/>
            <w:hideMark/>
          </w:tcPr>
          <w:p w14:paraId="77825903"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8.4%</w:t>
            </w:r>
          </w:p>
        </w:tc>
        <w:tc>
          <w:tcPr>
            <w:tcW w:w="1085" w:type="dxa"/>
            <w:tcBorders>
              <w:top w:val="single" w:sz="4" w:space="0" w:color="auto"/>
              <w:left w:val="single" w:sz="4" w:space="0" w:color="auto"/>
              <w:bottom w:val="single" w:sz="4" w:space="0" w:color="auto"/>
              <w:right w:val="single" w:sz="4" w:space="0" w:color="auto"/>
            </w:tcBorders>
            <w:shd w:val="clear" w:color="000000" w:fill="FECA7E"/>
            <w:noWrap/>
            <w:vAlign w:val="bottom"/>
            <w:hideMark/>
          </w:tcPr>
          <w:p w14:paraId="5E9DB868"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14.3%</w:t>
            </w:r>
          </w:p>
        </w:tc>
        <w:tc>
          <w:tcPr>
            <w:tcW w:w="1262" w:type="dxa"/>
            <w:tcBorders>
              <w:top w:val="single" w:sz="4" w:space="0" w:color="auto"/>
              <w:left w:val="single" w:sz="4" w:space="0" w:color="auto"/>
              <w:bottom w:val="single" w:sz="4" w:space="0" w:color="auto"/>
              <w:right w:val="single" w:sz="4" w:space="0" w:color="auto"/>
            </w:tcBorders>
            <w:shd w:val="clear" w:color="000000" w:fill="FEC77E"/>
            <w:noWrap/>
            <w:vAlign w:val="bottom"/>
            <w:hideMark/>
          </w:tcPr>
          <w:p w14:paraId="63B85268"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15.3%</w:t>
            </w:r>
          </w:p>
        </w:tc>
      </w:tr>
      <w:tr w:rsidR="009D41FE" w:rsidRPr="00AE3CFB" w14:paraId="6B7EA915"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40A1BBF8" w14:textId="7D4964B0" w:rsidR="009D41FE" w:rsidRPr="00AE3CFB" w:rsidRDefault="009D41FE" w:rsidP="009D41FE">
            <w:pPr>
              <w:spacing w:before="0" w:after="0" w:line="240" w:lineRule="auto"/>
              <w:rPr>
                <w:rFonts w:cs="Arial"/>
                <w:color w:val="000000"/>
                <w:sz w:val="22"/>
                <w:szCs w:val="22"/>
                <w:lang w:eastAsia="en-GB"/>
              </w:rPr>
            </w:pPr>
            <w:r>
              <w:rPr>
                <w:rFonts w:cs="Arial"/>
                <w:color w:val="000000"/>
                <w:sz w:val="22"/>
                <w:szCs w:val="22"/>
                <w:lang w:eastAsia="en-GB"/>
              </w:rPr>
              <w:t>Rail</w:t>
            </w:r>
          </w:p>
        </w:tc>
        <w:tc>
          <w:tcPr>
            <w:tcW w:w="933" w:type="dxa"/>
            <w:tcBorders>
              <w:top w:val="single" w:sz="4" w:space="0" w:color="auto"/>
              <w:left w:val="single" w:sz="12" w:space="0" w:color="auto"/>
              <w:bottom w:val="single" w:sz="4" w:space="0" w:color="auto"/>
              <w:right w:val="single" w:sz="4" w:space="0" w:color="auto"/>
            </w:tcBorders>
            <w:shd w:val="clear" w:color="000000" w:fill="6FC17B"/>
            <w:noWrap/>
            <w:vAlign w:val="bottom"/>
            <w:hideMark/>
          </w:tcPr>
          <w:p w14:paraId="17B4F6E8"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6AC07B"/>
            <w:noWrap/>
            <w:vAlign w:val="bottom"/>
            <w:hideMark/>
          </w:tcPr>
          <w:p w14:paraId="1470E5A5"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933" w:type="dxa"/>
            <w:tcBorders>
              <w:top w:val="single" w:sz="4" w:space="0" w:color="auto"/>
              <w:left w:val="single" w:sz="4" w:space="0" w:color="auto"/>
              <w:bottom w:val="single" w:sz="4" w:space="0" w:color="auto"/>
              <w:right w:val="single" w:sz="4" w:space="0" w:color="auto"/>
            </w:tcBorders>
            <w:shd w:val="clear" w:color="000000" w:fill="98CD7E"/>
            <w:noWrap/>
            <w:vAlign w:val="bottom"/>
            <w:hideMark/>
          </w:tcPr>
          <w:p w14:paraId="4A26A9BB"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0.3%</w:t>
            </w:r>
          </w:p>
        </w:tc>
        <w:tc>
          <w:tcPr>
            <w:tcW w:w="933" w:type="dxa"/>
            <w:tcBorders>
              <w:top w:val="single" w:sz="4" w:space="0" w:color="auto"/>
              <w:left w:val="single" w:sz="4" w:space="0" w:color="auto"/>
              <w:bottom w:val="single" w:sz="4" w:space="0" w:color="auto"/>
              <w:right w:val="single" w:sz="4" w:space="0" w:color="auto"/>
            </w:tcBorders>
            <w:shd w:val="clear" w:color="000000" w:fill="84C77C"/>
            <w:noWrap/>
            <w:vAlign w:val="bottom"/>
            <w:hideMark/>
          </w:tcPr>
          <w:p w14:paraId="484A4D04"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c>
          <w:tcPr>
            <w:tcW w:w="1109" w:type="dxa"/>
            <w:tcBorders>
              <w:top w:val="single" w:sz="4" w:space="0" w:color="auto"/>
              <w:left w:val="single" w:sz="4" w:space="0" w:color="auto"/>
              <w:bottom w:val="single" w:sz="4" w:space="0" w:color="auto"/>
              <w:right w:val="single" w:sz="4" w:space="0" w:color="auto"/>
            </w:tcBorders>
            <w:shd w:val="clear" w:color="000000" w:fill="65BE7B"/>
            <w:noWrap/>
            <w:vAlign w:val="bottom"/>
            <w:hideMark/>
          </w:tcPr>
          <w:p w14:paraId="65796360"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0.0%</w:t>
            </w:r>
          </w:p>
        </w:tc>
        <w:tc>
          <w:tcPr>
            <w:tcW w:w="1085" w:type="dxa"/>
            <w:tcBorders>
              <w:top w:val="single" w:sz="4" w:space="0" w:color="auto"/>
              <w:left w:val="single" w:sz="4" w:space="0" w:color="auto"/>
              <w:bottom w:val="single" w:sz="4" w:space="0" w:color="auto"/>
              <w:right w:val="single" w:sz="4" w:space="0" w:color="auto"/>
            </w:tcBorders>
            <w:shd w:val="clear" w:color="000000" w:fill="72C27B"/>
            <w:noWrap/>
            <w:vAlign w:val="bottom"/>
            <w:hideMark/>
          </w:tcPr>
          <w:p w14:paraId="7CE63A4E"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0.1%</w:t>
            </w:r>
          </w:p>
        </w:tc>
        <w:tc>
          <w:tcPr>
            <w:tcW w:w="1262" w:type="dxa"/>
            <w:tcBorders>
              <w:top w:val="single" w:sz="4" w:space="0" w:color="auto"/>
              <w:left w:val="single" w:sz="4" w:space="0" w:color="auto"/>
              <w:bottom w:val="single" w:sz="4" w:space="0" w:color="auto"/>
              <w:right w:val="single" w:sz="4" w:space="0" w:color="auto"/>
            </w:tcBorders>
            <w:shd w:val="clear" w:color="000000" w:fill="85C77C"/>
            <w:noWrap/>
            <w:vAlign w:val="bottom"/>
            <w:hideMark/>
          </w:tcPr>
          <w:p w14:paraId="2757B9C6"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0.2%</w:t>
            </w:r>
          </w:p>
        </w:tc>
      </w:tr>
      <w:tr w:rsidR="009D41FE" w:rsidRPr="00AE3CFB" w14:paraId="63AF18AB"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752987C2" w14:textId="7ADCD1C5" w:rsidR="009D41FE" w:rsidRPr="00AE3CFB" w:rsidRDefault="009D41FE" w:rsidP="009D41FE">
            <w:pPr>
              <w:spacing w:before="0" w:after="0" w:line="240" w:lineRule="auto"/>
              <w:rPr>
                <w:rFonts w:cs="Arial"/>
                <w:color w:val="000000"/>
                <w:sz w:val="22"/>
                <w:szCs w:val="22"/>
                <w:lang w:eastAsia="en-GB"/>
              </w:rPr>
            </w:pPr>
            <w:r>
              <w:rPr>
                <w:rFonts w:cs="Arial"/>
                <w:color w:val="000000"/>
                <w:sz w:val="22"/>
                <w:szCs w:val="22"/>
                <w:lang w:eastAsia="en-GB"/>
              </w:rPr>
              <w:t>Other</w:t>
            </w:r>
          </w:p>
        </w:tc>
        <w:tc>
          <w:tcPr>
            <w:tcW w:w="933" w:type="dxa"/>
            <w:tcBorders>
              <w:top w:val="single" w:sz="4" w:space="0" w:color="auto"/>
              <w:left w:val="single" w:sz="12" w:space="0" w:color="auto"/>
              <w:bottom w:val="single" w:sz="4" w:space="0" w:color="auto"/>
              <w:right w:val="single" w:sz="4" w:space="0" w:color="auto"/>
            </w:tcBorders>
            <w:shd w:val="clear" w:color="000000" w:fill="FFEA84"/>
            <w:noWrap/>
            <w:vAlign w:val="bottom"/>
            <w:hideMark/>
          </w:tcPr>
          <w:p w14:paraId="554A0481"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1.3%</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39B996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1.1%</w:t>
            </w:r>
          </w:p>
        </w:tc>
        <w:tc>
          <w:tcPr>
            <w:tcW w:w="933"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53593519"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1.6%</w:t>
            </w:r>
          </w:p>
        </w:tc>
        <w:tc>
          <w:tcPr>
            <w:tcW w:w="933"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2056E5C3"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1.5%</w:t>
            </w:r>
          </w:p>
        </w:tc>
        <w:tc>
          <w:tcPr>
            <w:tcW w:w="1109"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40B92FF9"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2.3%</w:t>
            </w:r>
          </w:p>
        </w:tc>
        <w:tc>
          <w:tcPr>
            <w:tcW w:w="1085"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1B723DE6"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1.4%</w:t>
            </w:r>
          </w:p>
        </w:tc>
        <w:tc>
          <w:tcPr>
            <w:tcW w:w="1262"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08BD5D40"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1.7%</w:t>
            </w:r>
          </w:p>
        </w:tc>
      </w:tr>
      <w:tr w:rsidR="009D41FE" w:rsidRPr="00AE3CFB" w14:paraId="1B7A1DE0"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4F524FB5" w14:textId="34053863" w:rsidR="009D41FE" w:rsidRPr="00AE3CFB" w:rsidRDefault="009D41FE" w:rsidP="009D41FE">
            <w:pPr>
              <w:spacing w:before="0" w:after="0" w:line="240" w:lineRule="auto"/>
              <w:rPr>
                <w:rFonts w:cs="Arial"/>
                <w:color w:val="000000"/>
                <w:sz w:val="22"/>
                <w:szCs w:val="22"/>
                <w:lang w:eastAsia="en-GB"/>
              </w:rPr>
            </w:pPr>
            <w:r>
              <w:rPr>
                <w:rFonts w:cs="Arial"/>
                <w:color w:val="000000"/>
                <w:sz w:val="22"/>
                <w:szCs w:val="22"/>
                <w:lang w:eastAsia="en-GB"/>
              </w:rPr>
              <w:t>PM Secondary</w:t>
            </w:r>
          </w:p>
        </w:tc>
        <w:tc>
          <w:tcPr>
            <w:tcW w:w="933" w:type="dxa"/>
            <w:tcBorders>
              <w:top w:val="single" w:sz="4" w:space="0" w:color="auto"/>
              <w:left w:val="single" w:sz="12" w:space="0" w:color="auto"/>
              <w:bottom w:val="single" w:sz="4" w:space="0" w:color="auto"/>
              <w:right w:val="single" w:sz="4" w:space="0" w:color="auto"/>
            </w:tcBorders>
            <w:shd w:val="clear" w:color="000000" w:fill="F97C6F"/>
            <w:noWrap/>
            <w:vAlign w:val="bottom"/>
            <w:hideMark/>
          </w:tcPr>
          <w:p w14:paraId="23C8A8B3"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45.5%</w:t>
            </w:r>
          </w:p>
        </w:tc>
        <w:tc>
          <w:tcPr>
            <w:tcW w:w="933" w:type="dxa"/>
            <w:tcBorders>
              <w:top w:val="single" w:sz="4" w:space="0" w:color="auto"/>
              <w:left w:val="single" w:sz="4" w:space="0" w:color="auto"/>
              <w:bottom w:val="single" w:sz="4" w:space="0" w:color="auto"/>
              <w:right w:val="single" w:sz="4" w:space="0" w:color="auto"/>
            </w:tcBorders>
            <w:shd w:val="clear" w:color="000000" w:fill="F9736D"/>
            <w:noWrap/>
            <w:vAlign w:val="bottom"/>
            <w:hideMark/>
          </w:tcPr>
          <w:p w14:paraId="63FC9B9D"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48.9%</w:t>
            </w:r>
          </w:p>
        </w:tc>
        <w:tc>
          <w:tcPr>
            <w:tcW w:w="933" w:type="dxa"/>
            <w:tcBorders>
              <w:top w:val="single" w:sz="4" w:space="0" w:color="auto"/>
              <w:left w:val="single" w:sz="4" w:space="0" w:color="auto"/>
              <w:bottom w:val="single" w:sz="4" w:space="0" w:color="auto"/>
              <w:right w:val="single" w:sz="4" w:space="0" w:color="auto"/>
            </w:tcBorders>
            <w:shd w:val="clear" w:color="000000" w:fill="F9706D"/>
            <w:noWrap/>
            <w:vAlign w:val="bottom"/>
            <w:hideMark/>
          </w:tcPr>
          <w:p w14:paraId="6CEAC5E7"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50.1%</w:t>
            </w:r>
          </w:p>
        </w:tc>
        <w:tc>
          <w:tcPr>
            <w:tcW w:w="933" w:type="dxa"/>
            <w:tcBorders>
              <w:top w:val="single" w:sz="4" w:space="0" w:color="auto"/>
              <w:left w:val="single" w:sz="4" w:space="0" w:color="auto"/>
              <w:bottom w:val="single" w:sz="4" w:space="0" w:color="auto"/>
              <w:right w:val="single" w:sz="4" w:space="0" w:color="auto"/>
            </w:tcBorders>
            <w:shd w:val="clear" w:color="000000" w:fill="F9746E"/>
            <w:noWrap/>
            <w:vAlign w:val="bottom"/>
            <w:hideMark/>
          </w:tcPr>
          <w:p w14:paraId="05B71007"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48.5%</w:t>
            </w:r>
          </w:p>
        </w:tc>
        <w:tc>
          <w:tcPr>
            <w:tcW w:w="11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AEE9F9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52.9%</w:t>
            </w:r>
          </w:p>
        </w:tc>
        <w:tc>
          <w:tcPr>
            <w:tcW w:w="1085" w:type="dxa"/>
            <w:tcBorders>
              <w:top w:val="single" w:sz="4" w:space="0" w:color="auto"/>
              <w:left w:val="single" w:sz="4" w:space="0" w:color="auto"/>
              <w:bottom w:val="single" w:sz="4" w:space="0" w:color="auto"/>
              <w:right w:val="single" w:sz="4" w:space="0" w:color="auto"/>
            </w:tcBorders>
            <w:shd w:val="clear" w:color="000000" w:fill="F9766E"/>
            <w:noWrap/>
            <w:vAlign w:val="bottom"/>
            <w:hideMark/>
          </w:tcPr>
          <w:p w14:paraId="0F6DC697"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47.9%</w:t>
            </w:r>
          </w:p>
        </w:tc>
        <w:tc>
          <w:tcPr>
            <w:tcW w:w="1262" w:type="dxa"/>
            <w:tcBorders>
              <w:top w:val="single" w:sz="4" w:space="0" w:color="auto"/>
              <w:left w:val="single" w:sz="4" w:space="0" w:color="auto"/>
              <w:bottom w:val="single" w:sz="4" w:space="0" w:color="auto"/>
              <w:right w:val="single" w:sz="4" w:space="0" w:color="auto"/>
            </w:tcBorders>
            <w:shd w:val="clear" w:color="000000" w:fill="F9756E"/>
            <w:noWrap/>
            <w:vAlign w:val="bottom"/>
            <w:hideMark/>
          </w:tcPr>
          <w:p w14:paraId="01685B10"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48.2%</w:t>
            </w:r>
          </w:p>
        </w:tc>
      </w:tr>
      <w:tr w:rsidR="009D41FE" w:rsidRPr="00AE3CFB" w14:paraId="1961BA6C"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36D8E288" w14:textId="0BE44D28" w:rsidR="009D41FE" w:rsidRPr="00AE3CFB" w:rsidRDefault="009D41FE" w:rsidP="009D41FE">
            <w:pPr>
              <w:spacing w:before="0" w:after="0" w:line="240" w:lineRule="auto"/>
              <w:rPr>
                <w:rFonts w:cs="Arial"/>
                <w:color w:val="000000"/>
                <w:sz w:val="22"/>
                <w:szCs w:val="22"/>
                <w:lang w:eastAsia="en-GB"/>
              </w:rPr>
            </w:pPr>
            <w:r>
              <w:rPr>
                <w:rFonts w:cs="Arial"/>
                <w:color w:val="000000"/>
                <w:sz w:val="22"/>
                <w:szCs w:val="22"/>
                <w:lang w:eastAsia="en-GB"/>
              </w:rPr>
              <w:t>Residual</w:t>
            </w:r>
          </w:p>
        </w:tc>
        <w:tc>
          <w:tcPr>
            <w:tcW w:w="933" w:type="dxa"/>
            <w:tcBorders>
              <w:top w:val="single" w:sz="4" w:space="0" w:color="auto"/>
              <w:left w:val="single" w:sz="12" w:space="0" w:color="auto"/>
              <w:bottom w:val="single" w:sz="4" w:space="0" w:color="auto"/>
              <w:right w:val="single" w:sz="4" w:space="0" w:color="auto"/>
            </w:tcBorders>
            <w:shd w:val="clear" w:color="000000" w:fill="FCB279"/>
            <w:noWrap/>
            <w:vAlign w:val="bottom"/>
            <w:hideMark/>
          </w:tcPr>
          <w:p w14:paraId="39775DAD"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23.7%</w:t>
            </w:r>
          </w:p>
        </w:tc>
        <w:tc>
          <w:tcPr>
            <w:tcW w:w="933" w:type="dxa"/>
            <w:tcBorders>
              <w:top w:val="single" w:sz="4" w:space="0" w:color="auto"/>
              <w:left w:val="single" w:sz="4" w:space="0" w:color="auto"/>
              <w:bottom w:val="single" w:sz="4" w:space="0" w:color="auto"/>
              <w:right w:val="single" w:sz="4" w:space="0" w:color="auto"/>
            </w:tcBorders>
            <w:shd w:val="clear" w:color="000000" w:fill="FCAE79"/>
            <w:noWrap/>
            <w:vAlign w:val="bottom"/>
            <w:hideMark/>
          </w:tcPr>
          <w:p w14:paraId="335184F9"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25.5%</w:t>
            </w:r>
          </w:p>
        </w:tc>
        <w:tc>
          <w:tcPr>
            <w:tcW w:w="933" w:type="dxa"/>
            <w:tcBorders>
              <w:top w:val="single" w:sz="4" w:space="0" w:color="auto"/>
              <w:left w:val="single" w:sz="4" w:space="0" w:color="auto"/>
              <w:bottom w:val="single" w:sz="4" w:space="0" w:color="auto"/>
              <w:right w:val="single" w:sz="4" w:space="0" w:color="auto"/>
            </w:tcBorders>
            <w:shd w:val="clear" w:color="000000" w:fill="FDB87B"/>
            <w:noWrap/>
            <w:vAlign w:val="bottom"/>
            <w:hideMark/>
          </w:tcPr>
          <w:p w14:paraId="5967171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21.5%</w:t>
            </w:r>
          </w:p>
        </w:tc>
        <w:tc>
          <w:tcPr>
            <w:tcW w:w="933" w:type="dxa"/>
            <w:tcBorders>
              <w:top w:val="single" w:sz="4" w:space="0" w:color="auto"/>
              <w:left w:val="single" w:sz="4" w:space="0" w:color="auto"/>
              <w:bottom w:val="single" w:sz="4" w:space="0" w:color="auto"/>
              <w:right w:val="single" w:sz="4" w:space="0" w:color="auto"/>
            </w:tcBorders>
            <w:shd w:val="clear" w:color="000000" w:fill="FDBA7B"/>
            <w:noWrap/>
            <w:vAlign w:val="bottom"/>
            <w:hideMark/>
          </w:tcPr>
          <w:p w14:paraId="62EE27B2"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20.4%</w:t>
            </w:r>
          </w:p>
        </w:tc>
        <w:tc>
          <w:tcPr>
            <w:tcW w:w="1109" w:type="dxa"/>
            <w:tcBorders>
              <w:top w:val="single" w:sz="4" w:space="0" w:color="auto"/>
              <w:left w:val="single" w:sz="4" w:space="0" w:color="auto"/>
              <w:bottom w:val="single" w:sz="4" w:space="0" w:color="auto"/>
              <w:right w:val="single" w:sz="4" w:space="0" w:color="auto"/>
            </w:tcBorders>
            <w:shd w:val="clear" w:color="000000" w:fill="FCA978"/>
            <w:noWrap/>
            <w:vAlign w:val="bottom"/>
            <w:hideMark/>
          </w:tcPr>
          <w:p w14:paraId="6575BD0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27.6%</w:t>
            </w:r>
          </w:p>
        </w:tc>
        <w:tc>
          <w:tcPr>
            <w:tcW w:w="1085" w:type="dxa"/>
            <w:tcBorders>
              <w:top w:val="single" w:sz="4" w:space="0" w:color="auto"/>
              <w:left w:val="single" w:sz="4" w:space="0" w:color="auto"/>
              <w:bottom w:val="single" w:sz="4" w:space="0" w:color="auto"/>
              <w:right w:val="single" w:sz="4" w:space="0" w:color="auto"/>
            </w:tcBorders>
            <w:shd w:val="clear" w:color="000000" w:fill="FCAF79"/>
            <w:noWrap/>
            <w:vAlign w:val="bottom"/>
            <w:hideMark/>
          </w:tcPr>
          <w:p w14:paraId="70E21F9E"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24.9%</w:t>
            </w:r>
          </w:p>
        </w:tc>
        <w:tc>
          <w:tcPr>
            <w:tcW w:w="1262" w:type="dxa"/>
            <w:tcBorders>
              <w:top w:val="single" w:sz="4" w:space="0" w:color="auto"/>
              <w:left w:val="single" w:sz="4" w:space="0" w:color="auto"/>
              <w:bottom w:val="single" w:sz="4" w:space="0" w:color="auto"/>
              <w:right w:val="single" w:sz="4" w:space="0" w:color="auto"/>
            </w:tcBorders>
            <w:shd w:val="clear" w:color="000000" w:fill="FDB97B"/>
            <w:noWrap/>
            <w:vAlign w:val="bottom"/>
            <w:hideMark/>
          </w:tcPr>
          <w:p w14:paraId="2DE3DB53"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21.2%</w:t>
            </w:r>
          </w:p>
        </w:tc>
      </w:tr>
      <w:tr w:rsidR="009D41FE" w:rsidRPr="00AE3CFB" w14:paraId="24D836BC" w14:textId="77777777" w:rsidTr="00EC75DD">
        <w:trPr>
          <w:trHeight w:val="290"/>
        </w:trPr>
        <w:tc>
          <w:tcPr>
            <w:tcW w:w="208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55398EB6" w14:textId="0DBC1922" w:rsidR="009D41FE" w:rsidRPr="00AE3CFB" w:rsidRDefault="009D41FE" w:rsidP="009D41FE">
            <w:pPr>
              <w:spacing w:before="0" w:after="0" w:line="240" w:lineRule="auto"/>
              <w:rPr>
                <w:rFonts w:cs="Arial"/>
                <w:color w:val="000000"/>
                <w:sz w:val="22"/>
                <w:szCs w:val="22"/>
                <w:lang w:eastAsia="en-GB"/>
              </w:rPr>
            </w:pPr>
            <w:r>
              <w:rPr>
                <w:rFonts w:cs="Arial"/>
                <w:color w:val="000000"/>
                <w:sz w:val="22"/>
                <w:szCs w:val="22"/>
                <w:lang w:eastAsia="en-GB"/>
              </w:rPr>
              <w:t>Point sources</w:t>
            </w:r>
          </w:p>
        </w:tc>
        <w:tc>
          <w:tcPr>
            <w:tcW w:w="933" w:type="dxa"/>
            <w:tcBorders>
              <w:top w:val="single" w:sz="4" w:space="0" w:color="auto"/>
              <w:left w:val="single" w:sz="12" w:space="0" w:color="auto"/>
              <w:bottom w:val="single" w:sz="4" w:space="0" w:color="auto"/>
              <w:right w:val="single" w:sz="4" w:space="0" w:color="auto"/>
            </w:tcBorders>
            <w:shd w:val="clear" w:color="000000" w:fill="E7E482"/>
            <w:noWrap/>
            <w:vAlign w:val="bottom"/>
            <w:hideMark/>
          </w:tcPr>
          <w:p w14:paraId="1C24AEEA"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0.7%</w:t>
            </w:r>
          </w:p>
        </w:tc>
        <w:tc>
          <w:tcPr>
            <w:tcW w:w="933" w:type="dxa"/>
            <w:tcBorders>
              <w:top w:val="single" w:sz="4" w:space="0" w:color="auto"/>
              <w:left w:val="single" w:sz="4" w:space="0" w:color="auto"/>
              <w:bottom w:val="single" w:sz="4" w:space="0" w:color="auto"/>
              <w:right w:val="single" w:sz="4" w:space="0" w:color="auto"/>
            </w:tcBorders>
            <w:shd w:val="clear" w:color="000000" w:fill="FCEA83"/>
            <w:noWrap/>
            <w:vAlign w:val="bottom"/>
            <w:hideMark/>
          </w:tcPr>
          <w:p w14:paraId="465715D5"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933"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5ED6985"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c>
          <w:tcPr>
            <w:tcW w:w="933" w:type="dxa"/>
            <w:tcBorders>
              <w:top w:val="single" w:sz="4" w:space="0" w:color="auto"/>
              <w:left w:val="single" w:sz="4" w:space="0" w:color="auto"/>
              <w:bottom w:val="single" w:sz="4" w:space="0" w:color="auto"/>
              <w:right w:val="single" w:sz="4" w:space="0" w:color="auto"/>
            </w:tcBorders>
            <w:shd w:val="clear" w:color="000000" w:fill="DFE182"/>
            <w:noWrap/>
            <w:vAlign w:val="bottom"/>
            <w:hideMark/>
          </w:tcPr>
          <w:p w14:paraId="4FF5BE53"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0.6%</w:t>
            </w:r>
          </w:p>
        </w:tc>
        <w:tc>
          <w:tcPr>
            <w:tcW w:w="1109"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21935A09"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1.9%</w:t>
            </w:r>
          </w:p>
        </w:tc>
        <w:tc>
          <w:tcPr>
            <w:tcW w:w="1085" w:type="dxa"/>
            <w:tcBorders>
              <w:top w:val="single" w:sz="4" w:space="0" w:color="auto"/>
              <w:left w:val="single" w:sz="4" w:space="0" w:color="auto"/>
              <w:bottom w:val="single" w:sz="4" w:space="0" w:color="auto"/>
              <w:right w:val="single" w:sz="4" w:space="0" w:color="auto"/>
            </w:tcBorders>
            <w:shd w:val="clear" w:color="000000" w:fill="E6E382"/>
            <w:noWrap/>
            <w:vAlign w:val="bottom"/>
            <w:hideMark/>
          </w:tcPr>
          <w:p w14:paraId="2CF1C39E"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0.7%</w:t>
            </w:r>
          </w:p>
        </w:tc>
        <w:tc>
          <w:tcPr>
            <w:tcW w:w="1262"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1EA4EA7" w14:textId="77777777" w:rsidR="009D41FE" w:rsidRPr="00AE3CFB" w:rsidRDefault="009D41FE" w:rsidP="009D41FE">
            <w:pPr>
              <w:spacing w:before="0" w:after="0" w:line="240" w:lineRule="auto"/>
              <w:jc w:val="right"/>
              <w:rPr>
                <w:rFonts w:cs="Arial"/>
                <w:color w:val="000000"/>
                <w:sz w:val="22"/>
                <w:szCs w:val="22"/>
                <w:lang w:eastAsia="en-GB"/>
              </w:rPr>
            </w:pPr>
            <w:r w:rsidRPr="00AE3CFB">
              <w:rPr>
                <w:rFonts w:cs="Arial"/>
                <w:color w:val="000000"/>
                <w:sz w:val="22"/>
                <w:szCs w:val="22"/>
                <w:lang w:eastAsia="en-GB"/>
              </w:rPr>
              <w:t>0.8%</w:t>
            </w:r>
          </w:p>
        </w:tc>
      </w:tr>
    </w:tbl>
    <w:p w14:paraId="028A7A98" w14:textId="77777777" w:rsidR="00B775AF" w:rsidRDefault="00B775AF" w:rsidP="00B775AF">
      <w:pPr>
        <w:rPr>
          <w:color w:val="FF0000"/>
        </w:rPr>
      </w:pPr>
    </w:p>
    <w:p w14:paraId="717B4C19" w14:textId="3AE79D29" w:rsidR="00A16B7D" w:rsidRDefault="00A16B7D" w:rsidP="0046508E">
      <w:bookmarkStart w:id="110" w:name="_Hlk159879910"/>
      <w:r>
        <w:t>As such, the Slough AQAP appropriately includes measures focusing on non-road emissions to reduce PM</w:t>
      </w:r>
      <w:r w:rsidRPr="00C15592">
        <w:rPr>
          <w:vertAlign w:val="subscript"/>
        </w:rPr>
        <w:t>10</w:t>
      </w:r>
      <w:r>
        <w:t xml:space="preserve"> and PM</w:t>
      </w:r>
      <w:r w:rsidRPr="00C15592">
        <w:rPr>
          <w:vertAlign w:val="subscript"/>
        </w:rPr>
        <w:t>2.5</w:t>
      </w:r>
      <w:r>
        <w:t xml:space="preserve"> concentrations. </w:t>
      </w:r>
      <w:bookmarkEnd w:id="110"/>
    </w:p>
    <w:p w14:paraId="04CB71F0" w14:textId="58963C14" w:rsidR="00C51F09" w:rsidRPr="002B4B5B" w:rsidRDefault="00DC1213" w:rsidP="0025036F">
      <w:pPr>
        <w:pStyle w:val="Heading2"/>
        <w:numPr>
          <w:ilvl w:val="1"/>
          <w:numId w:val="72"/>
        </w:numPr>
      </w:pPr>
      <w:bookmarkStart w:id="111" w:name="_Toc88485999"/>
      <w:bookmarkStart w:id="112" w:name="_Toc160129569"/>
      <w:r>
        <w:lastRenderedPageBreak/>
        <w:t>R</w:t>
      </w:r>
      <w:r w:rsidR="00C51F09" w:rsidRPr="002B4B5B">
        <w:t>equired Reduction in Emissions</w:t>
      </w:r>
      <w:bookmarkEnd w:id="111"/>
      <w:bookmarkEnd w:id="112"/>
    </w:p>
    <w:p w14:paraId="14B79737" w14:textId="77777777" w:rsidR="00A16B7D" w:rsidRDefault="00A16B7D" w:rsidP="0025036F">
      <w:pPr>
        <w:pStyle w:val="Heading3"/>
        <w:numPr>
          <w:ilvl w:val="2"/>
          <w:numId w:val="72"/>
        </w:numPr>
      </w:pPr>
      <w:bookmarkStart w:id="113" w:name="_Toc159264899"/>
      <w:bookmarkStart w:id="114" w:name="_Toc160129570"/>
      <w:bookmarkStart w:id="115" w:name="_Toc88486000"/>
      <w:r>
        <w:t>NOx and NO</w:t>
      </w:r>
      <w:r w:rsidRPr="00C15592">
        <w:rPr>
          <w:vertAlign w:val="subscript"/>
        </w:rPr>
        <w:t>2</w:t>
      </w:r>
      <w:bookmarkEnd w:id="113"/>
      <w:bookmarkEnd w:id="114"/>
    </w:p>
    <w:p w14:paraId="6230D692" w14:textId="3359FF77" w:rsidR="00A16B7D" w:rsidRDefault="00A16B7D" w:rsidP="00A16B7D">
      <w:bookmarkStart w:id="116" w:name="_Hlk159880710"/>
      <w:r w:rsidRPr="0010168D">
        <w:t>From 2022 monitoring data, it was identified that one location in Slough (SLO 29, AQMA 4) exceeded the national NO</w:t>
      </w:r>
      <w:r w:rsidRPr="0010168D">
        <w:rPr>
          <w:vertAlign w:val="subscript"/>
        </w:rPr>
        <w:t>2</w:t>
      </w:r>
      <w:r w:rsidRPr="0010168D">
        <w:t xml:space="preserve"> objective of 40 µg/m</w:t>
      </w:r>
      <w:r w:rsidRPr="0010168D">
        <w:rPr>
          <w:vertAlign w:val="superscript"/>
        </w:rPr>
        <w:t>3</w:t>
      </w:r>
      <w:r w:rsidRPr="0010168D">
        <w:t xml:space="preserve"> (44.2 µg/m</w:t>
      </w:r>
      <w:r w:rsidRPr="0010168D">
        <w:rPr>
          <w:vertAlign w:val="superscript"/>
        </w:rPr>
        <w:t>3</w:t>
      </w:r>
      <w:r w:rsidRPr="0010168D">
        <w:t xml:space="preserve">). The site is located at Yew Tree Road, where a large contribution </w:t>
      </w:r>
      <w:r>
        <w:t>to</w:t>
      </w:r>
      <w:r w:rsidRPr="0010168D">
        <w:t xml:space="preserve"> air pollution</w:t>
      </w:r>
      <w:r>
        <w:t xml:space="preserve"> is attributed to congestion leading up to the </w:t>
      </w:r>
      <w:r w:rsidR="00843021">
        <w:t>A4 / A</w:t>
      </w:r>
      <w:r w:rsidR="00E34B3D">
        <w:t>412</w:t>
      </w:r>
      <w:r w:rsidR="00843021">
        <w:t xml:space="preserve"> junction. </w:t>
      </w:r>
    </w:p>
    <w:p w14:paraId="06A484B8" w14:textId="42208455" w:rsidR="00A16B7D" w:rsidRDefault="00A16B7D" w:rsidP="00A16B7D">
      <w:r>
        <w:t xml:space="preserve">As shown in Appendix </w:t>
      </w:r>
      <w:r w:rsidR="00E34B3D">
        <w:t>D</w:t>
      </w:r>
      <w:r>
        <w:t xml:space="preserve">, the largest </w:t>
      </w:r>
      <w:r w:rsidRPr="0010168D">
        <w:t xml:space="preserve">contributor </w:t>
      </w:r>
      <w:r>
        <w:t>to</w:t>
      </w:r>
      <w:r w:rsidRPr="0010168D">
        <w:t xml:space="preserve"> NO</w:t>
      </w:r>
      <w:r>
        <w:t>x</w:t>
      </w:r>
      <w:r w:rsidRPr="0010168D">
        <w:t xml:space="preserve"> </w:t>
      </w:r>
      <w:r>
        <w:t>emissions at</w:t>
      </w:r>
      <w:r w:rsidRPr="0010168D">
        <w:t xml:space="preserve"> SLO 29 was diesel cars, </w:t>
      </w:r>
      <w:r>
        <w:t xml:space="preserve">responsible for </w:t>
      </w:r>
      <w:r w:rsidRPr="0010168D">
        <w:t xml:space="preserve">28.6% of </w:t>
      </w:r>
      <w:r>
        <w:t xml:space="preserve">total </w:t>
      </w:r>
      <w:r w:rsidRPr="0010168D">
        <w:t>emissions.</w:t>
      </w:r>
      <w:r>
        <w:t xml:space="preserve"> </w:t>
      </w:r>
    </w:p>
    <w:p w14:paraId="70844CF9" w14:textId="6DC40ABC" w:rsidR="00A16B7D" w:rsidRDefault="00A16B7D" w:rsidP="00A16B7D">
      <w:r>
        <w:t>Table 3</w:t>
      </w:r>
      <w:r w:rsidR="00DE1CD0">
        <w:t>.</w:t>
      </w:r>
      <w:r w:rsidR="00DC1213">
        <w:t>6</w:t>
      </w:r>
      <w:r>
        <w:t xml:space="preserve"> shows the required NOx reduction from road traffic in order to achieve compliance with the national annual mean NO</w:t>
      </w:r>
      <w:r w:rsidRPr="00E24CDC">
        <w:rPr>
          <w:vertAlign w:val="subscript"/>
        </w:rPr>
        <w:t>2</w:t>
      </w:r>
      <w:r>
        <w:t xml:space="preserve"> objective (</w:t>
      </w:r>
      <w:r w:rsidRPr="0010168D">
        <w:t xml:space="preserve">40 </w:t>
      </w:r>
      <w:r>
        <w:t>µg/m</w:t>
      </w:r>
      <w:r w:rsidRPr="00B32308">
        <w:rPr>
          <w:vertAlign w:val="superscript"/>
        </w:rPr>
        <w:t>3</w:t>
      </w:r>
      <w:r>
        <w:t xml:space="preserve">) at SLO 29. </w:t>
      </w:r>
      <w:r w:rsidRPr="005A747B">
        <w:rPr>
          <w:rFonts w:cs="Arial"/>
          <w:bCs/>
          <w:lang w:eastAsia="en-GB"/>
        </w:rPr>
        <w:t xml:space="preserve">This has been calculated in accordance with Section 7.115 – 7.117 </w:t>
      </w:r>
      <w:r w:rsidRPr="00C1231C">
        <w:t>(and Box 7.6) of the LAQM Technical Guidance</w:t>
      </w:r>
      <w:r>
        <w:t xml:space="preserve"> </w:t>
      </w:r>
      <w:r w:rsidRPr="00C1231C">
        <w:t>(TG</w:t>
      </w:r>
      <w:r>
        <w:t>22</w:t>
      </w:r>
      <w:r w:rsidRPr="00C1231C">
        <w:t>).</w:t>
      </w:r>
    </w:p>
    <w:p w14:paraId="1E89ED43" w14:textId="4CE53D99" w:rsidR="00A16B7D" w:rsidRPr="00800AE6" w:rsidRDefault="00A16B7D" w:rsidP="00A16B7D">
      <w:pPr>
        <w:pStyle w:val="Caption"/>
        <w:rPr>
          <w:sz w:val="22"/>
          <w:szCs w:val="18"/>
        </w:rPr>
      </w:pPr>
      <w:bookmarkStart w:id="117" w:name="_Ref132893705"/>
      <w:bookmarkStart w:id="118" w:name="_Toc149045735"/>
      <w:bookmarkStart w:id="119" w:name="_Toc159264937"/>
      <w:bookmarkStart w:id="120" w:name="_Toc160123579"/>
      <w:bookmarkStart w:id="121" w:name="_Toc160123795"/>
      <w:bookmarkEnd w:id="116"/>
      <w:r>
        <w:rPr>
          <w:sz w:val="22"/>
          <w:szCs w:val="18"/>
        </w:rPr>
        <w:t>T</w:t>
      </w:r>
      <w:r w:rsidRPr="00240C65">
        <w:rPr>
          <w:sz w:val="22"/>
          <w:szCs w:val="18"/>
        </w:rPr>
        <w:t xml:space="preserve">able </w:t>
      </w:r>
      <w:r>
        <w:rPr>
          <w:sz w:val="22"/>
          <w:szCs w:val="18"/>
        </w:rPr>
        <w:fldChar w:fldCharType="begin"/>
      </w:r>
      <w:r>
        <w:rPr>
          <w:sz w:val="22"/>
          <w:szCs w:val="18"/>
        </w:rPr>
        <w:instrText xml:space="preserve"> STYLEREF 1 \s </w:instrText>
      </w:r>
      <w:r>
        <w:rPr>
          <w:sz w:val="22"/>
          <w:szCs w:val="18"/>
        </w:rPr>
        <w:fldChar w:fldCharType="separate"/>
      </w:r>
      <w:r>
        <w:rPr>
          <w:noProof/>
          <w:sz w:val="22"/>
          <w:szCs w:val="18"/>
        </w:rPr>
        <w:t>3</w:t>
      </w:r>
      <w:r>
        <w:rPr>
          <w:sz w:val="22"/>
          <w:szCs w:val="18"/>
        </w:rPr>
        <w:fldChar w:fldCharType="end"/>
      </w:r>
      <w:bookmarkEnd w:id="117"/>
      <w:r w:rsidR="00DC1213">
        <w:rPr>
          <w:sz w:val="22"/>
          <w:szCs w:val="18"/>
        </w:rPr>
        <w:t>.6</w:t>
      </w:r>
      <w:r w:rsidRPr="00240C65">
        <w:rPr>
          <w:sz w:val="22"/>
          <w:szCs w:val="18"/>
        </w:rPr>
        <w:t xml:space="preserve">: </w:t>
      </w:r>
      <w:r>
        <w:rPr>
          <w:sz w:val="22"/>
          <w:szCs w:val="18"/>
        </w:rPr>
        <w:t>R</w:t>
      </w:r>
      <w:r w:rsidRPr="00240C65">
        <w:rPr>
          <w:sz w:val="22"/>
          <w:szCs w:val="18"/>
        </w:rPr>
        <w:t xml:space="preserve">equired reduction in NOx emissions from road traffic to achieve compliance at </w:t>
      </w:r>
      <w:r>
        <w:rPr>
          <w:sz w:val="22"/>
          <w:szCs w:val="18"/>
        </w:rPr>
        <w:t>monitoring</w:t>
      </w:r>
      <w:r w:rsidRPr="00240C65">
        <w:rPr>
          <w:sz w:val="22"/>
          <w:szCs w:val="18"/>
        </w:rPr>
        <w:t xml:space="preserve"> sites</w:t>
      </w:r>
      <w:r>
        <w:rPr>
          <w:sz w:val="22"/>
          <w:szCs w:val="18"/>
        </w:rPr>
        <w:t xml:space="preserve"> in exceedance (based on 2022 measured data)</w:t>
      </w:r>
      <w:bookmarkEnd w:id="118"/>
      <w:bookmarkEnd w:id="119"/>
      <w:bookmarkEnd w:id="120"/>
      <w:bookmarkEnd w:id="121"/>
    </w:p>
    <w:tbl>
      <w:tblPr>
        <w:tblStyle w:val="LAQMReporting"/>
        <w:tblW w:w="9209" w:type="dxa"/>
        <w:tblLayout w:type="fixed"/>
        <w:tblLook w:val="04A0" w:firstRow="1" w:lastRow="0" w:firstColumn="1" w:lastColumn="0" w:noHBand="0" w:noVBand="1"/>
      </w:tblPr>
      <w:tblGrid>
        <w:gridCol w:w="562"/>
        <w:gridCol w:w="993"/>
        <w:gridCol w:w="1275"/>
        <w:gridCol w:w="1276"/>
        <w:gridCol w:w="1134"/>
        <w:gridCol w:w="992"/>
        <w:gridCol w:w="993"/>
        <w:gridCol w:w="992"/>
        <w:gridCol w:w="992"/>
      </w:tblGrid>
      <w:tr w:rsidR="00063148" w14:paraId="54D2C541" w14:textId="77777777" w:rsidTr="000631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C5FE01C" w14:textId="77777777" w:rsidR="00063148" w:rsidRPr="00800AE6" w:rsidRDefault="00063148" w:rsidP="00063148">
            <w:pPr>
              <w:spacing w:before="0" w:after="0"/>
              <w:rPr>
                <w:sz w:val="16"/>
                <w:szCs w:val="16"/>
              </w:rPr>
            </w:pPr>
            <w:r w:rsidRPr="00800AE6">
              <w:rPr>
                <w:sz w:val="16"/>
                <w:szCs w:val="16"/>
              </w:rPr>
              <w:t>Site ID</w:t>
            </w:r>
          </w:p>
        </w:tc>
        <w:tc>
          <w:tcPr>
            <w:tcW w:w="993" w:type="dxa"/>
          </w:tcPr>
          <w:p w14:paraId="7462E89D"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vertAlign w:val="subscript"/>
              </w:rPr>
            </w:pPr>
            <w:r w:rsidRPr="00800AE6">
              <w:rPr>
                <w:sz w:val="16"/>
                <w:szCs w:val="16"/>
              </w:rPr>
              <w:t>Measured NO</w:t>
            </w:r>
            <w:r w:rsidRPr="00800AE6">
              <w:rPr>
                <w:sz w:val="16"/>
                <w:szCs w:val="16"/>
                <w:vertAlign w:val="subscript"/>
              </w:rPr>
              <w:t>2</w:t>
            </w:r>
          </w:p>
          <w:p w14:paraId="7525518F" w14:textId="4EE7543A" w:rsidR="00063148" w:rsidRP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1275" w:type="dxa"/>
          </w:tcPr>
          <w:p w14:paraId="427A87BD"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800AE6">
              <w:rPr>
                <w:sz w:val="16"/>
                <w:szCs w:val="16"/>
              </w:rPr>
              <w:t>Required NO</w:t>
            </w:r>
            <w:r w:rsidRPr="00800AE6">
              <w:rPr>
                <w:sz w:val="16"/>
                <w:szCs w:val="16"/>
                <w:vertAlign w:val="subscript"/>
              </w:rPr>
              <w:t>2</w:t>
            </w:r>
            <w:r w:rsidRPr="00800AE6">
              <w:rPr>
                <w:sz w:val="16"/>
                <w:szCs w:val="16"/>
              </w:rPr>
              <w:t xml:space="preserve"> reduction</w:t>
            </w:r>
          </w:p>
          <w:p w14:paraId="0BA91DCB" w14:textId="71B626B6"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1276" w:type="dxa"/>
          </w:tcPr>
          <w:p w14:paraId="0FC2F905"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800AE6">
              <w:rPr>
                <w:sz w:val="16"/>
                <w:szCs w:val="16"/>
              </w:rPr>
              <w:t>Required NO</w:t>
            </w:r>
            <w:r w:rsidRPr="00800AE6">
              <w:rPr>
                <w:sz w:val="16"/>
                <w:szCs w:val="16"/>
                <w:vertAlign w:val="subscript"/>
              </w:rPr>
              <w:t>2</w:t>
            </w:r>
            <w:r w:rsidRPr="00800AE6">
              <w:rPr>
                <w:sz w:val="16"/>
                <w:szCs w:val="16"/>
              </w:rPr>
              <w:t xml:space="preserve"> reduction</w:t>
            </w:r>
          </w:p>
          <w:p w14:paraId="33B6CE6A" w14:textId="12B94951"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t>
            </w:r>
          </w:p>
        </w:tc>
        <w:tc>
          <w:tcPr>
            <w:tcW w:w="1134" w:type="dxa"/>
          </w:tcPr>
          <w:p w14:paraId="186C9DB0"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800AE6">
              <w:rPr>
                <w:sz w:val="16"/>
                <w:szCs w:val="16"/>
              </w:rPr>
              <w:t>Background NOx</w:t>
            </w:r>
          </w:p>
          <w:p w14:paraId="07198EE7" w14:textId="19EA257B"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992" w:type="dxa"/>
          </w:tcPr>
          <w:p w14:paraId="69FD2ADE"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vertAlign w:val="subscript"/>
              </w:rPr>
            </w:pPr>
            <w:r w:rsidRPr="00800AE6">
              <w:rPr>
                <w:sz w:val="16"/>
                <w:szCs w:val="16"/>
              </w:rPr>
              <w:t>Road NO</w:t>
            </w:r>
            <w:r w:rsidRPr="00800AE6">
              <w:rPr>
                <w:sz w:val="16"/>
                <w:szCs w:val="16"/>
                <w:vertAlign w:val="subscript"/>
              </w:rPr>
              <w:t>X</w:t>
            </w:r>
          </w:p>
          <w:p w14:paraId="7A8BF7F3" w14:textId="30628235"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993" w:type="dxa"/>
          </w:tcPr>
          <w:p w14:paraId="3A57BAD1"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vertAlign w:val="subscript"/>
              </w:rPr>
            </w:pPr>
            <w:r w:rsidRPr="00800AE6">
              <w:rPr>
                <w:sz w:val="16"/>
                <w:szCs w:val="16"/>
              </w:rPr>
              <w:t>Required road NO</w:t>
            </w:r>
            <w:r w:rsidRPr="00800AE6">
              <w:rPr>
                <w:sz w:val="16"/>
                <w:szCs w:val="16"/>
                <w:vertAlign w:val="subscript"/>
              </w:rPr>
              <w:t>X</w:t>
            </w:r>
          </w:p>
          <w:p w14:paraId="66B422C8" w14:textId="52A6C149"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992" w:type="dxa"/>
          </w:tcPr>
          <w:p w14:paraId="7D02B09F"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800AE6">
              <w:rPr>
                <w:sz w:val="16"/>
                <w:szCs w:val="16"/>
              </w:rPr>
              <w:t>Required Road NO</w:t>
            </w:r>
            <w:r w:rsidRPr="00800AE6">
              <w:rPr>
                <w:sz w:val="16"/>
                <w:szCs w:val="16"/>
                <w:vertAlign w:val="subscript"/>
              </w:rPr>
              <w:t>X</w:t>
            </w:r>
            <w:r w:rsidRPr="00800AE6">
              <w:rPr>
                <w:sz w:val="16"/>
                <w:szCs w:val="16"/>
              </w:rPr>
              <w:t xml:space="preserve"> reduction</w:t>
            </w:r>
          </w:p>
          <w:p w14:paraId="0BD208FB" w14:textId="6B3EC9F5"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Pr>
                <w:color w:val="FFFFFF" w:themeColor="background1"/>
                <w:sz w:val="16"/>
                <w:szCs w:val="16"/>
              </w:rPr>
              <w:t>(</w:t>
            </w:r>
            <w:r w:rsidRPr="00800AE6">
              <w:rPr>
                <w:color w:val="FFFFFF" w:themeColor="background1"/>
                <w:sz w:val="16"/>
                <w:szCs w:val="16"/>
              </w:rPr>
              <w:t>µg/m</w:t>
            </w:r>
            <w:r w:rsidRPr="00800AE6">
              <w:rPr>
                <w:color w:val="FFFFFF" w:themeColor="background1"/>
                <w:sz w:val="16"/>
                <w:szCs w:val="16"/>
                <w:vertAlign w:val="superscript"/>
              </w:rPr>
              <w:t>3</w:t>
            </w:r>
            <w:r>
              <w:rPr>
                <w:color w:val="FFFFFF" w:themeColor="background1"/>
                <w:sz w:val="16"/>
                <w:szCs w:val="16"/>
              </w:rPr>
              <w:t>)</w:t>
            </w:r>
          </w:p>
        </w:tc>
        <w:tc>
          <w:tcPr>
            <w:tcW w:w="992" w:type="dxa"/>
          </w:tcPr>
          <w:p w14:paraId="5F16BC01" w14:textId="77777777" w:rsidR="00063148"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800AE6">
              <w:rPr>
                <w:sz w:val="16"/>
                <w:szCs w:val="16"/>
              </w:rPr>
              <w:t>Required Road NO</w:t>
            </w:r>
            <w:r w:rsidRPr="00800AE6">
              <w:rPr>
                <w:sz w:val="16"/>
                <w:szCs w:val="16"/>
                <w:vertAlign w:val="subscript"/>
              </w:rPr>
              <w:t>X</w:t>
            </w:r>
            <w:r w:rsidRPr="00800AE6">
              <w:rPr>
                <w:sz w:val="16"/>
                <w:szCs w:val="16"/>
              </w:rPr>
              <w:t xml:space="preserve"> reduction</w:t>
            </w:r>
          </w:p>
          <w:p w14:paraId="27A73617" w14:textId="5124D4C2" w:rsidR="00063148" w:rsidRPr="00800AE6" w:rsidRDefault="00063148" w:rsidP="00063148">
            <w:pPr>
              <w:spacing w:before="0" w:after="0"/>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t>
            </w:r>
          </w:p>
        </w:tc>
      </w:tr>
      <w:tr w:rsidR="00063148" w14:paraId="6BDCF096" w14:textId="77777777" w:rsidTr="00063148">
        <w:trPr>
          <w:trHeight w:val="573"/>
        </w:trPr>
        <w:tc>
          <w:tcPr>
            <w:cnfStyle w:val="001000000000" w:firstRow="0" w:lastRow="0" w:firstColumn="1" w:lastColumn="0" w:oddVBand="0" w:evenVBand="0" w:oddHBand="0" w:evenHBand="0" w:firstRowFirstColumn="0" w:firstRowLastColumn="0" w:lastRowFirstColumn="0" w:lastRowLastColumn="0"/>
            <w:tcW w:w="562" w:type="dxa"/>
          </w:tcPr>
          <w:p w14:paraId="601E7FFA" w14:textId="77777777" w:rsidR="00A16B7D" w:rsidRPr="00800AE6" w:rsidRDefault="00A16B7D" w:rsidP="007B10BD">
            <w:pPr>
              <w:rPr>
                <w:sz w:val="16"/>
                <w:szCs w:val="16"/>
              </w:rPr>
            </w:pPr>
            <w:r>
              <w:rPr>
                <w:sz w:val="16"/>
                <w:szCs w:val="16"/>
              </w:rPr>
              <w:t>SLO29</w:t>
            </w:r>
          </w:p>
        </w:tc>
        <w:tc>
          <w:tcPr>
            <w:tcW w:w="993" w:type="dxa"/>
          </w:tcPr>
          <w:p w14:paraId="0D207ED4"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44.2</w:t>
            </w:r>
          </w:p>
        </w:tc>
        <w:tc>
          <w:tcPr>
            <w:tcW w:w="1275" w:type="dxa"/>
          </w:tcPr>
          <w:p w14:paraId="32AE38CC"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w:t>
            </w:r>
          </w:p>
        </w:tc>
        <w:tc>
          <w:tcPr>
            <w:tcW w:w="1276" w:type="dxa"/>
          </w:tcPr>
          <w:p w14:paraId="60C5C346"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9.5</w:t>
            </w:r>
          </w:p>
        </w:tc>
        <w:tc>
          <w:tcPr>
            <w:tcW w:w="1134" w:type="dxa"/>
          </w:tcPr>
          <w:p w14:paraId="1DE1341E"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22.72</w:t>
            </w:r>
          </w:p>
        </w:tc>
        <w:tc>
          <w:tcPr>
            <w:tcW w:w="992" w:type="dxa"/>
          </w:tcPr>
          <w:p w14:paraId="639914A6"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57.55</w:t>
            </w:r>
          </w:p>
        </w:tc>
        <w:tc>
          <w:tcPr>
            <w:tcW w:w="993" w:type="dxa"/>
          </w:tcPr>
          <w:p w14:paraId="02BA1587"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47.66</w:t>
            </w:r>
          </w:p>
        </w:tc>
        <w:tc>
          <w:tcPr>
            <w:tcW w:w="992" w:type="dxa"/>
          </w:tcPr>
          <w:p w14:paraId="37D87AC4"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9.89</w:t>
            </w:r>
          </w:p>
        </w:tc>
        <w:tc>
          <w:tcPr>
            <w:tcW w:w="992" w:type="dxa"/>
          </w:tcPr>
          <w:p w14:paraId="06EA76D1" w14:textId="77777777" w:rsidR="00A16B7D" w:rsidRPr="00800AE6" w:rsidRDefault="00A16B7D" w:rsidP="007B10BD">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17.2</w:t>
            </w:r>
          </w:p>
        </w:tc>
      </w:tr>
    </w:tbl>
    <w:p w14:paraId="1606A155" w14:textId="77777777" w:rsidR="00A16B7D" w:rsidRDefault="00A16B7D" w:rsidP="00A16B7D"/>
    <w:p w14:paraId="1767F0A7" w14:textId="77777777" w:rsidR="00A16B7D" w:rsidRDefault="00A16B7D" w:rsidP="0025036F">
      <w:pPr>
        <w:pStyle w:val="Heading3"/>
        <w:numPr>
          <w:ilvl w:val="2"/>
          <w:numId w:val="72"/>
        </w:numPr>
      </w:pPr>
      <w:bookmarkStart w:id="122" w:name="_Toc159264900"/>
      <w:bookmarkStart w:id="123" w:name="_Toc160129571"/>
      <w:r>
        <w:t>PM</w:t>
      </w:r>
      <w:r w:rsidRPr="00800AE6">
        <w:rPr>
          <w:vertAlign w:val="subscript"/>
        </w:rPr>
        <w:t>10</w:t>
      </w:r>
      <w:r>
        <w:t xml:space="preserve"> and PM</w:t>
      </w:r>
      <w:r w:rsidRPr="00800AE6">
        <w:rPr>
          <w:vertAlign w:val="subscript"/>
        </w:rPr>
        <w:t>2.5</w:t>
      </w:r>
      <w:bookmarkEnd w:id="122"/>
      <w:bookmarkEnd w:id="123"/>
    </w:p>
    <w:p w14:paraId="0988080B" w14:textId="777053BD" w:rsidR="00A16B7D" w:rsidRPr="00CA756A" w:rsidRDefault="00A16B7D" w:rsidP="00A16B7D">
      <w:r>
        <w:t xml:space="preserve">Slough </w:t>
      </w:r>
      <w:r w:rsidR="00971DD0">
        <w:t>collects data from</w:t>
      </w:r>
      <w:r>
        <w:t xml:space="preserve"> nine automatic monitoring sites measuring PM</w:t>
      </w:r>
      <w:r w:rsidRPr="000A637F">
        <w:rPr>
          <w:vertAlign w:val="subscript"/>
        </w:rPr>
        <w:t>10</w:t>
      </w:r>
      <w:r>
        <w:t xml:space="preserve"> and three monitoring PM</w:t>
      </w:r>
      <w:r w:rsidRPr="000A637F">
        <w:rPr>
          <w:vertAlign w:val="subscript"/>
        </w:rPr>
        <w:t>2.5</w:t>
      </w:r>
      <w:r>
        <w:t>. In 2022, roadside monitoring sites measured PM</w:t>
      </w:r>
      <w:r w:rsidRPr="00E24CDC">
        <w:rPr>
          <w:vertAlign w:val="subscript"/>
        </w:rPr>
        <w:t>10</w:t>
      </w:r>
      <w:r>
        <w:t xml:space="preserve"> between 19.8µg/m</w:t>
      </w:r>
      <w:r w:rsidRPr="00CA756A">
        <w:rPr>
          <w:vertAlign w:val="superscript"/>
        </w:rPr>
        <w:t>3</w:t>
      </w:r>
      <w:r>
        <w:rPr>
          <w:vertAlign w:val="superscript"/>
        </w:rPr>
        <w:t xml:space="preserve"> </w:t>
      </w:r>
      <w:r>
        <w:t>(SLH 12) and 23.1µg/m</w:t>
      </w:r>
      <w:r w:rsidRPr="00CA756A">
        <w:rPr>
          <w:vertAlign w:val="superscript"/>
        </w:rPr>
        <w:t>3</w:t>
      </w:r>
      <w:r>
        <w:rPr>
          <w:vertAlign w:val="superscript"/>
        </w:rPr>
        <w:t xml:space="preserve"> </w:t>
      </w:r>
      <w:r>
        <w:t>(SLH 11). There are no roadside sites in Slough measuring PM</w:t>
      </w:r>
      <w:r w:rsidRPr="00E24CDC">
        <w:rPr>
          <w:vertAlign w:val="subscript"/>
        </w:rPr>
        <w:t>2.5</w:t>
      </w:r>
      <w:r>
        <w:t>; however, the industrial site SLH 9 measured an annual mean concentration of 7.6 µg/m</w:t>
      </w:r>
      <w:r w:rsidRPr="00CA756A">
        <w:rPr>
          <w:vertAlign w:val="superscript"/>
        </w:rPr>
        <w:t>3</w:t>
      </w:r>
      <w:r>
        <w:t xml:space="preserve"> in 2022.</w:t>
      </w:r>
    </w:p>
    <w:p w14:paraId="42A94B83" w14:textId="319C60DF" w:rsidR="00A16B7D" w:rsidRDefault="00A16B7D" w:rsidP="00A16B7D">
      <w:bookmarkStart w:id="124" w:name="_Hlk159880868"/>
      <w:r>
        <w:t xml:space="preserve">Dispersion modelling from the baseline study (Appendix </w:t>
      </w:r>
      <w:r w:rsidR="00E34B3D">
        <w:t>D</w:t>
      </w:r>
      <w:r>
        <w:t>) shows that PM</w:t>
      </w:r>
      <w:r w:rsidRPr="000A637F">
        <w:rPr>
          <w:vertAlign w:val="subscript"/>
        </w:rPr>
        <w:t>10</w:t>
      </w:r>
      <w:r>
        <w:t xml:space="preserve"> and PM</w:t>
      </w:r>
      <w:r w:rsidRPr="000A637F">
        <w:rPr>
          <w:vertAlign w:val="subscript"/>
        </w:rPr>
        <w:t>2.5</w:t>
      </w:r>
      <w:r>
        <w:t xml:space="preserve"> concentrations across the borough were well below the national air quality objectives.</w:t>
      </w:r>
    </w:p>
    <w:p w14:paraId="73C2BF4C" w14:textId="481768F7" w:rsidR="00A16B7D" w:rsidRDefault="00A16B7D" w:rsidP="00A16B7D">
      <w:bookmarkStart w:id="125" w:name="_Hlk159880907"/>
      <w:bookmarkEnd w:id="124"/>
      <w:r>
        <w:lastRenderedPageBreak/>
        <w:t>The highest modelled PM</w:t>
      </w:r>
      <w:r w:rsidRPr="000A637F">
        <w:rPr>
          <w:vertAlign w:val="subscript"/>
        </w:rPr>
        <w:t>10</w:t>
      </w:r>
      <w:r>
        <w:t xml:space="preserve"> concentration in 2022, using a global adjustment factor, was 19.58 µg/m</w:t>
      </w:r>
      <w:r w:rsidRPr="0010168D">
        <w:rPr>
          <w:vertAlign w:val="superscript"/>
        </w:rPr>
        <w:t>3</w:t>
      </w:r>
      <w:r>
        <w:t xml:space="preserve"> (SLO 93, SLO 94, SLO 95), and for PM</w:t>
      </w:r>
      <w:r w:rsidRPr="00800AE6">
        <w:rPr>
          <w:vertAlign w:val="subscript"/>
        </w:rPr>
        <w:t>2.5</w:t>
      </w:r>
      <w:r>
        <w:t xml:space="preserve"> the highest concentration was 12.21 µg/m</w:t>
      </w:r>
      <w:r w:rsidRPr="0010168D">
        <w:rPr>
          <w:vertAlign w:val="superscript"/>
        </w:rPr>
        <w:t>3</w:t>
      </w:r>
      <w:r>
        <w:t xml:space="preserve"> (SLO 52). As such, there are no required reductions in particulate matter emissions in order to comply with air quality objectives. </w:t>
      </w:r>
      <w:r w:rsidR="00DD060F">
        <w:t>However, due to the severity of health impacts associated with particulate matter exposure, Slough Borough Council aims to reduce emissions of these pollutants for the benefit of improving the health of Slough’s residents.</w:t>
      </w:r>
    </w:p>
    <w:p w14:paraId="790DD3E0" w14:textId="77777777" w:rsidR="00C51F09" w:rsidRDefault="00C51F09" w:rsidP="0025036F">
      <w:pPr>
        <w:pStyle w:val="Heading2"/>
        <w:numPr>
          <w:ilvl w:val="1"/>
          <w:numId w:val="72"/>
        </w:numPr>
      </w:pPr>
      <w:bookmarkStart w:id="126" w:name="_Toc160129572"/>
      <w:bookmarkEnd w:id="125"/>
      <w:r w:rsidRPr="002B4B5B">
        <w:t>Key Priorities</w:t>
      </w:r>
      <w:bookmarkEnd w:id="115"/>
      <w:bookmarkEnd w:id="126"/>
    </w:p>
    <w:p w14:paraId="67876362" w14:textId="649B83C2" w:rsidR="00F2098A" w:rsidRDefault="008B771E" w:rsidP="00104975">
      <w:bookmarkStart w:id="127" w:name="_Hlk159877133"/>
      <w:r>
        <w:t>Through the implementation of the AQAP, Slough Borough Council</w:t>
      </w:r>
      <w:r w:rsidR="00F2098A">
        <w:t xml:space="preserve"> </w:t>
      </w:r>
      <w:r w:rsidR="00F06F77">
        <w:t>seek</w:t>
      </w:r>
      <w:r w:rsidR="00F2098A">
        <w:t xml:space="preserve"> to </w:t>
      </w:r>
      <w:r w:rsidR="00F06F77">
        <w:t>achieve two</w:t>
      </w:r>
      <w:r w:rsidR="00F2098A">
        <w:t xml:space="preserve"> key </w:t>
      </w:r>
      <w:r w:rsidR="00F06F77">
        <w:t>aims</w:t>
      </w:r>
      <w:r w:rsidR="00F2098A">
        <w:t>:</w:t>
      </w:r>
    </w:p>
    <w:p w14:paraId="05E14BD3" w14:textId="1470A81F" w:rsidR="007C3D36" w:rsidRDefault="007C3D36" w:rsidP="00EB191B">
      <w:pPr>
        <w:pStyle w:val="ListParagraph"/>
        <w:numPr>
          <w:ilvl w:val="0"/>
          <w:numId w:val="16"/>
        </w:numPr>
        <w:ind w:left="357" w:hanging="357"/>
      </w:pPr>
      <w:r>
        <w:t>Achieve a boroughwide NO</w:t>
      </w:r>
      <w:r w:rsidRPr="00F2098A">
        <w:rPr>
          <w:vertAlign w:val="subscript"/>
        </w:rPr>
        <w:t>2</w:t>
      </w:r>
      <w:r>
        <w:t xml:space="preserve"> target concentration of &lt;35</w:t>
      </w:r>
      <w:r w:rsidR="007B7676">
        <w:rPr>
          <w:rFonts w:cs="Arial"/>
          <w:color w:val="0B0C0C"/>
        </w:rPr>
        <w:t>µ</w:t>
      </w:r>
      <w:r>
        <w:t>g/m</w:t>
      </w:r>
      <w:r w:rsidRPr="007D5CC7">
        <w:rPr>
          <w:vertAlign w:val="superscript"/>
        </w:rPr>
        <w:t>3</w:t>
      </w:r>
      <w:r>
        <w:t xml:space="preserve"> by 2028</w:t>
      </w:r>
    </w:p>
    <w:p w14:paraId="1F8F7D45" w14:textId="690A61AD" w:rsidR="00F2098A" w:rsidRDefault="00F2098A" w:rsidP="00EB191B">
      <w:pPr>
        <w:pStyle w:val="ListParagraph"/>
        <w:numPr>
          <w:ilvl w:val="0"/>
          <w:numId w:val="16"/>
        </w:numPr>
        <w:spacing w:before="0" w:after="0"/>
        <w:ind w:left="357" w:hanging="357"/>
      </w:pPr>
      <w:r>
        <w:t>R</w:t>
      </w:r>
      <w:r w:rsidR="00104975">
        <w:t>evo</w:t>
      </w:r>
      <w:r w:rsidR="00893953">
        <w:t>ke</w:t>
      </w:r>
      <w:r>
        <w:t xml:space="preserve"> </w:t>
      </w:r>
      <w:r w:rsidR="00104975">
        <w:t>all</w:t>
      </w:r>
      <w:r w:rsidR="00843021">
        <w:t xml:space="preserve"> of</w:t>
      </w:r>
      <w:r w:rsidR="00104975">
        <w:t xml:space="preserve"> </w:t>
      </w:r>
      <w:r>
        <w:t xml:space="preserve">Slough Borough Council’s declared </w:t>
      </w:r>
      <w:r w:rsidR="00104975">
        <w:t>AQMAs by 2030</w:t>
      </w:r>
    </w:p>
    <w:p w14:paraId="33C91542" w14:textId="4FBD48C1" w:rsidR="00104975" w:rsidRPr="00104975" w:rsidRDefault="00104975" w:rsidP="00104975">
      <w:r>
        <w:t>Th</w:t>
      </w:r>
      <w:r w:rsidR="00F2098A">
        <w:t>ese</w:t>
      </w:r>
      <w:r>
        <w:t xml:space="preserve"> </w:t>
      </w:r>
      <w:r w:rsidR="00F06F77">
        <w:t>aims</w:t>
      </w:r>
      <w:r w:rsidR="00F2098A">
        <w:t xml:space="preserve"> </w:t>
      </w:r>
      <w:r>
        <w:t>will be achieved by focusing on the following priority areas</w:t>
      </w:r>
      <w:r w:rsidR="00F06F77">
        <w:t xml:space="preserve"> and objectives</w:t>
      </w:r>
      <w:r>
        <w:t>:</w:t>
      </w:r>
      <w:bookmarkEnd w:id="127"/>
      <w:r>
        <w:t xml:space="preserve"> </w:t>
      </w:r>
    </w:p>
    <w:p w14:paraId="13210CE9" w14:textId="71D6BBEF" w:rsidR="00C51F09" w:rsidRPr="00893953" w:rsidRDefault="00F06F77" w:rsidP="00F06F77">
      <w:pPr>
        <w:rPr>
          <w:rFonts w:cs="Arial"/>
          <w:u w:val="single"/>
        </w:rPr>
      </w:pPr>
      <w:r w:rsidRPr="00893953">
        <w:rPr>
          <w:rFonts w:cs="Arial"/>
          <w:b/>
          <w:bCs/>
          <w:u w:val="single"/>
        </w:rPr>
        <w:t>Priority 1 - Environment</w:t>
      </w:r>
      <w:r w:rsidRPr="00893953">
        <w:rPr>
          <w:rFonts w:cs="Arial"/>
          <w:u w:val="single"/>
        </w:rPr>
        <w:t>: e</w:t>
      </w:r>
      <w:r w:rsidR="00B70220" w:rsidRPr="00893953">
        <w:rPr>
          <w:rFonts w:cs="Arial"/>
          <w:u w:val="single"/>
        </w:rPr>
        <w:t xml:space="preserve">mission management and </w:t>
      </w:r>
      <w:r w:rsidRPr="00893953">
        <w:rPr>
          <w:rFonts w:cs="Arial"/>
          <w:u w:val="single"/>
        </w:rPr>
        <w:t>emission source reduction:</w:t>
      </w:r>
    </w:p>
    <w:p w14:paraId="0D78E57E" w14:textId="3838F16D" w:rsidR="00F06F77" w:rsidRPr="00F06F77" w:rsidRDefault="00572712" w:rsidP="00F06F77">
      <w:pPr>
        <w:rPr>
          <w:rFonts w:cs="Arial"/>
        </w:rPr>
      </w:pPr>
      <w:r>
        <w:rPr>
          <w:rFonts w:cs="Arial"/>
        </w:rPr>
        <w:t>EO</w:t>
      </w:r>
      <w:r w:rsidR="00F06F77" w:rsidRPr="00F06F77">
        <w:rPr>
          <w:rFonts w:cs="Arial"/>
        </w:rPr>
        <w:t>-1: Undertake statutory duties to monitor, review and manage air quality</w:t>
      </w:r>
      <w:r w:rsidR="00843021">
        <w:rPr>
          <w:rFonts w:cs="Arial"/>
        </w:rPr>
        <w:t>.</w:t>
      </w:r>
    </w:p>
    <w:p w14:paraId="7208DB3A" w14:textId="7B92A5A8" w:rsidR="00F06F77" w:rsidRPr="00F06F77" w:rsidRDefault="00F06F77" w:rsidP="00893953">
      <w:pPr>
        <w:ind w:left="709" w:hanging="709"/>
        <w:rPr>
          <w:rFonts w:cs="Arial"/>
        </w:rPr>
      </w:pPr>
      <w:r w:rsidRPr="00F06F77">
        <w:rPr>
          <w:rFonts w:cs="Arial"/>
        </w:rPr>
        <w:t xml:space="preserve">EO-2: Ensure that air quality is a key consideration in all planning applications and support the Council's clean air ambitions </w:t>
      </w:r>
      <w:r w:rsidR="00843021">
        <w:rPr>
          <w:rFonts w:cs="Arial"/>
        </w:rPr>
        <w:t xml:space="preserve">at new developments. </w:t>
      </w:r>
    </w:p>
    <w:p w14:paraId="58CF32B6" w14:textId="43EA0DAD" w:rsidR="00F06F77" w:rsidRPr="00F06F77" w:rsidRDefault="00F06F77" w:rsidP="00F06F77">
      <w:pPr>
        <w:rPr>
          <w:rFonts w:cs="Arial"/>
        </w:rPr>
      </w:pPr>
      <w:r w:rsidRPr="00F06F77">
        <w:rPr>
          <w:rFonts w:cs="Arial"/>
        </w:rPr>
        <w:t>EO-3: Reduce vehicle and building emissions associated with Council operations</w:t>
      </w:r>
      <w:r w:rsidR="00843021">
        <w:rPr>
          <w:rFonts w:cs="Arial"/>
        </w:rPr>
        <w:t>.</w:t>
      </w:r>
      <w:r w:rsidRPr="00F06F77">
        <w:rPr>
          <w:rFonts w:cs="Arial"/>
        </w:rPr>
        <w:t xml:space="preserve"> </w:t>
      </w:r>
    </w:p>
    <w:p w14:paraId="1FD946A9" w14:textId="08F8EBE4" w:rsidR="00F06F77" w:rsidRPr="00F06F77" w:rsidRDefault="00F06F77" w:rsidP="00843021">
      <w:pPr>
        <w:ind w:left="709" w:hanging="709"/>
        <w:rPr>
          <w:rFonts w:cs="Arial"/>
        </w:rPr>
      </w:pPr>
      <w:r w:rsidRPr="00F06F77">
        <w:rPr>
          <w:rFonts w:cs="Arial"/>
        </w:rPr>
        <w:t>EO-4: Reduce emissions from staff e.g. vehicles associated with Council staff 'grey' fleet to improve air quality and meet CO</w:t>
      </w:r>
      <w:r w:rsidRPr="00CC1A1E">
        <w:rPr>
          <w:rFonts w:cs="Arial"/>
          <w:vertAlign w:val="subscript"/>
        </w:rPr>
        <w:t>2</w:t>
      </w:r>
      <w:r w:rsidRPr="00F06F77">
        <w:rPr>
          <w:rFonts w:cs="Arial"/>
        </w:rPr>
        <w:t xml:space="preserve"> targets</w:t>
      </w:r>
      <w:r w:rsidR="00843021">
        <w:rPr>
          <w:rFonts w:cs="Arial"/>
        </w:rPr>
        <w:t>.</w:t>
      </w:r>
    </w:p>
    <w:p w14:paraId="6D78935D" w14:textId="0A0E214F" w:rsidR="00F06F77" w:rsidRPr="00F06F77" w:rsidRDefault="00F06F77" w:rsidP="00893953">
      <w:pPr>
        <w:ind w:left="709" w:hanging="709"/>
        <w:rPr>
          <w:rFonts w:cs="Arial"/>
        </w:rPr>
      </w:pPr>
      <w:r w:rsidRPr="00F06F77">
        <w:rPr>
          <w:rFonts w:cs="Arial"/>
        </w:rPr>
        <w:t>EO-5: Reduce emissions from public transport by implementing emission standards</w:t>
      </w:r>
      <w:r w:rsidR="00B87DA1">
        <w:rPr>
          <w:rFonts w:cs="Arial"/>
        </w:rPr>
        <w:t xml:space="preserve"> via partnerships</w:t>
      </w:r>
      <w:r w:rsidRPr="00F06F77">
        <w:rPr>
          <w:rFonts w:cs="Arial"/>
        </w:rPr>
        <w:t xml:space="preserve"> and promoting ULEV use</w:t>
      </w:r>
      <w:r w:rsidR="00843021">
        <w:rPr>
          <w:rFonts w:cs="Arial"/>
        </w:rPr>
        <w:t>.</w:t>
      </w:r>
    </w:p>
    <w:p w14:paraId="45BA4C0C" w14:textId="17DFD58B" w:rsidR="00F06F77" w:rsidRPr="00F06F77" w:rsidRDefault="00F06F77" w:rsidP="00893953">
      <w:pPr>
        <w:ind w:left="709" w:hanging="709"/>
        <w:rPr>
          <w:rFonts w:cs="Arial"/>
        </w:rPr>
      </w:pPr>
      <w:r w:rsidRPr="00F06F77">
        <w:rPr>
          <w:rFonts w:cs="Arial"/>
        </w:rPr>
        <w:t>EO-6: Work in partnership with stakeholder groups to reduce emissions from vehicles and buildings</w:t>
      </w:r>
      <w:r w:rsidR="00843021">
        <w:rPr>
          <w:rFonts w:cs="Arial"/>
        </w:rPr>
        <w:t>.</w:t>
      </w:r>
      <w:r w:rsidRPr="00F06F77">
        <w:rPr>
          <w:rFonts w:cs="Arial"/>
        </w:rPr>
        <w:t xml:space="preserve"> </w:t>
      </w:r>
    </w:p>
    <w:p w14:paraId="31702869" w14:textId="010FEEF8" w:rsidR="00F06F77" w:rsidRDefault="00F06F77" w:rsidP="00893953">
      <w:pPr>
        <w:ind w:left="709" w:hanging="709"/>
        <w:rPr>
          <w:rFonts w:cs="Arial"/>
        </w:rPr>
      </w:pPr>
      <w:r w:rsidRPr="00F06F77">
        <w:rPr>
          <w:rFonts w:cs="Arial"/>
        </w:rPr>
        <w:t>EO-7: Work in collaboration with council officers to deliver the Air Quality Action Plan &amp; LES Programme and promote the air quality agenda</w:t>
      </w:r>
      <w:r w:rsidR="00843021">
        <w:rPr>
          <w:rFonts w:cs="Arial"/>
        </w:rPr>
        <w:t>.</w:t>
      </w:r>
    </w:p>
    <w:p w14:paraId="75106013" w14:textId="77777777" w:rsidR="00DE0837" w:rsidRDefault="00DE0837" w:rsidP="00893953">
      <w:pPr>
        <w:ind w:left="709" w:hanging="709"/>
        <w:rPr>
          <w:rFonts w:cs="Arial"/>
        </w:rPr>
      </w:pPr>
    </w:p>
    <w:p w14:paraId="66EFDEBA" w14:textId="77777777" w:rsidR="00DE0837" w:rsidRPr="00F06F77" w:rsidRDefault="00DE0837" w:rsidP="00893953">
      <w:pPr>
        <w:ind w:left="709" w:hanging="709"/>
        <w:rPr>
          <w:rFonts w:cs="Arial"/>
        </w:rPr>
      </w:pPr>
    </w:p>
    <w:p w14:paraId="12BB839A" w14:textId="40C868DB" w:rsidR="00F06F77" w:rsidRPr="00893953" w:rsidRDefault="005C7981" w:rsidP="00F06F77">
      <w:pPr>
        <w:rPr>
          <w:rFonts w:cs="Arial"/>
          <w:u w:val="single"/>
        </w:rPr>
      </w:pPr>
      <w:r w:rsidRPr="00893953">
        <w:rPr>
          <w:rFonts w:cs="Arial"/>
          <w:b/>
          <w:bCs/>
          <w:u w:val="single"/>
        </w:rPr>
        <w:lastRenderedPageBreak/>
        <w:t>Priority 2 – Transport:</w:t>
      </w:r>
      <w:r w:rsidRPr="00893953">
        <w:rPr>
          <w:rFonts w:cs="Arial"/>
          <w:u w:val="single"/>
        </w:rPr>
        <w:t xml:space="preserve"> </w:t>
      </w:r>
      <w:r w:rsidR="00B71E60" w:rsidRPr="00893953">
        <w:rPr>
          <w:rFonts w:cs="Arial"/>
          <w:u w:val="single"/>
        </w:rPr>
        <w:t xml:space="preserve">traffic management and </w:t>
      </w:r>
      <w:r w:rsidR="007C3D36" w:rsidRPr="00893953">
        <w:rPr>
          <w:rFonts w:cs="Arial"/>
          <w:u w:val="single"/>
        </w:rPr>
        <w:t>infrastructure to support modal shift</w:t>
      </w:r>
    </w:p>
    <w:p w14:paraId="781164C1" w14:textId="63ECF8F9" w:rsidR="005C7981" w:rsidRPr="005C7981" w:rsidRDefault="005C7981" w:rsidP="00893953">
      <w:pPr>
        <w:ind w:left="709" w:hanging="709"/>
        <w:rPr>
          <w:rFonts w:cs="Arial"/>
        </w:rPr>
      </w:pPr>
      <w:r>
        <w:rPr>
          <w:rFonts w:cs="Arial"/>
        </w:rPr>
        <w:t xml:space="preserve">TO-1: </w:t>
      </w:r>
      <w:r w:rsidRPr="005C7981">
        <w:rPr>
          <w:rFonts w:cs="Arial"/>
        </w:rPr>
        <w:t>Implement major infrastructural change, focusing on active travel, public</w:t>
      </w:r>
      <w:r>
        <w:rPr>
          <w:rFonts w:cs="Arial"/>
        </w:rPr>
        <w:t xml:space="preserve"> </w:t>
      </w:r>
      <w:r w:rsidRPr="005C7981">
        <w:rPr>
          <w:rFonts w:cs="Arial"/>
        </w:rPr>
        <w:t>transport and traffic management.</w:t>
      </w:r>
    </w:p>
    <w:p w14:paraId="4E5328DD" w14:textId="6C489996" w:rsidR="005C7981" w:rsidRPr="005C7981" w:rsidRDefault="005C7981" w:rsidP="005C7981">
      <w:pPr>
        <w:rPr>
          <w:rFonts w:cs="Arial"/>
        </w:rPr>
      </w:pPr>
      <w:r>
        <w:rPr>
          <w:rFonts w:cs="Arial"/>
        </w:rPr>
        <w:t xml:space="preserve">TO-2: </w:t>
      </w:r>
      <w:r w:rsidRPr="005C7981">
        <w:rPr>
          <w:rFonts w:cs="Arial"/>
        </w:rPr>
        <w:t>Increase uptake on public transport</w:t>
      </w:r>
      <w:r w:rsidR="00843021">
        <w:rPr>
          <w:rFonts w:cs="Arial"/>
        </w:rPr>
        <w:t>.</w:t>
      </w:r>
      <w:r w:rsidRPr="005C7981">
        <w:rPr>
          <w:rFonts w:cs="Arial"/>
        </w:rPr>
        <w:t xml:space="preserve"> </w:t>
      </w:r>
    </w:p>
    <w:p w14:paraId="67537DB9" w14:textId="5B4F5FC8" w:rsidR="005C7981" w:rsidRPr="005C7981" w:rsidRDefault="005C7981" w:rsidP="00893953">
      <w:pPr>
        <w:ind w:left="709" w:hanging="709"/>
        <w:rPr>
          <w:rFonts w:cs="Arial"/>
        </w:rPr>
      </w:pPr>
      <w:r>
        <w:rPr>
          <w:rFonts w:cs="Arial"/>
        </w:rPr>
        <w:t xml:space="preserve">TO-3: </w:t>
      </w:r>
      <w:r w:rsidRPr="005C7981">
        <w:rPr>
          <w:rFonts w:cs="Arial"/>
        </w:rPr>
        <w:t>Manage vehicle parking in Slough to achieve balance between accommodating growth and managing congestion</w:t>
      </w:r>
      <w:r w:rsidR="00843021">
        <w:rPr>
          <w:rFonts w:cs="Arial"/>
        </w:rPr>
        <w:t>.</w:t>
      </w:r>
    </w:p>
    <w:p w14:paraId="090B2170" w14:textId="02936C27" w:rsidR="005C7981" w:rsidRPr="005C7981" w:rsidRDefault="005C7981" w:rsidP="00893953">
      <w:pPr>
        <w:ind w:left="709" w:hanging="709"/>
        <w:rPr>
          <w:rFonts w:cs="Arial"/>
        </w:rPr>
      </w:pPr>
      <w:r>
        <w:rPr>
          <w:rFonts w:cs="Arial"/>
        </w:rPr>
        <w:t xml:space="preserve">TO-4: </w:t>
      </w:r>
      <w:r w:rsidRPr="005C7981">
        <w:rPr>
          <w:rFonts w:cs="Arial"/>
        </w:rPr>
        <w:t>Implement traffic management measures to improve traffic flow and manage congestion</w:t>
      </w:r>
      <w:r w:rsidR="00843021">
        <w:rPr>
          <w:rFonts w:cs="Arial"/>
        </w:rPr>
        <w:t>.</w:t>
      </w:r>
    </w:p>
    <w:p w14:paraId="2ECBEA8C" w14:textId="6CA8CAB7" w:rsidR="005C7981" w:rsidRPr="005C7981" w:rsidRDefault="005C7981" w:rsidP="00893953">
      <w:pPr>
        <w:ind w:left="709" w:hanging="709"/>
        <w:rPr>
          <w:rFonts w:cs="Arial"/>
        </w:rPr>
      </w:pPr>
      <w:r>
        <w:rPr>
          <w:rFonts w:cs="Arial"/>
        </w:rPr>
        <w:t xml:space="preserve">TO-5: </w:t>
      </w:r>
      <w:r w:rsidRPr="005C7981">
        <w:rPr>
          <w:rFonts w:cs="Arial"/>
        </w:rPr>
        <w:t>Improve the uptake of walking and cycling by making active travel an attractive travel option</w:t>
      </w:r>
      <w:r w:rsidR="00843021">
        <w:rPr>
          <w:rFonts w:cs="Arial"/>
        </w:rPr>
        <w:t>.</w:t>
      </w:r>
    </w:p>
    <w:p w14:paraId="69D2583D" w14:textId="798B653A" w:rsidR="00F06F77" w:rsidRPr="00893953" w:rsidRDefault="005C7981" w:rsidP="00F06F77">
      <w:pPr>
        <w:rPr>
          <w:rFonts w:cs="Arial"/>
          <w:u w:val="single"/>
        </w:rPr>
      </w:pPr>
      <w:r w:rsidRPr="00893953">
        <w:rPr>
          <w:rFonts w:cs="Arial"/>
          <w:b/>
          <w:bCs/>
          <w:u w:val="single"/>
        </w:rPr>
        <w:t>Priority 3 – Health Education &amp; Awareness</w:t>
      </w:r>
      <w:r w:rsidRPr="00893953">
        <w:rPr>
          <w:rFonts w:cs="Arial"/>
          <w:u w:val="single"/>
        </w:rPr>
        <w:t xml:space="preserve">: improving </w:t>
      </w:r>
      <w:r w:rsidR="007C3D36" w:rsidRPr="00893953">
        <w:rPr>
          <w:rFonts w:cs="Arial"/>
          <w:u w:val="single"/>
        </w:rPr>
        <w:t xml:space="preserve">the air quality </w:t>
      </w:r>
      <w:r w:rsidRPr="00893953">
        <w:rPr>
          <w:rFonts w:cs="Arial"/>
          <w:u w:val="single"/>
        </w:rPr>
        <w:t>knowledge base across the borough</w:t>
      </w:r>
    </w:p>
    <w:p w14:paraId="60D392BB" w14:textId="251C5A6F" w:rsidR="005C7981" w:rsidRPr="005C7981" w:rsidRDefault="005C7981" w:rsidP="00893953">
      <w:pPr>
        <w:ind w:left="993" w:hanging="993"/>
        <w:rPr>
          <w:rFonts w:cs="Arial"/>
        </w:rPr>
      </w:pPr>
      <w:r w:rsidRPr="005C7981">
        <w:rPr>
          <w:rFonts w:cs="Arial"/>
        </w:rPr>
        <w:t>HEAO-1: Work in partnership with communities, businesses, schools</w:t>
      </w:r>
      <w:r w:rsidR="00843021">
        <w:rPr>
          <w:rFonts w:cs="Arial"/>
        </w:rPr>
        <w:t>,</w:t>
      </w:r>
      <w:r w:rsidRPr="005C7981">
        <w:rPr>
          <w:rFonts w:cs="Arial"/>
        </w:rPr>
        <w:t xml:space="preserve"> and healthcare establishments to improve air quality</w:t>
      </w:r>
      <w:r w:rsidR="00843021">
        <w:rPr>
          <w:rFonts w:cs="Arial"/>
        </w:rPr>
        <w:t>.</w:t>
      </w:r>
    </w:p>
    <w:p w14:paraId="19E67D32" w14:textId="0C44DA2D" w:rsidR="005C7981" w:rsidRPr="005C7981" w:rsidRDefault="005C7981" w:rsidP="00F06F77">
      <w:pPr>
        <w:rPr>
          <w:rFonts w:cs="Arial"/>
        </w:rPr>
      </w:pPr>
      <w:r w:rsidRPr="005C7981">
        <w:rPr>
          <w:rFonts w:cs="Arial"/>
        </w:rPr>
        <w:t>HEAO-2: Improve information dissemination to the public regarding air quality</w:t>
      </w:r>
      <w:r w:rsidR="00843021">
        <w:rPr>
          <w:rFonts w:cs="Arial"/>
        </w:rPr>
        <w:t>.</w:t>
      </w:r>
    </w:p>
    <w:p w14:paraId="59138E04" w14:textId="4BC629F8" w:rsidR="005C7981" w:rsidRPr="005C7981" w:rsidRDefault="005C7981" w:rsidP="00893953">
      <w:pPr>
        <w:ind w:left="993" w:hanging="993"/>
        <w:rPr>
          <w:rFonts w:cs="Arial"/>
        </w:rPr>
      </w:pPr>
      <w:r w:rsidRPr="005C7981">
        <w:rPr>
          <w:rFonts w:cs="Arial"/>
        </w:rPr>
        <w:t>HEAO-3: Improve education and awareness of air quality to promote healthy choices in relation to physical activity, transport, energy efficiency, smoke control and indoor air quality.</w:t>
      </w:r>
    </w:p>
    <w:p w14:paraId="4C372E4B" w14:textId="77777777" w:rsidR="009362D5" w:rsidRDefault="009362D5" w:rsidP="009362D5">
      <w:pPr>
        <w:pStyle w:val="ListParagraph"/>
        <w:ind w:left="0"/>
        <w:rPr>
          <w:color w:val="FF0000"/>
        </w:rPr>
      </w:pPr>
      <w:bookmarkStart w:id="128" w:name="_Toc88486001"/>
      <w:bookmarkEnd w:id="62"/>
    </w:p>
    <w:p w14:paraId="6D978A3F" w14:textId="4D64BA4B" w:rsidR="009362D5" w:rsidRDefault="009362D5">
      <w:pPr>
        <w:spacing w:before="0" w:after="0" w:line="240" w:lineRule="auto"/>
        <w:rPr>
          <w:color w:val="FF0000"/>
        </w:rPr>
      </w:pPr>
      <w:r>
        <w:rPr>
          <w:color w:val="FF0000"/>
        </w:rPr>
        <w:br w:type="page"/>
      </w:r>
    </w:p>
    <w:p w14:paraId="07AAD04D" w14:textId="2218C929" w:rsidR="00050CF0" w:rsidRPr="002B4B5B" w:rsidRDefault="00893953" w:rsidP="00F77171">
      <w:pPr>
        <w:pStyle w:val="Heading1"/>
      </w:pPr>
      <w:bookmarkStart w:id="129" w:name="_Toc160129573"/>
      <w:r>
        <w:lastRenderedPageBreak/>
        <w:t>4</w:t>
      </w:r>
      <w:r>
        <w:tab/>
      </w:r>
      <w:r w:rsidR="00CE793F" w:rsidRPr="002B4B5B">
        <w:t xml:space="preserve">Development and Implementation of </w:t>
      </w:r>
      <w:r w:rsidR="00E925E0" w:rsidRPr="003F5535">
        <w:t>Slough Borough Council’s</w:t>
      </w:r>
      <w:r w:rsidR="00CE793F" w:rsidRPr="002B4B5B">
        <w:t xml:space="preserve"> AQAP</w:t>
      </w:r>
      <w:bookmarkEnd w:id="128"/>
      <w:bookmarkEnd w:id="129"/>
    </w:p>
    <w:p w14:paraId="3F05DF22" w14:textId="662031EF" w:rsidR="001B1413" w:rsidRPr="002B4B5B" w:rsidRDefault="001B1413" w:rsidP="0025036F">
      <w:pPr>
        <w:pStyle w:val="Heading2"/>
        <w:numPr>
          <w:ilvl w:val="1"/>
          <w:numId w:val="73"/>
        </w:numPr>
      </w:pPr>
      <w:bookmarkStart w:id="130" w:name="_Toc88486002"/>
      <w:bookmarkStart w:id="131" w:name="_Toc160129574"/>
      <w:r w:rsidRPr="002B4B5B">
        <w:t>Consultation and Stakeholder Engagement</w:t>
      </w:r>
      <w:bookmarkEnd w:id="130"/>
      <w:bookmarkEnd w:id="131"/>
    </w:p>
    <w:p w14:paraId="04210676" w14:textId="77777777" w:rsidR="005C7981" w:rsidRDefault="001B1413" w:rsidP="009501D3">
      <w:pPr>
        <w:rPr>
          <w:color w:val="FF0000"/>
        </w:rPr>
      </w:pPr>
      <w:r w:rsidRPr="00E3664B">
        <w:t xml:space="preserve">In developing </w:t>
      </w:r>
      <w:r w:rsidR="00645F0B" w:rsidRPr="00E3664B">
        <w:t xml:space="preserve">this </w:t>
      </w:r>
      <w:r w:rsidR="00360F4A">
        <w:t>AQAP</w:t>
      </w:r>
      <w:r w:rsidR="00645F0B" w:rsidRPr="00E3664B">
        <w:t>,</w:t>
      </w:r>
      <w:r w:rsidRPr="00E3664B">
        <w:t xml:space="preserve"> we have worked with other agencies, businesses and the local community to improve local air quality. Schedule 11 of the Environment Act 1995 requires local authorities to consult the bodies listed in</w:t>
      </w:r>
      <w:r w:rsidR="00645F0B" w:rsidRPr="00E3664B">
        <w:t xml:space="preserve"> </w:t>
      </w:r>
      <w:r w:rsidR="00645F0B" w:rsidRPr="00E3664B">
        <w:fldChar w:fldCharType="begin"/>
      </w:r>
      <w:r w:rsidR="00645F0B" w:rsidRPr="00E3664B">
        <w:instrText xml:space="preserve"> REF _Ref427069980 \h </w:instrText>
      </w:r>
      <w:r w:rsidR="0046508E">
        <w:instrText xml:space="preserve"> \* MERGEFORMAT </w:instrText>
      </w:r>
      <w:r w:rsidR="00645F0B" w:rsidRPr="00E3664B">
        <w:fldChar w:fldCharType="separate"/>
      </w:r>
      <w:r w:rsidR="00531F6F" w:rsidRPr="002B4B5B">
        <w:t xml:space="preserve">Table </w:t>
      </w:r>
      <w:r w:rsidR="00531F6F">
        <w:rPr>
          <w:noProof/>
        </w:rPr>
        <w:t>4</w:t>
      </w:r>
      <w:r w:rsidR="00531F6F" w:rsidRPr="002B4B5B">
        <w:t>.</w:t>
      </w:r>
      <w:r w:rsidR="00531F6F">
        <w:rPr>
          <w:noProof/>
        </w:rPr>
        <w:t>1</w:t>
      </w:r>
      <w:r w:rsidR="00645F0B" w:rsidRPr="00E3664B">
        <w:fldChar w:fldCharType="end"/>
      </w:r>
      <w:r w:rsidR="00645F0B" w:rsidRPr="00E3664B">
        <w:t>.</w:t>
      </w:r>
      <w:r w:rsidRPr="00E3664B">
        <w:t xml:space="preserve"> </w:t>
      </w:r>
    </w:p>
    <w:p w14:paraId="5F4DE7ED" w14:textId="631A544D" w:rsidR="001B1413" w:rsidRPr="003A083F" w:rsidRDefault="001B1413" w:rsidP="009501D3">
      <w:pPr>
        <w:rPr>
          <w:color w:val="FF0000"/>
        </w:rPr>
      </w:pPr>
      <w:r w:rsidRPr="003A083F">
        <w:rPr>
          <w:color w:val="FF0000"/>
        </w:rPr>
        <w:t>In addition</w:t>
      </w:r>
      <w:r w:rsidR="00645F0B" w:rsidRPr="003A083F">
        <w:rPr>
          <w:color w:val="FF0000"/>
        </w:rPr>
        <w:t>,</w:t>
      </w:r>
      <w:r w:rsidRPr="003A083F">
        <w:rPr>
          <w:color w:val="FF0000"/>
        </w:rPr>
        <w:t xml:space="preserve"> we have undertaken the following stakeholder engagement:</w:t>
      </w:r>
    </w:p>
    <w:p w14:paraId="4AC7615D" w14:textId="32DBFE05" w:rsidR="001B1413" w:rsidRPr="003A083F" w:rsidRDefault="003A083F" w:rsidP="00CA4AAD">
      <w:pPr>
        <w:numPr>
          <w:ilvl w:val="0"/>
          <w:numId w:val="6"/>
        </w:numPr>
        <w:rPr>
          <w:color w:val="FF0000"/>
        </w:rPr>
      </w:pPr>
      <w:r>
        <w:rPr>
          <w:color w:val="FF0000"/>
        </w:rPr>
        <w:t>W</w:t>
      </w:r>
      <w:r w:rsidR="00D3637A" w:rsidRPr="003A083F">
        <w:rPr>
          <w:color w:val="FF0000"/>
        </w:rPr>
        <w:t>eb</w:t>
      </w:r>
      <w:r w:rsidR="001B1413" w:rsidRPr="003A083F">
        <w:rPr>
          <w:color w:val="FF0000"/>
        </w:rPr>
        <w:t>site</w:t>
      </w:r>
      <w:r w:rsidR="005E645D">
        <w:rPr>
          <w:color w:val="FF0000"/>
        </w:rPr>
        <w:t xml:space="preserve"> (Citizen Space)</w:t>
      </w:r>
    </w:p>
    <w:p w14:paraId="5DEF06B3" w14:textId="77777777" w:rsidR="001B1413" w:rsidRPr="003A083F" w:rsidRDefault="001B1413" w:rsidP="00CA4AAD">
      <w:pPr>
        <w:numPr>
          <w:ilvl w:val="0"/>
          <w:numId w:val="6"/>
        </w:numPr>
        <w:rPr>
          <w:color w:val="FF0000"/>
        </w:rPr>
      </w:pPr>
      <w:r w:rsidRPr="003A083F">
        <w:rPr>
          <w:color w:val="FF0000"/>
        </w:rPr>
        <w:t>Articles in local newspaper</w:t>
      </w:r>
    </w:p>
    <w:p w14:paraId="35E0D9AB" w14:textId="77777777" w:rsidR="001B1413" w:rsidRPr="003A083F" w:rsidRDefault="001B1413" w:rsidP="00CA4AAD">
      <w:pPr>
        <w:numPr>
          <w:ilvl w:val="0"/>
          <w:numId w:val="6"/>
        </w:numPr>
        <w:rPr>
          <w:color w:val="FF0000"/>
        </w:rPr>
      </w:pPr>
      <w:r w:rsidRPr="003A083F">
        <w:rPr>
          <w:color w:val="FF0000"/>
        </w:rPr>
        <w:t>Questionnaires distributed directly to households along major roads</w:t>
      </w:r>
    </w:p>
    <w:p w14:paraId="6231ACED" w14:textId="3F10DB7C" w:rsidR="001B1413" w:rsidRDefault="001B1413" w:rsidP="009501D3">
      <w:r w:rsidRPr="00E3664B">
        <w:t xml:space="preserve">The response to our consultation stakeholder engagement is given in </w:t>
      </w:r>
      <w:r w:rsidR="009501D3">
        <w:fldChar w:fldCharType="begin"/>
      </w:r>
      <w:r w:rsidR="009501D3">
        <w:instrText xml:space="preserve"> REF _Ref88488212 \h </w:instrText>
      </w:r>
      <w:r w:rsidR="009501D3">
        <w:fldChar w:fldCharType="separate"/>
      </w:r>
      <w:r w:rsidR="009501D3" w:rsidRPr="00E3664B">
        <w:t>Appendix A</w:t>
      </w:r>
      <w:r w:rsidR="009501D3">
        <w:t>:</w:t>
      </w:r>
      <w:r w:rsidR="009501D3" w:rsidRPr="00E3664B">
        <w:t xml:space="preserve"> Response to Consultation</w:t>
      </w:r>
      <w:r w:rsidR="009501D3">
        <w:fldChar w:fldCharType="end"/>
      </w:r>
      <w:r w:rsidRPr="00E3664B">
        <w:t>.</w:t>
      </w:r>
    </w:p>
    <w:p w14:paraId="26C3EEB2" w14:textId="77777777" w:rsidR="008C1620" w:rsidRDefault="008C1620" w:rsidP="0046508E">
      <w:pPr>
        <w:pStyle w:val="Caption"/>
      </w:pPr>
      <w:bookmarkStart w:id="132" w:name="_Ref427069980"/>
      <w:bookmarkStart w:id="133" w:name="_Toc160123580"/>
      <w:bookmarkStart w:id="134" w:name="_Toc160123796"/>
      <w:r w:rsidRPr="002B4B5B">
        <w:t xml:space="preserve">Table </w:t>
      </w:r>
      <w:r w:rsidR="000F4CA1">
        <w:fldChar w:fldCharType="begin"/>
      </w:r>
      <w:r w:rsidR="000F4CA1">
        <w:instrText xml:space="preserve"> STYLEREF 1 \s </w:instrText>
      </w:r>
      <w:r w:rsidR="000F4CA1">
        <w:fldChar w:fldCharType="separate"/>
      </w:r>
      <w:r w:rsidR="00531F6F">
        <w:rPr>
          <w:noProof/>
        </w:rPr>
        <w:t>4</w:t>
      </w:r>
      <w:r w:rsidR="000F4CA1">
        <w:rPr>
          <w:noProof/>
        </w:rPr>
        <w:fldChar w:fldCharType="end"/>
      </w:r>
      <w:r w:rsidRPr="002B4B5B">
        <w:t>.</w:t>
      </w:r>
      <w:r w:rsidR="000F4CA1">
        <w:fldChar w:fldCharType="begin"/>
      </w:r>
      <w:r w:rsidR="000F4CA1">
        <w:instrText xml:space="preserve"> SEQ Table \* ARABIC \s 1 </w:instrText>
      </w:r>
      <w:r w:rsidR="000F4CA1">
        <w:fldChar w:fldCharType="separate"/>
      </w:r>
      <w:r w:rsidR="00531F6F">
        <w:rPr>
          <w:noProof/>
        </w:rPr>
        <w:t>1</w:t>
      </w:r>
      <w:r w:rsidR="000F4CA1">
        <w:rPr>
          <w:noProof/>
        </w:rPr>
        <w:fldChar w:fldCharType="end"/>
      </w:r>
      <w:bookmarkEnd w:id="132"/>
      <w:r w:rsidRPr="002B4B5B">
        <w:t xml:space="preserve"> </w:t>
      </w:r>
      <w:r w:rsidR="00BE428E" w:rsidRPr="00BE428E">
        <w:t>‒</w:t>
      </w:r>
      <w:r w:rsidRPr="002B4B5B">
        <w:t xml:space="preserve"> Consultation Undertaken</w:t>
      </w:r>
      <w:bookmarkEnd w:id="133"/>
      <w:bookmarkEnd w:id="134"/>
    </w:p>
    <w:p w14:paraId="29E08BF1" w14:textId="0B4A2157" w:rsidR="00AC7A3A" w:rsidRPr="00AC7A3A" w:rsidRDefault="00AC7A3A" w:rsidP="00AC7A3A">
      <w:pPr>
        <w:rPr>
          <w:color w:val="FF0000"/>
        </w:rPr>
      </w:pPr>
      <w:r w:rsidRPr="00AC7A3A">
        <w:rPr>
          <w:color w:val="FF0000"/>
        </w:rPr>
        <w:t>[all of the consultees below will be contacted for comment]</w:t>
      </w:r>
    </w:p>
    <w:tbl>
      <w:tblPr>
        <w:tblStyle w:val="LAQMReporting"/>
        <w:tblW w:w="5000" w:type="pct"/>
        <w:tblLook w:val="04A0" w:firstRow="1" w:lastRow="0" w:firstColumn="1" w:lastColumn="0" w:noHBand="0" w:noVBand="1"/>
      </w:tblPr>
      <w:tblGrid>
        <w:gridCol w:w="5023"/>
        <w:gridCol w:w="4037"/>
      </w:tblGrid>
      <w:tr w:rsidR="009501D3" w:rsidRPr="00E3664B" w14:paraId="0CA6C575" w14:textId="10BEE4BA" w:rsidTr="00442353">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2772" w:type="pct"/>
          </w:tcPr>
          <w:p w14:paraId="79C16E06" w14:textId="77777777" w:rsidR="009501D3" w:rsidRPr="009501D3" w:rsidRDefault="009501D3" w:rsidP="009501D3">
            <w:pPr>
              <w:suppressAutoHyphens/>
              <w:rPr>
                <w:rFonts w:cs="Arial"/>
                <w:bCs/>
              </w:rPr>
            </w:pPr>
            <w:r w:rsidRPr="009501D3">
              <w:rPr>
                <w:rFonts w:cs="Arial"/>
                <w:bCs/>
              </w:rPr>
              <w:t>Consultee</w:t>
            </w:r>
          </w:p>
        </w:tc>
        <w:tc>
          <w:tcPr>
            <w:tcW w:w="2228" w:type="pct"/>
          </w:tcPr>
          <w:p w14:paraId="06597D87" w14:textId="043561A0" w:rsidR="009501D3" w:rsidRPr="009501D3" w:rsidRDefault="009501D3" w:rsidP="009501D3">
            <w:pPr>
              <w:suppressAutoHyphens/>
              <w:cnfStyle w:val="100000000000" w:firstRow="1" w:lastRow="0" w:firstColumn="0" w:lastColumn="0" w:oddVBand="0" w:evenVBand="0" w:oddHBand="0" w:evenHBand="0" w:firstRowFirstColumn="0" w:firstRowLastColumn="0" w:lastRowFirstColumn="0" w:lastRowLastColumn="0"/>
              <w:rPr>
                <w:rFonts w:cs="Arial"/>
                <w:bCs/>
              </w:rPr>
            </w:pPr>
            <w:r>
              <w:rPr>
                <w:rFonts w:cs="Arial"/>
                <w:bCs/>
              </w:rPr>
              <w:t>Consult</w:t>
            </w:r>
            <w:r w:rsidR="00032FC9">
              <w:rPr>
                <w:rFonts w:cs="Arial"/>
                <w:bCs/>
              </w:rPr>
              <w:t>ation Undertaken</w:t>
            </w:r>
          </w:p>
        </w:tc>
      </w:tr>
      <w:tr w:rsidR="009501D3" w:rsidRPr="00E3664B" w14:paraId="2B70A55C" w14:textId="3231623C" w:rsidTr="006B2AF4">
        <w:trPr>
          <w:trHeight w:val="552"/>
        </w:trPr>
        <w:tc>
          <w:tcPr>
            <w:cnfStyle w:val="001000000000" w:firstRow="0" w:lastRow="0" w:firstColumn="1" w:lastColumn="0" w:oddVBand="0" w:evenVBand="0" w:oddHBand="0" w:evenHBand="0" w:firstRowFirstColumn="0" w:firstRowLastColumn="0" w:lastRowFirstColumn="0" w:lastRowLastColumn="0"/>
            <w:tcW w:w="2772" w:type="pct"/>
          </w:tcPr>
          <w:p w14:paraId="7C823D25" w14:textId="69B9F2E0" w:rsidR="009501D3" w:rsidRPr="009501D3" w:rsidRDefault="00410F18" w:rsidP="009501D3">
            <w:r>
              <w:t>T</w:t>
            </w:r>
            <w:r w:rsidR="009501D3" w:rsidRPr="009501D3">
              <w:t>he Secretary of State</w:t>
            </w:r>
          </w:p>
        </w:tc>
        <w:tc>
          <w:tcPr>
            <w:tcW w:w="2228" w:type="pct"/>
          </w:tcPr>
          <w:p w14:paraId="2B92687F" w14:textId="3F1E526B" w:rsidR="009501D3" w:rsidRPr="009501D3" w:rsidRDefault="003A083F" w:rsidP="009501D3">
            <w:pPr>
              <w:cnfStyle w:val="000000000000" w:firstRow="0" w:lastRow="0" w:firstColumn="0" w:lastColumn="0" w:oddVBand="0" w:evenVBand="0" w:oddHBand="0" w:evenHBand="0" w:firstRowFirstColumn="0" w:firstRowLastColumn="0" w:lastRowFirstColumn="0" w:lastRowLastColumn="0"/>
              <w:rPr>
                <w:color w:val="FF0000"/>
              </w:rPr>
            </w:pPr>
            <w:r>
              <w:rPr>
                <w:rFonts w:cs="Arial Narrow"/>
                <w:color w:val="FF0000"/>
              </w:rPr>
              <w:t>&lt;</w:t>
            </w:r>
            <w:r w:rsidR="009501D3" w:rsidRPr="009501D3">
              <w:rPr>
                <w:rFonts w:cs="Arial Narrow"/>
                <w:color w:val="FF0000"/>
              </w:rPr>
              <w:t>Yes</w:t>
            </w:r>
            <w:r>
              <w:rPr>
                <w:rFonts w:cs="Arial Narrow"/>
                <w:color w:val="FF0000"/>
              </w:rPr>
              <w:t>/No&gt;</w:t>
            </w:r>
          </w:p>
        </w:tc>
      </w:tr>
      <w:tr w:rsidR="003A083F" w:rsidRPr="00E3664B" w14:paraId="29F72B5A" w14:textId="2ABF9BAB"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46B1B19A" w14:textId="1DA77882" w:rsidR="003A083F" w:rsidRPr="009501D3" w:rsidRDefault="003A083F" w:rsidP="003A083F">
            <w:r>
              <w:t>T</w:t>
            </w:r>
            <w:r w:rsidRPr="009501D3">
              <w:t>he Environment Agency</w:t>
            </w:r>
          </w:p>
        </w:tc>
        <w:tc>
          <w:tcPr>
            <w:tcW w:w="0" w:type="pct"/>
          </w:tcPr>
          <w:p w14:paraId="13C3A632" w14:textId="71BB8475" w:rsidR="003A083F" w:rsidRPr="009501D3" w:rsidRDefault="003A083F">
            <w:pPr>
              <w:cnfStyle w:val="000000000000" w:firstRow="0" w:lastRow="0" w:firstColumn="0" w:lastColumn="0" w:oddVBand="0" w:evenVBand="0" w:oddHBand="0" w:evenHBand="0" w:firstRowFirstColumn="0" w:firstRowLastColumn="0" w:lastRowFirstColumn="0" w:lastRowLastColumn="0"/>
              <w:rPr>
                <w:color w:val="FF0000"/>
              </w:rPr>
            </w:pPr>
            <w:r w:rsidRPr="001304D9">
              <w:rPr>
                <w:rFonts w:cs="Arial Narrow"/>
                <w:color w:val="FF0000"/>
              </w:rPr>
              <w:t>&lt;Yes/No&gt;</w:t>
            </w:r>
          </w:p>
        </w:tc>
      </w:tr>
      <w:tr w:rsidR="003A083F" w:rsidRPr="00E3664B" w14:paraId="0630DFC3" w14:textId="53CB930C"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5BA5E436" w14:textId="3CC6D3BE" w:rsidR="003A083F" w:rsidRPr="009501D3" w:rsidRDefault="003A083F" w:rsidP="003A083F">
            <w:r>
              <w:t>T</w:t>
            </w:r>
            <w:r w:rsidRPr="009501D3">
              <w:t>he highways authority</w:t>
            </w:r>
          </w:p>
        </w:tc>
        <w:tc>
          <w:tcPr>
            <w:tcW w:w="0" w:type="pct"/>
          </w:tcPr>
          <w:p w14:paraId="43D506C1" w14:textId="41D56F4B" w:rsidR="003A083F" w:rsidRPr="009501D3" w:rsidRDefault="003A083F">
            <w:pPr>
              <w:cnfStyle w:val="000000000000" w:firstRow="0" w:lastRow="0" w:firstColumn="0" w:lastColumn="0" w:oddVBand="0" w:evenVBand="0" w:oddHBand="0" w:evenHBand="0" w:firstRowFirstColumn="0" w:firstRowLastColumn="0" w:lastRowFirstColumn="0" w:lastRowLastColumn="0"/>
              <w:rPr>
                <w:color w:val="FF0000"/>
              </w:rPr>
            </w:pPr>
            <w:r w:rsidRPr="001304D9">
              <w:rPr>
                <w:rFonts w:cs="Arial Narrow"/>
                <w:color w:val="FF0000"/>
              </w:rPr>
              <w:t>&lt;Yes/No&gt;</w:t>
            </w:r>
          </w:p>
        </w:tc>
      </w:tr>
      <w:tr w:rsidR="003A083F" w:rsidRPr="00E3664B" w14:paraId="5075760E" w14:textId="5E70FA52"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01BD265D" w14:textId="32B5E290" w:rsidR="003A083F" w:rsidRPr="009501D3" w:rsidRDefault="003A083F" w:rsidP="003A083F">
            <w:r>
              <w:t>A</w:t>
            </w:r>
            <w:r w:rsidRPr="009501D3">
              <w:t>ll neighbouring local authorities</w:t>
            </w:r>
          </w:p>
        </w:tc>
        <w:tc>
          <w:tcPr>
            <w:tcW w:w="0" w:type="pct"/>
          </w:tcPr>
          <w:p w14:paraId="2F3FFE52" w14:textId="341B7493" w:rsidR="003A083F" w:rsidRPr="009501D3" w:rsidRDefault="003A083F">
            <w:pPr>
              <w:cnfStyle w:val="000000000000" w:firstRow="0" w:lastRow="0" w:firstColumn="0" w:lastColumn="0" w:oddVBand="0" w:evenVBand="0" w:oddHBand="0" w:evenHBand="0" w:firstRowFirstColumn="0" w:firstRowLastColumn="0" w:lastRowFirstColumn="0" w:lastRowLastColumn="0"/>
              <w:rPr>
                <w:color w:val="FF0000"/>
              </w:rPr>
            </w:pPr>
            <w:r w:rsidRPr="001304D9">
              <w:rPr>
                <w:rFonts w:cs="Arial Narrow"/>
                <w:color w:val="FF0000"/>
              </w:rPr>
              <w:t>&lt;Yes/No&gt;</w:t>
            </w:r>
          </w:p>
        </w:tc>
      </w:tr>
      <w:tr w:rsidR="003A083F" w:rsidRPr="00E3664B" w14:paraId="7DB44F2E" w14:textId="450C6429"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1840817D" w14:textId="06C16D2E" w:rsidR="003A083F" w:rsidRPr="009501D3" w:rsidRDefault="003A083F" w:rsidP="003A083F">
            <w:r>
              <w:t>O</w:t>
            </w:r>
            <w:r w:rsidRPr="009501D3">
              <w:t>ther public authorities as appropriate, such as Public Health officials</w:t>
            </w:r>
          </w:p>
        </w:tc>
        <w:tc>
          <w:tcPr>
            <w:tcW w:w="0" w:type="pct"/>
          </w:tcPr>
          <w:p w14:paraId="076B409B" w14:textId="1C540D90" w:rsidR="003A083F" w:rsidRPr="009501D3" w:rsidRDefault="003A083F">
            <w:pPr>
              <w:cnfStyle w:val="000000000000" w:firstRow="0" w:lastRow="0" w:firstColumn="0" w:lastColumn="0" w:oddVBand="0" w:evenVBand="0" w:oddHBand="0" w:evenHBand="0" w:firstRowFirstColumn="0" w:firstRowLastColumn="0" w:lastRowFirstColumn="0" w:lastRowLastColumn="0"/>
              <w:rPr>
                <w:color w:val="FF0000"/>
              </w:rPr>
            </w:pPr>
            <w:r w:rsidRPr="001304D9">
              <w:rPr>
                <w:rFonts w:cs="Arial Narrow"/>
                <w:color w:val="FF0000"/>
              </w:rPr>
              <w:t>&lt;Yes/No&gt;</w:t>
            </w:r>
          </w:p>
        </w:tc>
      </w:tr>
      <w:tr w:rsidR="003A083F" w:rsidRPr="00E3664B" w14:paraId="673897B2" w14:textId="389A2744"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25E1EC72" w14:textId="45864066" w:rsidR="003A083F" w:rsidRPr="009501D3" w:rsidRDefault="003A083F" w:rsidP="003A083F">
            <w:r>
              <w:t>B</w:t>
            </w:r>
            <w:r w:rsidRPr="009501D3">
              <w:t>odies representing local business interests and other organisations as appropriate</w:t>
            </w:r>
          </w:p>
        </w:tc>
        <w:tc>
          <w:tcPr>
            <w:tcW w:w="0" w:type="pct"/>
          </w:tcPr>
          <w:p w14:paraId="0CE134F2" w14:textId="5F98FED7" w:rsidR="003A083F" w:rsidRPr="009501D3" w:rsidRDefault="003A083F">
            <w:pPr>
              <w:cnfStyle w:val="000000000000" w:firstRow="0" w:lastRow="0" w:firstColumn="0" w:lastColumn="0" w:oddVBand="0" w:evenVBand="0" w:oddHBand="0" w:evenHBand="0" w:firstRowFirstColumn="0" w:firstRowLastColumn="0" w:lastRowFirstColumn="0" w:lastRowLastColumn="0"/>
              <w:rPr>
                <w:color w:val="FF0000"/>
              </w:rPr>
            </w:pPr>
            <w:r w:rsidRPr="001304D9">
              <w:rPr>
                <w:rFonts w:cs="Arial Narrow"/>
                <w:color w:val="FF0000"/>
              </w:rPr>
              <w:t>&lt;Yes/No&gt;</w:t>
            </w:r>
          </w:p>
        </w:tc>
      </w:tr>
    </w:tbl>
    <w:p w14:paraId="2339D1E4" w14:textId="77777777" w:rsidR="001B1413" w:rsidRDefault="001B1413" w:rsidP="0025036F">
      <w:pPr>
        <w:pStyle w:val="Heading2"/>
        <w:numPr>
          <w:ilvl w:val="1"/>
          <w:numId w:val="73"/>
        </w:numPr>
      </w:pPr>
      <w:bookmarkStart w:id="135" w:name="_Toc418595846"/>
      <w:bookmarkStart w:id="136" w:name="_Toc88486003"/>
      <w:bookmarkStart w:id="137" w:name="_Toc160129575"/>
      <w:r w:rsidRPr="002B4B5B">
        <w:lastRenderedPageBreak/>
        <w:t>Steering Group</w:t>
      </w:r>
      <w:bookmarkEnd w:id="135"/>
      <w:bookmarkEnd w:id="136"/>
      <w:bookmarkEnd w:id="137"/>
    </w:p>
    <w:p w14:paraId="4AE67FD8" w14:textId="79EAE9A4" w:rsidR="005C7981" w:rsidRDefault="00843021" w:rsidP="005C7981">
      <w:r>
        <w:t>The s</w:t>
      </w:r>
      <w:r w:rsidR="005C7981">
        <w:t xml:space="preserve">teering group </w:t>
      </w:r>
      <w:r>
        <w:t>was</w:t>
      </w:r>
      <w:r w:rsidR="005C7981">
        <w:t xml:space="preserve"> initiated </w:t>
      </w:r>
      <w:r>
        <w:t xml:space="preserve">in </w:t>
      </w:r>
      <w:r w:rsidR="00572773">
        <w:t>July 2023 and included representatives and officers from the following areas:</w:t>
      </w:r>
    </w:p>
    <w:p w14:paraId="3D4118FE" w14:textId="1AB67060" w:rsidR="00572773" w:rsidRDefault="00572773" w:rsidP="00EB191B">
      <w:pPr>
        <w:pStyle w:val="ListParagraph"/>
        <w:numPr>
          <w:ilvl w:val="0"/>
          <w:numId w:val="17"/>
        </w:numPr>
        <w:tabs>
          <w:tab w:val="left" w:pos="3119"/>
        </w:tabs>
        <w:sectPr w:rsidR="00572773" w:rsidSect="00151B4F">
          <w:pgSz w:w="11906" w:h="16838" w:code="9"/>
          <w:pgMar w:top="1474" w:right="1418" w:bottom="1134" w:left="1418" w:header="964" w:footer="454" w:gutter="0"/>
          <w:cols w:space="708"/>
          <w:docGrid w:linePitch="360"/>
        </w:sectPr>
      </w:pPr>
    </w:p>
    <w:p w14:paraId="589B5206" w14:textId="7FB554F0" w:rsidR="005C7981" w:rsidRDefault="00572773" w:rsidP="00EB191B">
      <w:pPr>
        <w:pStyle w:val="ListParagraph"/>
        <w:numPr>
          <w:ilvl w:val="0"/>
          <w:numId w:val="17"/>
        </w:numPr>
        <w:tabs>
          <w:tab w:val="left" w:pos="3119"/>
        </w:tabs>
      </w:pPr>
      <w:r>
        <w:t>C</w:t>
      </w:r>
      <w:r w:rsidR="005C7981">
        <w:t xml:space="preserve">arbon &amp; Sustainability </w:t>
      </w:r>
    </w:p>
    <w:p w14:paraId="190407B7" w14:textId="135803F1" w:rsidR="005C7981" w:rsidRDefault="005C7981" w:rsidP="00EB191B">
      <w:pPr>
        <w:pStyle w:val="ListParagraph"/>
        <w:numPr>
          <w:ilvl w:val="0"/>
          <w:numId w:val="17"/>
        </w:numPr>
        <w:tabs>
          <w:tab w:val="left" w:pos="3119"/>
        </w:tabs>
      </w:pPr>
      <w:r>
        <w:t>Sustainable Tra</w:t>
      </w:r>
      <w:r w:rsidR="00843021">
        <w:t>nsport</w:t>
      </w:r>
    </w:p>
    <w:p w14:paraId="20FBF369" w14:textId="7DB7AAA2" w:rsidR="00843021" w:rsidRDefault="00843021" w:rsidP="00EB191B">
      <w:pPr>
        <w:pStyle w:val="ListParagraph"/>
        <w:numPr>
          <w:ilvl w:val="0"/>
          <w:numId w:val="17"/>
        </w:numPr>
        <w:tabs>
          <w:tab w:val="left" w:pos="3119"/>
        </w:tabs>
      </w:pPr>
      <w:r>
        <w:t xml:space="preserve">Highways Development </w:t>
      </w:r>
    </w:p>
    <w:p w14:paraId="1FBE123E" w14:textId="441243DF" w:rsidR="005C7981" w:rsidRDefault="005C7981" w:rsidP="00EB191B">
      <w:pPr>
        <w:pStyle w:val="ListParagraph"/>
        <w:numPr>
          <w:ilvl w:val="0"/>
          <w:numId w:val="17"/>
        </w:numPr>
        <w:tabs>
          <w:tab w:val="left" w:pos="3119"/>
        </w:tabs>
      </w:pPr>
      <w:r>
        <w:t xml:space="preserve">Transport Planning </w:t>
      </w:r>
    </w:p>
    <w:p w14:paraId="343164C3" w14:textId="7CDE4431" w:rsidR="005C7981" w:rsidRDefault="005C7981" w:rsidP="00EB191B">
      <w:pPr>
        <w:pStyle w:val="ListParagraph"/>
        <w:numPr>
          <w:ilvl w:val="0"/>
          <w:numId w:val="17"/>
        </w:numPr>
        <w:tabs>
          <w:tab w:val="left" w:pos="3119"/>
        </w:tabs>
      </w:pPr>
      <w:r>
        <w:t xml:space="preserve">Parking </w:t>
      </w:r>
    </w:p>
    <w:p w14:paraId="533E6ADF" w14:textId="201738AF" w:rsidR="005C7981" w:rsidRDefault="005C7981" w:rsidP="00EB191B">
      <w:pPr>
        <w:pStyle w:val="ListParagraph"/>
        <w:numPr>
          <w:ilvl w:val="0"/>
          <w:numId w:val="17"/>
        </w:numPr>
        <w:tabs>
          <w:tab w:val="left" w:pos="3119"/>
        </w:tabs>
      </w:pPr>
      <w:r>
        <w:t xml:space="preserve">Taxi Licensing </w:t>
      </w:r>
    </w:p>
    <w:p w14:paraId="610D31B3" w14:textId="3EDE34B8" w:rsidR="005C7981" w:rsidRDefault="005C7981" w:rsidP="00EB191B">
      <w:pPr>
        <w:pStyle w:val="ListParagraph"/>
        <w:numPr>
          <w:ilvl w:val="0"/>
          <w:numId w:val="17"/>
        </w:numPr>
        <w:tabs>
          <w:tab w:val="left" w:pos="3119"/>
        </w:tabs>
      </w:pPr>
      <w:r>
        <w:t xml:space="preserve">Public Health </w:t>
      </w:r>
    </w:p>
    <w:p w14:paraId="4B535EE0" w14:textId="2EFE705B" w:rsidR="005C7981" w:rsidRDefault="00D428B7" w:rsidP="00EB191B">
      <w:pPr>
        <w:pStyle w:val="ListParagraph"/>
        <w:numPr>
          <w:ilvl w:val="0"/>
          <w:numId w:val="17"/>
        </w:numPr>
        <w:tabs>
          <w:tab w:val="left" w:pos="3119"/>
        </w:tabs>
      </w:pPr>
      <w:r>
        <w:t>Development Management</w:t>
      </w:r>
    </w:p>
    <w:p w14:paraId="42DC6246" w14:textId="77777777" w:rsidR="005C7981" w:rsidRDefault="005C7981" w:rsidP="00EB191B">
      <w:pPr>
        <w:pStyle w:val="ListParagraph"/>
        <w:numPr>
          <w:ilvl w:val="0"/>
          <w:numId w:val="17"/>
        </w:numPr>
        <w:tabs>
          <w:tab w:val="left" w:pos="3119"/>
        </w:tabs>
      </w:pPr>
      <w:r>
        <w:t xml:space="preserve">Planning Policy </w:t>
      </w:r>
    </w:p>
    <w:p w14:paraId="43FF106B" w14:textId="77777777" w:rsidR="005C7981" w:rsidRDefault="005C7981" w:rsidP="00EB191B">
      <w:pPr>
        <w:pStyle w:val="ListParagraph"/>
        <w:numPr>
          <w:ilvl w:val="0"/>
          <w:numId w:val="17"/>
        </w:numPr>
        <w:tabs>
          <w:tab w:val="left" w:pos="3119"/>
        </w:tabs>
      </w:pPr>
      <w:r>
        <w:t xml:space="preserve">Housing </w:t>
      </w:r>
    </w:p>
    <w:p w14:paraId="63C39D08" w14:textId="77777777" w:rsidR="005C7981" w:rsidRDefault="005C7981" w:rsidP="00EB191B">
      <w:pPr>
        <w:pStyle w:val="ListParagraph"/>
        <w:numPr>
          <w:ilvl w:val="0"/>
          <w:numId w:val="17"/>
        </w:numPr>
        <w:tabs>
          <w:tab w:val="left" w:pos="3119"/>
        </w:tabs>
      </w:pPr>
      <w:r>
        <w:t xml:space="preserve">Strategy &amp; Policy </w:t>
      </w:r>
    </w:p>
    <w:p w14:paraId="269834F1" w14:textId="7F74B2C7" w:rsidR="00572773" w:rsidRDefault="005C7981" w:rsidP="00EB191B">
      <w:pPr>
        <w:pStyle w:val="ListParagraph"/>
        <w:numPr>
          <w:ilvl w:val="0"/>
          <w:numId w:val="17"/>
        </w:numPr>
        <w:tabs>
          <w:tab w:val="left" w:pos="3119"/>
        </w:tabs>
      </w:pPr>
      <w:r>
        <w:t>Lead M</w:t>
      </w:r>
      <w:r w:rsidR="00572773">
        <w:t xml:space="preserve">ember for Environment </w:t>
      </w:r>
    </w:p>
    <w:p w14:paraId="0568A3D7" w14:textId="3833BCF8" w:rsidR="00572773" w:rsidRDefault="00572773" w:rsidP="00EB191B">
      <w:pPr>
        <w:pStyle w:val="ListParagraph"/>
        <w:numPr>
          <w:ilvl w:val="0"/>
          <w:numId w:val="17"/>
        </w:numPr>
        <w:tabs>
          <w:tab w:val="left" w:pos="3119"/>
        </w:tabs>
        <w:sectPr w:rsidR="00572773" w:rsidSect="00572773">
          <w:type w:val="continuous"/>
          <w:pgSz w:w="11906" w:h="16838" w:code="9"/>
          <w:pgMar w:top="1474" w:right="1418" w:bottom="1134" w:left="1418" w:header="964" w:footer="454" w:gutter="0"/>
          <w:cols w:num="2" w:space="708"/>
          <w:docGrid w:linePitch="360"/>
        </w:sectPr>
      </w:pPr>
    </w:p>
    <w:p w14:paraId="6B1C0624" w14:textId="77777777" w:rsidR="00D428B7" w:rsidRDefault="00D428B7" w:rsidP="00D428B7">
      <w:pPr>
        <w:spacing w:before="0" w:after="0"/>
      </w:pPr>
    </w:p>
    <w:p w14:paraId="117E4C79" w14:textId="41E03B05" w:rsidR="005C7981" w:rsidRDefault="007C2FFA" w:rsidP="00D428B7">
      <w:pPr>
        <w:spacing w:before="0" w:after="0"/>
      </w:pPr>
      <w:r>
        <w:t xml:space="preserve">Due to the S114 and ongoing service restructures, there </w:t>
      </w:r>
      <w:r w:rsidR="00843021">
        <w:t>has been</w:t>
      </w:r>
      <w:r>
        <w:t xml:space="preserve"> constant change</w:t>
      </w:r>
      <w:r w:rsidR="00843021">
        <w:t xml:space="preserve"> in </w:t>
      </w:r>
      <w:r w:rsidR="00D428B7">
        <w:t>personnel, department organisation and structure</w:t>
      </w:r>
      <w:r>
        <w:t xml:space="preserve">. As such, </w:t>
      </w:r>
      <w:r w:rsidR="00D428B7">
        <w:t xml:space="preserve">at the outset of the AQAP development </w:t>
      </w:r>
      <w:r>
        <w:t xml:space="preserve">it was not feasible to meet with all participants </w:t>
      </w:r>
      <w:r w:rsidR="00D428B7">
        <w:t xml:space="preserve">from different service areas </w:t>
      </w:r>
      <w:r>
        <w:t xml:space="preserve">in the form of a </w:t>
      </w:r>
      <w:r w:rsidR="00D428B7">
        <w:t xml:space="preserve">combined </w:t>
      </w:r>
      <w:r>
        <w:t>steering group as it would not have resulted in targeted discussion. Meetings were therefore held on a one to one basis with department representatives, often with multiple officers attending each meeting</w:t>
      </w:r>
      <w:r w:rsidR="00D428B7">
        <w:t>, i</w:t>
      </w:r>
      <w:r w:rsidR="00572773">
        <w:t>n addition</w:t>
      </w:r>
      <w:r w:rsidR="00D428B7">
        <w:t xml:space="preserve"> to</w:t>
      </w:r>
      <w:r w:rsidR="00572773">
        <w:t xml:space="preserve"> correspondence over email.</w:t>
      </w:r>
    </w:p>
    <w:p w14:paraId="6FD73944" w14:textId="0F3EF7EC" w:rsidR="007C2FFA" w:rsidRDefault="007C2FFA" w:rsidP="005C7981">
      <w:r>
        <w:t>In total</w:t>
      </w:r>
      <w:r w:rsidR="00D428B7">
        <w:t>,</w:t>
      </w:r>
      <w:r>
        <w:t xml:space="preserve"> from July 2023 when the project initiated to January 2024, there </w:t>
      </w:r>
      <w:r w:rsidR="00D428B7">
        <w:t>have been</w:t>
      </w:r>
      <w:r>
        <w:t xml:space="preserve"> 19 </w:t>
      </w:r>
      <w:r w:rsidR="00D428B7">
        <w:t>one to one</w:t>
      </w:r>
      <w:r>
        <w:t xml:space="preserve"> meetings across departments including </w:t>
      </w:r>
      <w:r w:rsidR="00D428B7">
        <w:t>Development Management</w:t>
      </w:r>
      <w:r>
        <w:t xml:space="preserve">, </w:t>
      </w:r>
      <w:r w:rsidR="00D428B7">
        <w:t>T</w:t>
      </w:r>
      <w:r>
        <w:t>ransport</w:t>
      </w:r>
      <w:r w:rsidR="00D428B7">
        <w:t xml:space="preserve"> Planning, Highways Development, Parking, Carbon &amp; Sustainability, Public Health and Communications. Meetings were also held with </w:t>
      </w:r>
      <w:r>
        <w:t xml:space="preserve">the </w:t>
      </w:r>
      <w:r w:rsidR="00D428B7" w:rsidRPr="00D428B7">
        <w:t>Lead Member for the Environment, Environmental Services and Open Spaces</w:t>
      </w:r>
      <w:r>
        <w:t>, and external stakeholder</w:t>
      </w:r>
      <w:r w:rsidR="00D428B7">
        <w:t>s</w:t>
      </w:r>
      <w:r>
        <w:t xml:space="preserve"> </w:t>
      </w:r>
      <w:r w:rsidR="00D428B7">
        <w:t xml:space="preserve">including </w:t>
      </w:r>
      <w:r>
        <w:t>Heathrow Airport Ltd</w:t>
      </w:r>
      <w:r w:rsidR="00D428B7">
        <w:t xml:space="preserve"> and SEGRO</w:t>
      </w:r>
      <w:r>
        <w:t xml:space="preserve">. </w:t>
      </w:r>
    </w:p>
    <w:p w14:paraId="5A7F7FF6" w14:textId="5019C72F" w:rsidR="00572773" w:rsidRPr="005C7981" w:rsidRDefault="00572773" w:rsidP="005C7981">
      <w:r>
        <w:t xml:space="preserve">The steering group members assisted in shaping the measures included in the AQAP, taking into consideration the Council’s current financial position. </w:t>
      </w:r>
    </w:p>
    <w:p w14:paraId="6239505A" w14:textId="77777777" w:rsidR="00C06D0A" w:rsidRDefault="00C06D0A" w:rsidP="0005447E">
      <w:pPr>
        <w:sectPr w:rsidR="00C06D0A" w:rsidSect="00572773">
          <w:type w:val="continuous"/>
          <w:pgSz w:w="11906" w:h="16838" w:code="9"/>
          <w:pgMar w:top="1474" w:right="1418" w:bottom="1134" w:left="1418" w:header="964" w:footer="454" w:gutter="0"/>
          <w:cols w:space="708"/>
          <w:docGrid w:linePitch="360"/>
        </w:sectPr>
      </w:pPr>
    </w:p>
    <w:p w14:paraId="4BCC8195" w14:textId="6DEE3760" w:rsidR="001B1413" w:rsidRPr="00E3664B" w:rsidRDefault="00893953" w:rsidP="00F77171">
      <w:pPr>
        <w:pStyle w:val="Heading1"/>
      </w:pPr>
      <w:bookmarkStart w:id="138" w:name="_Toc88486004"/>
      <w:bookmarkStart w:id="139" w:name="_Toc160129576"/>
      <w:r>
        <w:lastRenderedPageBreak/>
        <w:t>5</w:t>
      </w:r>
      <w:r>
        <w:tab/>
      </w:r>
      <w:r w:rsidR="001B1413" w:rsidRPr="00E3664B">
        <w:t xml:space="preserve">AQAP </w:t>
      </w:r>
      <w:r w:rsidR="003B3BB8" w:rsidRPr="00E3664B">
        <w:t>Measures</w:t>
      </w:r>
      <w:bookmarkEnd w:id="138"/>
      <w:bookmarkEnd w:id="139"/>
    </w:p>
    <w:p w14:paraId="7F9418C0" w14:textId="2E4F080B" w:rsidR="001B1413" w:rsidRPr="00BB19E2" w:rsidRDefault="00DC1213" w:rsidP="00032FC9">
      <w:r>
        <w:t>Table 5.3</w:t>
      </w:r>
      <w:r w:rsidR="002B4B5B">
        <w:t xml:space="preserve"> </w:t>
      </w:r>
      <w:r w:rsidR="001B1413" w:rsidRPr="00E3664B">
        <w:t>shows th</w:t>
      </w:r>
      <w:r w:rsidR="001B1413" w:rsidRPr="00BB19E2">
        <w:t xml:space="preserve">e </w:t>
      </w:r>
      <w:r w:rsidR="008F1B7C" w:rsidRPr="00BB19E2">
        <w:t>Slough Borough Council</w:t>
      </w:r>
      <w:r w:rsidR="001B1413" w:rsidRPr="00BB19E2">
        <w:t xml:space="preserve"> AQAP</w:t>
      </w:r>
      <w:r w:rsidR="003B3BB8" w:rsidRPr="00BB19E2">
        <w:t xml:space="preserve"> measures</w:t>
      </w:r>
      <w:r w:rsidR="001B1413" w:rsidRPr="00BB19E2">
        <w:t>. It contains:</w:t>
      </w:r>
    </w:p>
    <w:p w14:paraId="6F8685F8" w14:textId="77777777" w:rsidR="001B1413" w:rsidRPr="00E3664B" w:rsidRDefault="001B1413" w:rsidP="00CA4AAD">
      <w:pPr>
        <w:numPr>
          <w:ilvl w:val="0"/>
          <w:numId w:val="7"/>
        </w:numPr>
        <w:rPr>
          <w:rFonts w:cs="Arial"/>
        </w:rPr>
      </w:pPr>
      <w:r w:rsidRPr="00BB19E2">
        <w:rPr>
          <w:rFonts w:cs="Arial"/>
        </w:rPr>
        <w:t>a list of the actions that form part of the</w:t>
      </w:r>
      <w:r w:rsidRPr="00E3664B">
        <w:rPr>
          <w:rFonts w:cs="Arial"/>
        </w:rPr>
        <w:t xml:space="preserve"> plan</w:t>
      </w:r>
    </w:p>
    <w:p w14:paraId="16CE5DA1" w14:textId="77777777" w:rsidR="001B1413" w:rsidRPr="00E3664B" w:rsidRDefault="001B1413" w:rsidP="00CA4AAD">
      <w:pPr>
        <w:numPr>
          <w:ilvl w:val="0"/>
          <w:numId w:val="7"/>
        </w:numPr>
        <w:rPr>
          <w:rFonts w:cs="Arial"/>
        </w:rPr>
      </w:pPr>
      <w:r w:rsidRPr="00E3664B">
        <w:rPr>
          <w:rFonts w:cs="Arial"/>
        </w:rPr>
        <w:t>the responsible individual and departments/organisations who will deliver this action</w:t>
      </w:r>
    </w:p>
    <w:p w14:paraId="05EA9793" w14:textId="77777777" w:rsidR="001B1413" w:rsidRPr="00E3664B" w:rsidRDefault="001B1413" w:rsidP="00CA4AAD">
      <w:pPr>
        <w:numPr>
          <w:ilvl w:val="0"/>
          <w:numId w:val="7"/>
        </w:numPr>
        <w:rPr>
          <w:rFonts w:cs="Arial"/>
        </w:rPr>
      </w:pPr>
      <w:r w:rsidRPr="00E3664B">
        <w:rPr>
          <w:rFonts w:cs="Arial"/>
        </w:rPr>
        <w:t xml:space="preserve">estimated cost </w:t>
      </w:r>
      <w:r w:rsidR="009321C6">
        <w:rPr>
          <w:rFonts w:cs="Arial"/>
        </w:rPr>
        <w:t>of implementing each action</w:t>
      </w:r>
      <w:r w:rsidR="001716FB">
        <w:rPr>
          <w:rFonts w:cs="Arial"/>
        </w:rPr>
        <w:t xml:space="preserve"> (overall cost and cost to the local authority)</w:t>
      </w:r>
    </w:p>
    <w:p w14:paraId="13C58AB7" w14:textId="77777777" w:rsidR="001B1413" w:rsidRPr="00E3664B" w:rsidRDefault="001B1413" w:rsidP="00CA4AAD">
      <w:pPr>
        <w:numPr>
          <w:ilvl w:val="0"/>
          <w:numId w:val="7"/>
        </w:numPr>
        <w:rPr>
          <w:rFonts w:cs="Arial"/>
        </w:rPr>
      </w:pPr>
      <w:r w:rsidRPr="00E3664B">
        <w:rPr>
          <w:rFonts w:cs="Arial"/>
        </w:rPr>
        <w:t xml:space="preserve">expected benefit in terms of </w:t>
      </w:r>
      <w:r w:rsidR="003B3BB8" w:rsidRPr="00E3664B">
        <w:rPr>
          <w:rFonts w:cs="Arial"/>
        </w:rPr>
        <w:t>pollutant emission</w:t>
      </w:r>
      <w:r w:rsidRPr="00E3664B">
        <w:rPr>
          <w:rFonts w:cs="Arial"/>
        </w:rPr>
        <w:t xml:space="preserve"> </w:t>
      </w:r>
      <w:r w:rsidR="003B3BB8" w:rsidRPr="00E3664B">
        <w:rPr>
          <w:rFonts w:cs="Arial"/>
        </w:rPr>
        <w:t>and/or</w:t>
      </w:r>
      <w:r w:rsidRPr="00E3664B">
        <w:rPr>
          <w:rFonts w:cs="Arial"/>
        </w:rPr>
        <w:t xml:space="preserve"> concentration reduction</w:t>
      </w:r>
    </w:p>
    <w:p w14:paraId="1C675DAF" w14:textId="77777777" w:rsidR="001B1413" w:rsidRPr="00E3664B" w:rsidRDefault="001B1413" w:rsidP="00CA4AAD">
      <w:pPr>
        <w:numPr>
          <w:ilvl w:val="0"/>
          <w:numId w:val="7"/>
        </w:numPr>
        <w:rPr>
          <w:rFonts w:cs="Arial"/>
        </w:rPr>
      </w:pPr>
      <w:r w:rsidRPr="00E3664B">
        <w:rPr>
          <w:rFonts w:cs="Arial"/>
        </w:rPr>
        <w:t>the timescale for implementation</w:t>
      </w:r>
    </w:p>
    <w:p w14:paraId="4481B5D3" w14:textId="77777777" w:rsidR="00360F4A" w:rsidRDefault="001B1413" w:rsidP="00CA4AAD">
      <w:pPr>
        <w:numPr>
          <w:ilvl w:val="0"/>
          <w:numId w:val="7"/>
        </w:numPr>
        <w:rPr>
          <w:rFonts w:cs="Arial"/>
        </w:rPr>
      </w:pPr>
      <w:r w:rsidRPr="00E3664B">
        <w:rPr>
          <w:rFonts w:cs="Arial"/>
        </w:rPr>
        <w:t>how progress will be monitored</w:t>
      </w:r>
    </w:p>
    <w:p w14:paraId="71F4035A" w14:textId="07A3D696" w:rsidR="008B27B6" w:rsidRPr="0003309B" w:rsidRDefault="008B27B6" w:rsidP="00CA4AAD">
      <w:pPr>
        <w:numPr>
          <w:ilvl w:val="0"/>
          <w:numId w:val="7"/>
        </w:numPr>
        <w:rPr>
          <w:rFonts w:cs="Arial"/>
        </w:rPr>
      </w:pPr>
      <w:r>
        <w:rPr>
          <w:rFonts w:cs="Arial"/>
        </w:rPr>
        <w:t>colour coding to indicate which are expected to result in the greatest air quality impacts as identified in the scenario modelling (</w:t>
      </w:r>
      <w:r w:rsidR="00E34B3D">
        <w:rPr>
          <w:rFonts w:cs="Arial"/>
        </w:rPr>
        <w:t>Appendix D</w:t>
      </w:r>
      <w:r>
        <w:rPr>
          <w:rFonts w:cs="Arial"/>
        </w:rPr>
        <w:t>).</w:t>
      </w:r>
    </w:p>
    <w:p w14:paraId="3F2942C8" w14:textId="77777777" w:rsidR="001B1413" w:rsidRDefault="002B4B5B" w:rsidP="00032FC9">
      <w:pPr>
        <w:rPr>
          <w:rFonts w:cs="Arial"/>
        </w:rPr>
      </w:pPr>
      <w:r>
        <w:rPr>
          <w:rFonts w:cs="Arial"/>
          <w:b/>
        </w:rPr>
        <w:t>NB:</w:t>
      </w:r>
      <w:r>
        <w:rPr>
          <w:rFonts w:cs="Arial"/>
        </w:rPr>
        <w:t xml:space="preserve"> </w:t>
      </w:r>
      <w:r w:rsidR="00360F4A" w:rsidRPr="00360F4A">
        <w:rPr>
          <w:rFonts w:cs="Arial"/>
        </w:rPr>
        <w:t>Please see future ASRs for regular annual updates on implementation of these measures</w:t>
      </w:r>
    </w:p>
    <w:p w14:paraId="179CABDC" w14:textId="40355176" w:rsidR="00B3567D" w:rsidRDefault="00B3567D" w:rsidP="00032FC9">
      <w:pPr>
        <w:rPr>
          <w:rFonts w:cs="Arial"/>
        </w:rPr>
      </w:pPr>
      <w:r>
        <w:rPr>
          <w:rFonts w:cs="Arial"/>
        </w:rPr>
        <w:t>The measures outlined within Table 5.</w:t>
      </w:r>
      <w:r w:rsidR="00DC1213">
        <w:rPr>
          <w:rFonts w:cs="Arial"/>
        </w:rPr>
        <w:t>3</w:t>
      </w:r>
      <w:r>
        <w:rPr>
          <w:rFonts w:cs="Arial"/>
        </w:rPr>
        <w:t xml:space="preserve"> align with the key priorities outlined in Section 3.6 under broad categories of Environment, Transport, and Health Education &amp; Awareness. </w:t>
      </w:r>
    </w:p>
    <w:p w14:paraId="6D3B35F6" w14:textId="5DE40A17" w:rsidR="00C17B14" w:rsidRDefault="00C17B14" w:rsidP="0025036F">
      <w:pPr>
        <w:pStyle w:val="Heading2"/>
        <w:numPr>
          <w:ilvl w:val="1"/>
          <w:numId w:val="74"/>
        </w:numPr>
      </w:pPr>
      <w:bookmarkStart w:id="140" w:name="_Toc160129577"/>
      <w:r w:rsidRPr="00C17B14">
        <w:t>Measures selection process</w:t>
      </w:r>
      <w:bookmarkEnd w:id="140"/>
    </w:p>
    <w:p w14:paraId="1DB7F708" w14:textId="2967792F" w:rsidR="00C17B14" w:rsidRDefault="00C17B14" w:rsidP="00032FC9">
      <w:pPr>
        <w:rPr>
          <w:rFonts w:cs="Arial"/>
        </w:rPr>
      </w:pPr>
      <w:r>
        <w:rPr>
          <w:rFonts w:cs="Arial"/>
        </w:rPr>
        <w:t xml:space="preserve">The identification of measures to be included in the </w:t>
      </w:r>
      <w:r w:rsidR="002F0BF5">
        <w:rPr>
          <w:rFonts w:cs="Arial"/>
        </w:rPr>
        <w:t>core</w:t>
      </w:r>
      <w:r>
        <w:rPr>
          <w:rFonts w:cs="Arial"/>
        </w:rPr>
        <w:t xml:space="preserve"> AQAP has been through a rigorous process</w:t>
      </w:r>
      <w:r w:rsidR="00787610">
        <w:rPr>
          <w:rFonts w:cs="Arial"/>
        </w:rPr>
        <w:t xml:space="preserve">. The steps taken are outlined below: </w:t>
      </w:r>
    </w:p>
    <w:p w14:paraId="6B463321" w14:textId="565322B2" w:rsidR="00787610" w:rsidRDefault="00787610" w:rsidP="00EB191B">
      <w:pPr>
        <w:pStyle w:val="ListParagraph"/>
        <w:numPr>
          <w:ilvl w:val="0"/>
          <w:numId w:val="18"/>
        </w:numPr>
        <w:rPr>
          <w:rFonts w:cs="Arial"/>
        </w:rPr>
      </w:pPr>
      <w:r>
        <w:rPr>
          <w:rFonts w:cs="Arial"/>
        </w:rPr>
        <w:t>Review of all existing plans, policies and strategies which may have an influence on air quality</w:t>
      </w:r>
      <w:r w:rsidR="004103E0">
        <w:rPr>
          <w:rFonts w:cs="Arial"/>
        </w:rPr>
        <w:t xml:space="preserve">, </w:t>
      </w:r>
      <w:r>
        <w:rPr>
          <w:rFonts w:cs="Arial"/>
        </w:rPr>
        <w:t xml:space="preserve">for inclusion in a long list of potential measures (see </w:t>
      </w:r>
      <w:r w:rsidR="00E34B3D">
        <w:rPr>
          <w:rFonts w:cs="Arial"/>
        </w:rPr>
        <w:t xml:space="preserve">Appendix E.1 </w:t>
      </w:r>
      <w:r>
        <w:rPr>
          <w:rFonts w:cs="Arial"/>
        </w:rPr>
        <w:t>for the full review)</w:t>
      </w:r>
    </w:p>
    <w:p w14:paraId="08E13D48" w14:textId="2A1622E0" w:rsidR="00787610" w:rsidRDefault="002F0BF5" w:rsidP="00EB191B">
      <w:pPr>
        <w:pStyle w:val="ListParagraph"/>
        <w:numPr>
          <w:ilvl w:val="0"/>
          <w:numId w:val="18"/>
        </w:numPr>
        <w:rPr>
          <w:rFonts w:cs="Arial"/>
        </w:rPr>
      </w:pPr>
      <w:r>
        <w:rPr>
          <w:rFonts w:cs="Arial"/>
        </w:rPr>
        <w:t>Focused one to one meetings</w:t>
      </w:r>
      <w:r w:rsidR="00787610">
        <w:rPr>
          <w:rFonts w:cs="Arial"/>
        </w:rPr>
        <w:t xml:space="preserve"> with steering group members to ascertain which </w:t>
      </w:r>
      <w:r w:rsidR="004103E0">
        <w:rPr>
          <w:rFonts w:cs="Arial"/>
        </w:rPr>
        <w:t xml:space="preserve">of those </w:t>
      </w:r>
      <w:r w:rsidR="00787610">
        <w:rPr>
          <w:rFonts w:cs="Arial"/>
        </w:rPr>
        <w:t xml:space="preserve">measures are outdated, </w:t>
      </w:r>
      <w:r w:rsidR="00346BF2">
        <w:rPr>
          <w:rFonts w:cs="Arial"/>
        </w:rPr>
        <w:t xml:space="preserve">or </w:t>
      </w:r>
      <w:r w:rsidR="00787610">
        <w:rPr>
          <w:rFonts w:cs="Arial"/>
        </w:rPr>
        <w:t xml:space="preserve">no longer valid or relevant (as some strategies and plans are old and have not been replaced) and to raise any existing measures not currently represented </w:t>
      </w:r>
      <w:r w:rsidR="004103E0">
        <w:rPr>
          <w:rFonts w:cs="Arial"/>
        </w:rPr>
        <w:t>within</w:t>
      </w:r>
      <w:r w:rsidR="00787610">
        <w:rPr>
          <w:rFonts w:cs="Arial"/>
        </w:rPr>
        <w:t xml:space="preserve"> existing strategies and plans</w:t>
      </w:r>
    </w:p>
    <w:p w14:paraId="5F9020C0" w14:textId="75CD7E0F" w:rsidR="00787610" w:rsidRDefault="00787610" w:rsidP="00EB191B">
      <w:pPr>
        <w:pStyle w:val="ListParagraph"/>
        <w:numPr>
          <w:ilvl w:val="0"/>
          <w:numId w:val="18"/>
        </w:numPr>
        <w:rPr>
          <w:rFonts w:cs="Arial"/>
        </w:rPr>
      </w:pPr>
      <w:r>
        <w:rPr>
          <w:rFonts w:cs="Arial"/>
        </w:rPr>
        <w:lastRenderedPageBreak/>
        <w:t>Review of the Air Quality Hub resource</w:t>
      </w:r>
      <w:r w:rsidR="004103E0">
        <w:rPr>
          <w:rFonts w:cs="Arial"/>
        </w:rPr>
        <w:t>s</w:t>
      </w:r>
      <w:r>
        <w:rPr>
          <w:rFonts w:cs="Arial"/>
        </w:rPr>
        <w:t>, to include measures for consideration that other local authorities are delivering but have not been considered by S</w:t>
      </w:r>
      <w:r w:rsidR="00652386">
        <w:rPr>
          <w:rFonts w:cs="Arial"/>
        </w:rPr>
        <w:t>lough Borough Council</w:t>
      </w:r>
      <w:r>
        <w:rPr>
          <w:rFonts w:cs="Arial"/>
        </w:rPr>
        <w:t>.</w:t>
      </w:r>
    </w:p>
    <w:p w14:paraId="44C5B8B2" w14:textId="7E7D9562" w:rsidR="00787610" w:rsidRDefault="00787610" w:rsidP="00EB191B">
      <w:pPr>
        <w:pStyle w:val="ListParagraph"/>
        <w:numPr>
          <w:ilvl w:val="0"/>
          <w:numId w:val="18"/>
        </w:numPr>
        <w:rPr>
          <w:rFonts w:cs="Arial"/>
        </w:rPr>
      </w:pPr>
      <w:r>
        <w:rPr>
          <w:rFonts w:cs="Arial"/>
        </w:rPr>
        <w:t>Application of a matrix / rating system</w:t>
      </w:r>
      <w:r w:rsidR="002F0BF5">
        <w:rPr>
          <w:rFonts w:cs="Arial"/>
        </w:rPr>
        <w:t xml:space="preserve"> of the measures list</w:t>
      </w:r>
      <w:r>
        <w:rPr>
          <w:rFonts w:cs="Arial"/>
        </w:rPr>
        <w:t xml:space="preserve"> </w:t>
      </w:r>
      <w:r w:rsidR="002F0BF5">
        <w:rPr>
          <w:rFonts w:cs="Arial"/>
        </w:rPr>
        <w:t xml:space="preserve">in collaboration with steering group members, </w:t>
      </w:r>
      <w:r>
        <w:rPr>
          <w:rFonts w:cs="Arial"/>
        </w:rPr>
        <w:t>based on p</w:t>
      </w:r>
      <w:r w:rsidRPr="00787610">
        <w:rPr>
          <w:rFonts w:cs="Arial"/>
        </w:rPr>
        <w:t xml:space="preserve">otential for </w:t>
      </w:r>
      <w:r>
        <w:rPr>
          <w:rFonts w:cs="Arial"/>
        </w:rPr>
        <w:t>r</w:t>
      </w:r>
      <w:r w:rsidRPr="00787610">
        <w:rPr>
          <w:rFonts w:cs="Arial"/>
        </w:rPr>
        <w:t>eduction</w:t>
      </w:r>
      <w:r>
        <w:rPr>
          <w:rFonts w:cs="Arial"/>
        </w:rPr>
        <w:t xml:space="preserve"> in pollution, t</w:t>
      </w:r>
      <w:r w:rsidRPr="00787610">
        <w:rPr>
          <w:rFonts w:cs="Arial"/>
        </w:rPr>
        <w:t xml:space="preserve">echnical </w:t>
      </w:r>
      <w:r>
        <w:rPr>
          <w:rFonts w:cs="Arial"/>
        </w:rPr>
        <w:t>f</w:t>
      </w:r>
      <w:r w:rsidRPr="00787610">
        <w:rPr>
          <w:rFonts w:cs="Arial"/>
        </w:rPr>
        <w:t>easibility</w:t>
      </w:r>
      <w:r>
        <w:rPr>
          <w:rFonts w:cs="Arial"/>
        </w:rPr>
        <w:t xml:space="preserve"> of delivery, implementation timeframe, c</w:t>
      </w:r>
      <w:r w:rsidRPr="00787610">
        <w:rPr>
          <w:rFonts w:cs="Arial"/>
        </w:rPr>
        <w:t>ost</w:t>
      </w:r>
      <w:r>
        <w:rPr>
          <w:rFonts w:cs="Arial"/>
        </w:rPr>
        <w:t xml:space="preserve"> and f</w:t>
      </w:r>
      <w:r w:rsidRPr="00787610">
        <w:rPr>
          <w:rFonts w:cs="Arial"/>
        </w:rPr>
        <w:t>unding</w:t>
      </w:r>
      <w:r w:rsidR="002F0BF5">
        <w:rPr>
          <w:rFonts w:cs="Arial"/>
        </w:rPr>
        <w:t xml:space="preserve"> (see </w:t>
      </w:r>
      <w:r w:rsidR="00AE2E6C">
        <w:rPr>
          <w:rFonts w:cs="Arial"/>
        </w:rPr>
        <w:t>Table 5.1</w:t>
      </w:r>
      <w:r w:rsidR="002F0BF5">
        <w:rPr>
          <w:rFonts w:cs="Arial"/>
        </w:rPr>
        <w:t>)</w:t>
      </w:r>
      <w:r>
        <w:rPr>
          <w:rFonts w:cs="Arial"/>
        </w:rPr>
        <w:t xml:space="preserve">. This resulted in a ‘viability score’ which determined how viable it would be to deliver </w:t>
      </w:r>
      <w:r w:rsidR="00BF3E41">
        <w:rPr>
          <w:rFonts w:cs="Arial"/>
        </w:rPr>
        <w:t>the measures</w:t>
      </w:r>
      <w:r w:rsidR="002F0BF5">
        <w:rPr>
          <w:rFonts w:cs="Arial"/>
        </w:rPr>
        <w:t xml:space="preserve"> (Table C.</w:t>
      </w:r>
      <w:r w:rsidR="00B05F43">
        <w:rPr>
          <w:rFonts w:cs="Arial"/>
        </w:rPr>
        <w:t>2 – C.4).</w:t>
      </w:r>
    </w:p>
    <w:p w14:paraId="3D83AB41" w14:textId="4286C143" w:rsidR="00BF3E41" w:rsidRDefault="00BF3E41" w:rsidP="00EB191B">
      <w:pPr>
        <w:pStyle w:val="ListParagraph"/>
        <w:numPr>
          <w:ilvl w:val="0"/>
          <w:numId w:val="18"/>
        </w:numPr>
        <w:rPr>
          <w:rFonts w:cs="Arial"/>
        </w:rPr>
      </w:pPr>
      <w:r>
        <w:rPr>
          <w:rFonts w:cs="Arial"/>
        </w:rPr>
        <w:t xml:space="preserve">Initial measure </w:t>
      </w:r>
      <w:r w:rsidR="00346BF2">
        <w:rPr>
          <w:rFonts w:cs="Arial"/>
        </w:rPr>
        <w:t>scoping</w:t>
      </w:r>
      <w:r>
        <w:rPr>
          <w:rFonts w:cs="Arial"/>
        </w:rPr>
        <w:t>, to prioritise measures which had the highest rated positive impact on air quality</w:t>
      </w:r>
      <w:r w:rsidR="008D08F9">
        <w:rPr>
          <w:rFonts w:cs="Arial"/>
        </w:rPr>
        <w:t xml:space="preserve"> (rated 1)</w:t>
      </w:r>
      <w:r>
        <w:rPr>
          <w:rFonts w:cs="Arial"/>
        </w:rPr>
        <w:t>. Measures which focused on schools (HEA1) were consolidated</w:t>
      </w:r>
      <w:r w:rsidR="00346BF2">
        <w:rPr>
          <w:rFonts w:cs="Arial"/>
        </w:rPr>
        <w:t>,</w:t>
      </w:r>
      <w:r>
        <w:rPr>
          <w:rFonts w:cs="Arial"/>
        </w:rPr>
        <w:t xml:space="preserve"> as</w:t>
      </w:r>
      <w:r w:rsidR="002F0BF5">
        <w:rPr>
          <w:rFonts w:cs="Arial"/>
        </w:rPr>
        <w:t xml:space="preserve"> </w:t>
      </w:r>
      <w:r>
        <w:rPr>
          <w:rFonts w:cs="Arial"/>
        </w:rPr>
        <w:t xml:space="preserve">collectively </w:t>
      </w:r>
      <w:r w:rsidR="002F0BF5">
        <w:rPr>
          <w:rFonts w:cs="Arial"/>
        </w:rPr>
        <w:t xml:space="preserve">they </w:t>
      </w:r>
      <w:r>
        <w:rPr>
          <w:rFonts w:cs="Arial"/>
        </w:rPr>
        <w:t>have a more significant air quality impact than</w:t>
      </w:r>
      <w:r w:rsidR="00346BF2">
        <w:rPr>
          <w:rFonts w:cs="Arial"/>
        </w:rPr>
        <w:t xml:space="preserve"> if delivered</w:t>
      </w:r>
      <w:r>
        <w:rPr>
          <w:rFonts w:cs="Arial"/>
        </w:rPr>
        <w:t xml:space="preserve"> </w:t>
      </w:r>
      <w:r w:rsidR="00D20843">
        <w:rPr>
          <w:rFonts w:cs="Arial"/>
        </w:rPr>
        <w:t xml:space="preserve">individually. </w:t>
      </w:r>
    </w:p>
    <w:p w14:paraId="0C068BB5" w14:textId="5AC9E573" w:rsidR="006C3F93" w:rsidRDefault="008D08F9" w:rsidP="00EB191B">
      <w:pPr>
        <w:pStyle w:val="ListParagraph"/>
        <w:numPr>
          <w:ilvl w:val="0"/>
          <w:numId w:val="18"/>
        </w:numPr>
        <w:rPr>
          <w:rFonts w:cs="Arial"/>
        </w:rPr>
      </w:pPr>
      <w:r>
        <w:rPr>
          <w:rFonts w:cs="Arial"/>
        </w:rPr>
        <w:t xml:space="preserve">Final measure </w:t>
      </w:r>
      <w:r w:rsidR="00346BF2">
        <w:rPr>
          <w:rFonts w:cs="Arial"/>
        </w:rPr>
        <w:t>scoping</w:t>
      </w:r>
      <w:r>
        <w:rPr>
          <w:rFonts w:cs="Arial"/>
        </w:rPr>
        <w:t>, based on the final viability score</w:t>
      </w:r>
      <w:r w:rsidR="002F0BF5">
        <w:rPr>
          <w:rFonts w:cs="Arial"/>
        </w:rPr>
        <w:t>, to form the ‘core’ AQAP measures list</w:t>
      </w:r>
      <w:r>
        <w:rPr>
          <w:rFonts w:cs="Arial"/>
        </w:rPr>
        <w:t xml:space="preserve">. </w:t>
      </w:r>
      <w:r w:rsidR="00486017">
        <w:rPr>
          <w:rFonts w:cs="Arial"/>
        </w:rPr>
        <w:t xml:space="preserve">Scores which exceeded 16 were considered unviable and are presented in </w:t>
      </w:r>
      <w:r w:rsidR="002F0BF5">
        <w:rPr>
          <w:rFonts w:cs="Arial"/>
        </w:rPr>
        <w:t>Table B.1</w:t>
      </w:r>
      <w:r w:rsidR="00486017">
        <w:rPr>
          <w:rFonts w:cs="Arial"/>
        </w:rPr>
        <w:t xml:space="preserve">. These measures will be promoted to </w:t>
      </w:r>
      <w:r w:rsidR="002F0BF5">
        <w:rPr>
          <w:rFonts w:cs="Arial"/>
        </w:rPr>
        <w:t>the core AQAP measures list (Table 5.</w:t>
      </w:r>
      <w:r w:rsidR="00AE2E6C">
        <w:rPr>
          <w:rFonts w:cs="Arial"/>
        </w:rPr>
        <w:t>3</w:t>
      </w:r>
      <w:r w:rsidR="002F0BF5">
        <w:rPr>
          <w:rFonts w:cs="Arial"/>
        </w:rPr>
        <w:t>)</w:t>
      </w:r>
      <w:r w:rsidR="00486017">
        <w:rPr>
          <w:rFonts w:cs="Arial"/>
        </w:rPr>
        <w:t xml:space="preserve"> should the viability of the measure change. This will be assessed annually and </w:t>
      </w:r>
      <w:r w:rsidR="00346BF2">
        <w:rPr>
          <w:rFonts w:cs="Arial"/>
        </w:rPr>
        <w:t xml:space="preserve">will </w:t>
      </w:r>
      <w:r w:rsidR="00486017">
        <w:rPr>
          <w:rFonts w:cs="Arial"/>
        </w:rPr>
        <w:t xml:space="preserve">be presented within the ASR. </w:t>
      </w:r>
    </w:p>
    <w:p w14:paraId="262854D1" w14:textId="56B9D6B1" w:rsidR="002F0BF5" w:rsidRDefault="002F0BF5" w:rsidP="002F0BF5">
      <w:pPr>
        <w:rPr>
          <w:rFonts w:cs="Arial"/>
        </w:rPr>
      </w:pPr>
      <w:r>
        <w:rPr>
          <w:rFonts w:cs="Arial"/>
        </w:rPr>
        <w:t>The full short and long list</w:t>
      </w:r>
      <w:r w:rsidR="00B05F43">
        <w:rPr>
          <w:rFonts w:cs="Arial"/>
        </w:rPr>
        <w:t>s</w:t>
      </w:r>
      <w:r>
        <w:rPr>
          <w:rFonts w:cs="Arial"/>
        </w:rPr>
        <w:t xml:space="preserve"> of measures are presented in Appendix C.</w:t>
      </w:r>
    </w:p>
    <w:p w14:paraId="33AB8BD5" w14:textId="176BF6B1" w:rsidR="00DC1213" w:rsidRPr="002F0BF5" w:rsidRDefault="00AE2E6C" w:rsidP="00AE2E6C">
      <w:pPr>
        <w:pStyle w:val="Tables"/>
      </w:pPr>
      <w:bookmarkStart w:id="141" w:name="_Toc160128557"/>
      <w:r>
        <w:t>Table 5.1: Scoring matrix for measures assessment</w:t>
      </w:r>
      <w:bookmarkEnd w:id="141"/>
      <w:r>
        <w:t xml:space="preserve"> </w:t>
      </w:r>
    </w:p>
    <w:p w14:paraId="4AD29A84" w14:textId="6E5C463F" w:rsidR="006C3F93" w:rsidRDefault="006C3F93" w:rsidP="006C3F93">
      <w:pPr>
        <w:spacing w:after="0"/>
        <w:rPr>
          <w:rFonts w:cs="Arial"/>
        </w:rPr>
      </w:pPr>
      <w:r>
        <w:rPr>
          <w:rFonts w:cs="Arial"/>
        </w:rPr>
        <w:t>Potential for reduction:</w:t>
      </w:r>
    </w:p>
    <w:tbl>
      <w:tblPr>
        <w:tblStyle w:val="TableGrid"/>
        <w:tblW w:w="0" w:type="auto"/>
        <w:tblLook w:val="04A0" w:firstRow="1" w:lastRow="0" w:firstColumn="1" w:lastColumn="0" w:noHBand="0" w:noVBand="1"/>
      </w:tblPr>
      <w:tblGrid>
        <w:gridCol w:w="988"/>
        <w:gridCol w:w="1842"/>
        <w:gridCol w:w="6230"/>
      </w:tblGrid>
      <w:tr w:rsidR="006C3F93" w14:paraId="3C08E824" w14:textId="77777777" w:rsidTr="006C3F93">
        <w:trPr>
          <w:trHeight w:val="59"/>
        </w:trPr>
        <w:tc>
          <w:tcPr>
            <w:tcW w:w="988" w:type="dxa"/>
            <w:shd w:val="clear" w:color="auto" w:fill="E2EFD9" w:themeFill="accent6" w:themeFillTint="33"/>
          </w:tcPr>
          <w:p w14:paraId="753481D8" w14:textId="72425538" w:rsidR="006C3F93" w:rsidRDefault="006C3F93" w:rsidP="006C3F93">
            <w:pPr>
              <w:spacing w:before="0" w:after="0" w:line="240" w:lineRule="auto"/>
              <w:rPr>
                <w:rFonts w:cs="Arial"/>
              </w:rPr>
            </w:pPr>
            <w:r>
              <w:rPr>
                <w:rFonts w:cs="Arial"/>
              </w:rPr>
              <w:t>Score</w:t>
            </w:r>
          </w:p>
        </w:tc>
        <w:tc>
          <w:tcPr>
            <w:tcW w:w="1842" w:type="dxa"/>
            <w:shd w:val="clear" w:color="auto" w:fill="E2EFD9" w:themeFill="accent6" w:themeFillTint="33"/>
          </w:tcPr>
          <w:p w14:paraId="7A662FD4" w14:textId="7CB6A9C0" w:rsidR="006C3F93" w:rsidRDefault="006C3F93" w:rsidP="006C3F93">
            <w:pPr>
              <w:spacing w:before="0" w:after="0" w:line="240" w:lineRule="auto"/>
              <w:rPr>
                <w:rFonts w:cs="Arial"/>
              </w:rPr>
            </w:pPr>
            <w:r>
              <w:rPr>
                <w:rFonts w:cs="Arial"/>
              </w:rPr>
              <w:t>Rating</w:t>
            </w:r>
          </w:p>
        </w:tc>
        <w:tc>
          <w:tcPr>
            <w:tcW w:w="6230" w:type="dxa"/>
            <w:shd w:val="clear" w:color="auto" w:fill="E2EFD9" w:themeFill="accent6" w:themeFillTint="33"/>
          </w:tcPr>
          <w:p w14:paraId="3D45DBAA" w14:textId="7E5E1EE0" w:rsidR="006C3F93" w:rsidRDefault="006C3F93" w:rsidP="006C3F93">
            <w:pPr>
              <w:spacing w:before="0" w:after="0" w:line="240" w:lineRule="auto"/>
              <w:rPr>
                <w:rFonts w:cs="Arial"/>
              </w:rPr>
            </w:pPr>
            <w:r>
              <w:rPr>
                <w:rFonts w:cs="Arial"/>
              </w:rPr>
              <w:t>Description</w:t>
            </w:r>
          </w:p>
        </w:tc>
      </w:tr>
      <w:tr w:rsidR="006C3F93" w14:paraId="18DF1E11" w14:textId="77777777" w:rsidTr="006C3F93">
        <w:tc>
          <w:tcPr>
            <w:tcW w:w="988" w:type="dxa"/>
          </w:tcPr>
          <w:p w14:paraId="3CBE8FAF" w14:textId="397E6376" w:rsidR="006C3F93" w:rsidRDefault="006C3F93" w:rsidP="006C3F93">
            <w:pPr>
              <w:spacing w:before="0" w:after="0" w:line="240" w:lineRule="auto"/>
              <w:rPr>
                <w:rFonts w:cs="Arial"/>
              </w:rPr>
            </w:pPr>
            <w:r>
              <w:rPr>
                <w:rFonts w:cs="Arial"/>
              </w:rPr>
              <w:t>1</w:t>
            </w:r>
          </w:p>
        </w:tc>
        <w:tc>
          <w:tcPr>
            <w:tcW w:w="1842" w:type="dxa"/>
          </w:tcPr>
          <w:p w14:paraId="759B07E9" w14:textId="62B8DA17" w:rsidR="006C3F93" w:rsidRDefault="006C3F93" w:rsidP="006C3F93">
            <w:pPr>
              <w:spacing w:before="0" w:after="0" w:line="240" w:lineRule="auto"/>
              <w:rPr>
                <w:rFonts w:cs="Arial"/>
              </w:rPr>
            </w:pPr>
            <w:r>
              <w:rPr>
                <w:rFonts w:cs="Arial"/>
              </w:rPr>
              <w:t>High</w:t>
            </w:r>
          </w:p>
        </w:tc>
        <w:tc>
          <w:tcPr>
            <w:tcW w:w="6230" w:type="dxa"/>
          </w:tcPr>
          <w:p w14:paraId="578B5F98" w14:textId="7ABAA234" w:rsidR="006C3F93" w:rsidRDefault="006C3F93" w:rsidP="006C3F93">
            <w:pPr>
              <w:spacing w:before="0" w:after="0" w:line="240" w:lineRule="auto"/>
              <w:rPr>
                <w:rFonts w:cs="Arial"/>
              </w:rPr>
            </w:pPr>
            <w:r>
              <w:rPr>
                <w:rFonts w:cs="Arial"/>
              </w:rPr>
              <w:t>Measure actively results in positive air quality impact</w:t>
            </w:r>
          </w:p>
        </w:tc>
      </w:tr>
      <w:tr w:rsidR="006C3F93" w14:paraId="151F7A6D" w14:textId="77777777" w:rsidTr="006C3F93">
        <w:tc>
          <w:tcPr>
            <w:tcW w:w="988" w:type="dxa"/>
          </w:tcPr>
          <w:p w14:paraId="42912F78" w14:textId="40BA6E06" w:rsidR="006C3F93" w:rsidRDefault="006C3F93" w:rsidP="006C3F93">
            <w:pPr>
              <w:spacing w:before="0" w:after="0" w:line="240" w:lineRule="auto"/>
              <w:rPr>
                <w:rFonts w:cs="Arial"/>
              </w:rPr>
            </w:pPr>
            <w:r>
              <w:rPr>
                <w:rFonts w:cs="Arial"/>
              </w:rPr>
              <w:t>2</w:t>
            </w:r>
          </w:p>
        </w:tc>
        <w:tc>
          <w:tcPr>
            <w:tcW w:w="1842" w:type="dxa"/>
          </w:tcPr>
          <w:p w14:paraId="56D6D866" w14:textId="2A9809FB" w:rsidR="006C3F93" w:rsidRDefault="006C3F93" w:rsidP="006C3F93">
            <w:pPr>
              <w:spacing w:before="0" w:after="0" w:line="240" w:lineRule="auto"/>
              <w:rPr>
                <w:rFonts w:cs="Arial"/>
              </w:rPr>
            </w:pPr>
            <w:r>
              <w:rPr>
                <w:rFonts w:cs="Arial"/>
              </w:rPr>
              <w:t>Medium</w:t>
            </w:r>
          </w:p>
        </w:tc>
        <w:tc>
          <w:tcPr>
            <w:tcW w:w="6230" w:type="dxa"/>
          </w:tcPr>
          <w:p w14:paraId="0B3897AD" w14:textId="295E47B6" w:rsidR="006C3F93" w:rsidRDefault="006C3F93" w:rsidP="006C3F93">
            <w:pPr>
              <w:spacing w:before="0" w:after="0" w:line="240" w:lineRule="auto"/>
              <w:rPr>
                <w:rFonts w:cs="Arial"/>
              </w:rPr>
            </w:pPr>
            <w:r>
              <w:rPr>
                <w:rFonts w:cs="Arial"/>
              </w:rPr>
              <w:t xml:space="preserve">Measure has knock on impact of improved air quality or helps to stop air quality worsening </w:t>
            </w:r>
          </w:p>
        </w:tc>
      </w:tr>
      <w:tr w:rsidR="006C3F93" w14:paraId="77781E48" w14:textId="77777777" w:rsidTr="006C3F93">
        <w:tc>
          <w:tcPr>
            <w:tcW w:w="988" w:type="dxa"/>
          </w:tcPr>
          <w:p w14:paraId="2ED1D963" w14:textId="562E9FB9" w:rsidR="006C3F93" w:rsidRDefault="006C3F93" w:rsidP="006C3F93">
            <w:pPr>
              <w:spacing w:before="0" w:after="0" w:line="240" w:lineRule="auto"/>
              <w:rPr>
                <w:rFonts w:cs="Arial"/>
              </w:rPr>
            </w:pPr>
            <w:r>
              <w:rPr>
                <w:rFonts w:cs="Arial"/>
              </w:rPr>
              <w:t>3</w:t>
            </w:r>
          </w:p>
        </w:tc>
        <w:tc>
          <w:tcPr>
            <w:tcW w:w="1842" w:type="dxa"/>
          </w:tcPr>
          <w:p w14:paraId="438D7926" w14:textId="476C72E1" w:rsidR="006C3F93" w:rsidRDefault="006C3F93" w:rsidP="006C3F93">
            <w:pPr>
              <w:spacing w:before="0" w:after="0" w:line="240" w:lineRule="auto"/>
              <w:rPr>
                <w:rFonts w:cs="Arial"/>
              </w:rPr>
            </w:pPr>
            <w:r>
              <w:rPr>
                <w:rFonts w:cs="Arial"/>
              </w:rPr>
              <w:t>Low</w:t>
            </w:r>
          </w:p>
        </w:tc>
        <w:tc>
          <w:tcPr>
            <w:tcW w:w="6230" w:type="dxa"/>
          </w:tcPr>
          <w:p w14:paraId="256D919E" w14:textId="1E09CB61" w:rsidR="006C3F93" w:rsidRDefault="006C3F93" w:rsidP="006C3F93">
            <w:pPr>
              <w:spacing w:before="0" w:after="0" w:line="240" w:lineRule="auto"/>
              <w:rPr>
                <w:rFonts w:cs="Arial"/>
              </w:rPr>
            </w:pPr>
            <w:r>
              <w:rPr>
                <w:rFonts w:cs="Arial"/>
              </w:rPr>
              <w:t xml:space="preserve">Indirect air quality impact that supports air quality improvement, such as monitoring and promotion </w:t>
            </w:r>
          </w:p>
        </w:tc>
      </w:tr>
    </w:tbl>
    <w:p w14:paraId="080BCDDD" w14:textId="669146F6" w:rsidR="006C3F93" w:rsidRDefault="006C3F93" w:rsidP="006C3F93">
      <w:pPr>
        <w:spacing w:after="0"/>
        <w:rPr>
          <w:rFonts w:cs="Arial"/>
        </w:rPr>
      </w:pPr>
      <w:r>
        <w:rPr>
          <w:rFonts w:cs="Arial"/>
        </w:rPr>
        <w:t>Technical feasibility:</w:t>
      </w:r>
    </w:p>
    <w:tbl>
      <w:tblPr>
        <w:tblStyle w:val="TableGrid"/>
        <w:tblW w:w="0" w:type="auto"/>
        <w:tblLook w:val="04A0" w:firstRow="1" w:lastRow="0" w:firstColumn="1" w:lastColumn="0" w:noHBand="0" w:noVBand="1"/>
      </w:tblPr>
      <w:tblGrid>
        <w:gridCol w:w="988"/>
        <w:gridCol w:w="1842"/>
        <w:gridCol w:w="6230"/>
      </w:tblGrid>
      <w:tr w:rsidR="006C3F93" w14:paraId="6A4A1153" w14:textId="77777777" w:rsidTr="006C3F93">
        <w:trPr>
          <w:trHeight w:val="59"/>
        </w:trPr>
        <w:tc>
          <w:tcPr>
            <w:tcW w:w="988" w:type="dxa"/>
            <w:shd w:val="clear" w:color="auto" w:fill="E2EFD9" w:themeFill="accent6" w:themeFillTint="33"/>
          </w:tcPr>
          <w:p w14:paraId="1B04791E" w14:textId="77777777" w:rsidR="006C3F93" w:rsidRDefault="006C3F93" w:rsidP="007B10BD">
            <w:pPr>
              <w:spacing w:before="0" w:after="0" w:line="240" w:lineRule="auto"/>
              <w:rPr>
                <w:rFonts w:cs="Arial"/>
              </w:rPr>
            </w:pPr>
            <w:r>
              <w:rPr>
                <w:rFonts w:cs="Arial"/>
              </w:rPr>
              <w:t>Score</w:t>
            </w:r>
          </w:p>
        </w:tc>
        <w:tc>
          <w:tcPr>
            <w:tcW w:w="1842" w:type="dxa"/>
            <w:shd w:val="clear" w:color="auto" w:fill="E2EFD9" w:themeFill="accent6" w:themeFillTint="33"/>
          </w:tcPr>
          <w:p w14:paraId="15A746D9" w14:textId="77777777" w:rsidR="006C3F93" w:rsidRDefault="006C3F93" w:rsidP="007B10BD">
            <w:pPr>
              <w:spacing w:before="0" w:after="0" w:line="240" w:lineRule="auto"/>
              <w:rPr>
                <w:rFonts w:cs="Arial"/>
              </w:rPr>
            </w:pPr>
            <w:r>
              <w:rPr>
                <w:rFonts w:cs="Arial"/>
              </w:rPr>
              <w:t>Rating</w:t>
            </w:r>
          </w:p>
        </w:tc>
        <w:tc>
          <w:tcPr>
            <w:tcW w:w="6230" w:type="dxa"/>
            <w:shd w:val="clear" w:color="auto" w:fill="E2EFD9" w:themeFill="accent6" w:themeFillTint="33"/>
          </w:tcPr>
          <w:p w14:paraId="4D55A93B" w14:textId="77777777" w:rsidR="006C3F93" w:rsidRDefault="006C3F93" w:rsidP="007B10BD">
            <w:pPr>
              <w:spacing w:before="0" w:after="0" w:line="240" w:lineRule="auto"/>
              <w:rPr>
                <w:rFonts w:cs="Arial"/>
              </w:rPr>
            </w:pPr>
            <w:r>
              <w:rPr>
                <w:rFonts w:cs="Arial"/>
              </w:rPr>
              <w:t>Description</w:t>
            </w:r>
          </w:p>
        </w:tc>
      </w:tr>
      <w:tr w:rsidR="006C3F93" w14:paraId="7C0F217D" w14:textId="77777777" w:rsidTr="006C3F93">
        <w:tc>
          <w:tcPr>
            <w:tcW w:w="988" w:type="dxa"/>
          </w:tcPr>
          <w:p w14:paraId="368795A3" w14:textId="77777777" w:rsidR="006C3F93" w:rsidRDefault="006C3F93" w:rsidP="007B10BD">
            <w:pPr>
              <w:spacing w:before="0" w:after="0" w:line="240" w:lineRule="auto"/>
              <w:rPr>
                <w:rFonts w:cs="Arial"/>
              </w:rPr>
            </w:pPr>
            <w:r>
              <w:rPr>
                <w:rFonts w:cs="Arial"/>
              </w:rPr>
              <w:t>1</w:t>
            </w:r>
          </w:p>
        </w:tc>
        <w:tc>
          <w:tcPr>
            <w:tcW w:w="1842" w:type="dxa"/>
          </w:tcPr>
          <w:p w14:paraId="0A846B0E" w14:textId="4291B49C" w:rsidR="006C3F93" w:rsidRDefault="006C3F93" w:rsidP="007B10BD">
            <w:pPr>
              <w:spacing w:before="0" w:after="0" w:line="240" w:lineRule="auto"/>
              <w:rPr>
                <w:rFonts w:cs="Arial"/>
              </w:rPr>
            </w:pPr>
            <w:r>
              <w:rPr>
                <w:rFonts w:cs="Arial"/>
              </w:rPr>
              <w:t>Highly feasible</w:t>
            </w:r>
          </w:p>
        </w:tc>
        <w:tc>
          <w:tcPr>
            <w:tcW w:w="6230" w:type="dxa"/>
          </w:tcPr>
          <w:p w14:paraId="150BAD96" w14:textId="05416C14" w:rsidR="006C3F93" w:rsidRDefault="006C3F93" w:rsidP="007B10BD">
            <w:pPr>
              <w:spacing w:before="0" w:after="0" w:line="240" w:lineRule="auto"/>
              <w:rPr>
                <w:rFonts w:cs="Arial"/>
              </w:rPr>
            </w:pPr>
            <w:r>
              <w:rPr>
                <w:rFonts w:cs="Arial"/>
              </w:rPr>
              <w:t>Relatively simple to implement</w:t>
            </w:r>
          </w:p>
        </w:tc>
      </w:tr>
      <w:tr w:rsidR="006C3F93" w14:paraId="39D377AA" w14:textId="77777777" w:rsidTr="006C3F93">
        <w:tc>
          <w:tcPr>
            <w:tcW w:w="988" w:type="dxa"/>
          </w:tcPr>
          <w:p w14:paraId="6B84BBFB" w14:textId="77777777" w:rsidR="006C3F93" w:rsidRDefault="006C3F93" w:rsidP="007B10BD">
            <w:pPr>
              <w:spacing w:before="0" w:after="0" w:line="240" w:lineRule="auto"/>
              <w:rPr>
                <w:rFonts w:cs="Arial"/>
              </w:rPr>
            </w:pPr>
            <w:r>
              <w:rPr>
                <w:rFonts w:cs="Arial"/>
              </w:rPr>
              <w:t>2</w:t>
            </w:r>
          </w:p>
        </w:tc>
        <w:tc>
          <w:tcPr>
            <w:tcW w:w="1842" w:type="dxa"/>
          </w:tcPr>
          <w:p w14:paraId="5E2C8AE3" w14:textId="2C58C08E" w:rsidR="006C3F93" w:rsidRDefault="006C3F93" w:rsidP="007B10BD">
            <w:pPr>
              <w:spacing w:before="0" w:after="0" w:line="240" w:lineRule="auto"/>
              <w:rPr>
                <w:rFonts w:cs="Arial"/>
              </w:rPr>
            </w:pPr>
            <w:r>
              <w:rPr>
                <w:rFonts w:cs="Arial"/>
              </w:rPr>
              <w:t>Medium feasibility</w:t>
            </w:r>
          </w:p>
        </w:tc>
        <w:tc>
          <w:tcPr>
            <w:tcW w:w="6230" w:type="dxa"/>
          </w:tcPr>
          <w:p w14:paraId="6DD9064C" w14:textId="79A47AE2" w:rsidR="006C3F93" w:rsidRDefault="006C3F93" w:rsidP="007B10BD">
            <w:pPr>
              <w:spacing w:before="0" w:after="0" w:line="240" w:lineRule="auto"/>
              <w:rPr>
                <w:rFonts w:cs="Arial"/>
              </w:rPr>
            </w:pPr>
            <w:r>
              <w:rPr>
                <w:rFonts w:cs="Arial"/>
              </w:rPr>
              <w:t xml:space="preserve">Some technical challenges </w:t>
            </w:r>
          </w:p>
        </w:tc>
      </w:tr>
      <w:tr w:rsidR="006C3F93" w14:paraId="150C19C1" w14:textId="77777777" w:rsidTr="006C3F93">
        <w:tc>
          <w:tcPr>
            <w:tcW w:w="988" w:type="dxa"/>
          </w:tcPr>
          <w:p w14:paraId="00A27786" w14:textId="77777777" w:rsidR="006C3F93" w:rsidRDefault="006C3F93" w:rsidP="007B10BD">
            <w:pPr>
              <w:spacing w:before="0" w:after="0" w:line="240" w:lineRule="auto"/>
              <w:rPr>
                <w:rFonts w:cs="Arial"/>
              </w:rPr>
            </w:pPr>
            <w:r>
              <w:rPr>
                <w:rFonts w:cs="Arial"/>
              </w:rPr>
              <w:t>3</w:t>
            </w:r>
          </w:p>
        </w:tc>
        <w:tc>
          <w:tcPr>
            <w:tcW w:w="1842" w:type="dxa"/>
          </w:tcPr>
          <w:p w14:paraId="73CFFD15" w14:textId="3A44AF1B" w:rsidR="006C3F93" w:rsidRDefault="006C3F93" w:rsidP="007B10BD">
            <w:pPr>
              <w:spacing w:before="0" w:after="0" w:line="240" w:lineRule="auto"/>
              <w:rPr>
                <w:rFonts w:cs="Arial"/>
              </w:rPr>
            </w:pPr>
            <w:r>
              <w:rPr>
                <w:rFonts w:cs="Arial"/>
              </w:rPr>
              <w:t>Low feasibility</w:t>
            </w:r>
          </w:p>
        </w:tc>
        <w:tc>
          <w:tcPr>
            <w:tcW w:w="6230" w:type="dxa"/>
          </w:tcPr>
          <w:p w14:paraId="0D2D11AF" w14:textId="2B980F56" w:rsidR="006C3F93" w:rsidRDefault="006C3F93" w:rsidP="007B10BD">
            <w:pPr>
              <w:spacing w:before="0" w:after="0" w:line="240" w:lineRule="auto"/>
              <w:rPr>
                <w:rFonts w:cs="Arial"/>
              </w:rPr>
            </w:pPr>
            <w:r>
              <w:rPr>
                <w:rFonts w:cs="Arial"/>
              </w:rPr>
              <w:t xml:space="preserve">Technically complex </w:t>
            </w:r>
          </w:p>
        </w:tc>
      </w:tr>
    </w:tbl>
    <w:p w14:paraId="4AFDF079" w14:textId="77777777" w:rsidR="00AE2E6C" w:rsidRDefault="00AE2E6C" w:rsidP="006C3F93">
      <w:pPr>
        <w:spacing w:after="0"/>
        <w:rPr>
          <w:rFonts w:cs="Arial"/>
        </w:rPr>
      </w:pPr>
    </w:p>
    <w:p w14:paraId="791DAFD7" w14:textId="77777777" w:rsidR="00AE2E6C" w:rsidRDefault="00AE2E6C" w:rsidP="006C3F93">
      <w:pPr>
        <w:spacing w:after="0"/>
        <w:rPr>
          <w:rFonts w:cs="Arial"/>
        </w:rPr>
      </w:pPr>
    </w:p>
    <w:p w14:paraId="4368D21B" w14:textId="77777777" w:rsidR="00AE2E6C" w:rsidRDefault="00AE2E6C" w:rsidP="006C3F93">
      <w:pPr>
        <w:spacing w:after="0"/>
        <w:rPr>
          <w:rFonts w:cs="Arial"/>
        </w:rPr>
      </w:pPr>
    </w:p>
    <w:p w14:paraId="1BD3781B" w14:textId="02EFC518" w:rsidR="006C3F93" w:rsidRDefault="006C3F93" w:rsidP="006C3F93">
      <w:pPr>
        <w:spacing w:after="0"/>
        <w:rPr>
          <w:rFonts w:cs="Arial"/>
        </w:rPr>
      </w:pPr>
      <w:r>
        <w:rPr>
          <w:rFonts w:cs="Arial"/>
        </w:rPr>
        <w:t>Implementation timeframe:</w:t>
      </w:r>
    </w:p>
    <w:tbl>
      <w:tblPr>
        <w:tblStyle w:val="TableGrid"/>
        <w:tblW w:w="0" w:type="auto"/>
        <w:tblLook w:val="04A0" w:firstRow="1" w:lastRow="0" w:firstColumn="1" w:lastColumn="0" w:noHBand="0" w:noVBand="1"/>
      </w:tblPr>
      <w:tblGrid>
        <w:gridCol w:w="988"/>
        <w:gridCol w:w="1842"/>
        <w:gridCol w:w="6230"/>
      </w:tblGrid>
      <w:tr w:rsidR="006C3F93" w14:paraId="72A82614" w14:textId="77777777" w:rsidTr="006C3F93">
        <w:tc>
          <w:tcPr>
            <w:tcW w:w="988" w:type="dxa"/>
            <w:shd w:val="clear" w:color="auto" w:fill="E2EFD9" w:themeFill="accent6" w:themeFillTint="33"/>
          </w:tcPr>
          <w:p w14:paraId="61E5122C" w14:textId="7D82B200" w:rsidR="006C3F93" w:rsidRDefault="006C3F93" w:rsidP="006C3F93">
            <w:pPr>
              <w:spacing w:before="0" w:after="0" w:line="240" w:lineRule="auto"/>
              <w:rPr>
                <w:rFonts w:cs="Arial"/>
              </w:rPr>
            </w:pPr>
            <w:r>
              <w:rPr>
                <w:rFonts w:cs="Arial"/>
              </w:rPr>
              <w:t>Score</w:t>
            </w:r>
          </w:p>
        </w:tc>
        <w:tc>
          <w:tcPr>
            <w:tcW w:w="1842" w:type="dxa"/>
            <w:shd w:val="clear" w:color="auto" w:fill="E2EFD9" w:themeFill="accent6" w:themeFillTint="33"/>
          </w:tcPr>
          <w:p w14:paraId="2BF70DF5" w14:textId="327A7831" w:rsidR="006C3F93" w:rsidRDefault="006C3F93" w:rsidP="006C3F93">
            <w:pPr>
              <w:spacing w:before="0" w:after="0" w:line="240" w:lineRule="auto"/>
              <w:rPr>
                <w:rFonts w:cs="Arial"/>
              </w:rPr>
            </w:pPr>
            <w:r>
              <w:rPr>
                <w:rFonts w:cs="Arial"/>
              </w:rPr>
              <w:t>Rating</w:t>
            </w:r>
          </w:p>
        </w:tc>
        <w:tc>
          <w:tcPr>
            <w:tcW w:w="6230" w:type="dxa"/>
            <w:shd w:val="clear" w:color="auto" w:fill="E2EFD9" w:themeFill="accent6" w:themeFillTint="33"/>
          </w:tcPr>
          <w:p w14:paraId="3FDF4007" w14:textId="6B86F14C" w:rsidR="006C3F93" w:rsidRDefault="006C3F93" w:rsidP="006C3F93">
            <w:pPr>
              <w:spacing w:before="0" w:after="0" w:line="240" w:lineRule="auto"/>
              <w:rPr>
                <w:rFonts w:cs="Arial"/>
              </w:rPr>
            </w:pPr>
            <w:r>
              <w:rPr>
                <w:rFonts w:cs="Arial"/>
              </w:rPr>
              <w:t xml:space="preserve">Description </w:t>
            </w:r>
          </w:p>
        </w:tc>
      </w:tr>
      <w:tr w:rsidR="006C3F93" w14:paraId="52568903" w14:textId="77777777" w:rsidTr="006C3F93">
        <w:tc>
          <w:tcPr>
            <w:tcW w:w="988" w:type="dxa"/>
          </w:tcPr>
          <w:p w14:paraId="37C9CFCB" w14:textId="19F3A0B0" w:rsidR="006C3F93" w:rsidRDefault="006C3F93" w:rsidP="006C3F93">
            <w:pPr>
              <w:spacing w:before="0" w:after="0" w:line="240" w:lineRule="auto"/>
              <w:rPr>
                <w:rFonts w:cs="Arial"/>
              </w:rPr>
            </w:pPr>
            <w:r>
              <w:rPr>
                <w:rFonts w:cs="Arial"/>
              </w:rPr>
              <w:t>1</w:t>
            </w:r>
          </w:p>
        </w:tc>
        <w:tc>
          <w:tcPr>
            <w:tcW w:w="1842" w:type="dxa"/>
          </w:tcPr>
          <w:p w14:paraId="54356268" w14:textId="4B55940C" w:rsidR="006C3F93" w:rsidRDefault="006C3F93" w:rsidP="006C3F93">
            <w:pPr>
              <w:spacing w:before="0" w:after="0" w:line="240" w:lineRule="auto"/>
              <w:rPr>
                <w:rFonts w:cs="Arial"/>
              </w:rPr>
            </w:pPr>
            <w:r>
              <w:rPr>
                <w:rFonts w:cs="Arial"/>
              </w:rPr>
              <w:t>Very short</w:t>
            </w:r>
          </w:p>
        </w:tc>
        <w:tc>
          <w:tcPr>
            <w:tcW w:w="6230" w:type="dxa"/>
          </w:tcPr>
          <w:p w14:paraId="1F0D0A72" w14:textId="054AD7AC" w:rsidR="006C3F93" w:rsidRDefault="006C3F93" w:rsidP="006C3F93">
            <w:pPr>
              <w:spacing w:before="0" w:after="0" w:line="240" w:lineRule="auto"/>
              <w:rPr>
                <w:rFonts w:cs="Arial"/>
              </w:rPr>
            </w:pPr>
            <w:r>
              <w:rPr>
                <w:rFonts w:cs="Arial"/>
              </w:rPr>
              <w:t xml:space="preserve">&lt;6 months </w:t>
            </w:r>
          </w:p>
        </w:tc>
      </w:tr>
      <w:tr w:rsidR="006C3F93" w14:paraId="34F5812D" w14:textId="77777777" w:rsidTr="006C3F93">
        <w:tc>
          <w:tcPr>
            <w:tcW w:w="988" w:type="dxa"/>
          </w:tcPr>
          <w:p w14:paraId="5CD30A82" w14:textId="32684EFD" w:rsidR="006C3F93" w:rsidRDefault="006C3F93" w:rsidP="006C3F93">
            <w:pPr>
              <w:spacing w:before="0" w:after="0" w:line="240" w:lineRule="auto"/>
              <w:rPr>
                <w:rFonts w:cs="Arial"/>
              </w:rPr>
            </w:pPr>
            <w:r>
              <w:rPr>
                <w:rFonts w:cs="Arial"/>
              </w:rPr>
              <w:t>2</w:t>
            </w:r>
          </w:p>
        </w:tc>
        <w:tc>
          <w:tcPr>
            <w:tcW w:w="1842" w:type="dxa"/>
          </w:tcPr>
          <w:p w14:paraId="274715F0" w14:textId="79B52E3C" w:rsidR="006C3F93" w:rsidRDefault="006C3F93" w:rsidP="006C3F93">
            <w:pPr>
              <w:spacing w:before="0" w:after="0" w:line="240" w:lineRule="auto"/>
              <w:rPr>
                <w:rFonts w:cs="Arial"/>
              </w:rPr>
            </w:pPr>
            <w:r>
              <w:rPr>
                <w:rFonts w:cs="Arial"/>
              </w:rPr>
              <w:t>Short</w:t>
            </w:r>
          </w:p>
        </w:tc>
        <w:tc>
          <w:tcPr>
            <w:tcW w:w="6230" w:type="dxa"/>
          </w:tcPr>
          <w:p w14:paraId="6D216390" w14:textId="68535566" w:rsidR="006C3F93" w:rsidRDefault="006C3F93" w:rsidP="006C3F93">
            <w:pPr>
              <w:spacing w:before="0" w:after="0" w:line="240" w:lineRule="auto"/>
              <w:rPr>
                <w:rFonts w:cs="Arial"/>
              </w:rPr>
            </w:pPr>
            <w:r>
              <w:rPr>
                <w:rFonts w:cs="Arial"/>
              </w:rPr>
              <w:t xml:space="preserve">6-12 months </w:t>
            </w:r>
          </w:p>
        </w:tc>
      </w:tr>
      <w:tr w:rsidR="006C3F93" w14:paraId="2B0588D2" w14:textId="77777777" w:rsidTr="006C3F93">
        <w:tc>
          <w:tcPr>
            <w:tcW w:w="988" w:type="dxa"/>
          </w:tcPr>
          <w:p w14:paraId="49696A8C" w14:textId="66AB0B96" w:rsidR="006C3F93" w:rsidRDefault="006C3F93" w:rsidP="006C3F93">
            <w:pPr>
              <w:spacing w:before="0" w:after="0" w:line="240" w:lineRule="auto"/>
              <w:rPr>
                <w:rFonts w:cs="Arial"/>
              </w:rPr>
            </w:pPr>
            <w:r>
              <w:rPr>
                <w:rFonts w:cs="Arial"/>
              </w:rPr>
              <w:t>3</w:t>
            </w:r>
          </w:p>
        </w:tc>
        <w:tc>
          <w:tcPr>
            <w:tcW w:w="1842" w:type="dxa"/>
          </w:tcPr>
          <w:p w14:paraId="6C295679" w14:textId="01B7DBEA" w:rsidR="006C3F93" w:rsidRDefault="006C3F93" w:rsidP="006C3F93">
            <w:pPr>
              <w:spacing w:before="0" w:after="0" w:line="240" w:lineRule="auto"/>
              <w:rPr>
                <w:rFonts w:cs="Arial"/>
              </w:rPr>
            </w:pPr>
            <w:r>
              <w:rPr>
                <w:rFonts w:cs="Arial"/>
              </w:rPr>
              <w:t>Medium</w:t>
            </w:r>
          </w:p>
        </w:tc>
        <w:tc>
          <w:tcPr>
            <w:tcW w:w="6230" w:type="dxa"/>
          </w:tcPr>
          <w:p w14:paraId="08E74317" w14:textId="0C337ECC" w:rsidR="006C3F93" w:rsidRDefault="006C3F93" w:rsidP="006C3F93">
            <w:pPr>
              <w:spacing w:before="0" w:after="0" w:line="240" w:lineRule="auto"/>
              <w:rPr>
                <w:rFonts w:cs="Arial"/>
              </w:rPr>
            </w:pPr>
            <w:r>
              <w:rPr>
                <w:rFonts w:cs="Arial"/>
              </w:rPr>
              <w:t xml:space="preserve">1-2 years </w:t>
            </w:r>
          </w:p>
        </w:tc>
      </w:tr>
      <w:tr w:rsidR="006C3F93" w14:paraId="485BBF8F" w14:textId="77777777" w:rsidTr="006C3F93">
        <w:tc>
          <w:tcPr>
            <w:tcW w:w="988" w:type="dxa"/>
          </w:tcPr>
          <w:p w14:paraId="7CA193B4" w14:textId="02D0B848" w:rsidR="006C3F93" w:rsidRDefault="006C3F93" w:rsidP="006C3F93">
            <w:pPr>
              <w:spacing w:before="0" w:after="0" w:line="240" w:lineRule="auto"/>
              <w:rPr>
                <w:rFonts w:cs="Arial"/>
              </w:rPr>
            </w:pPr>
            <w:r>
              <w:rPr>
                <w:rFonts w:cs="Arial"/>
              </w:rPr>
              <w:t>4</w:t>
            </w:r>
          </w:p>
        </w:tc>
        <w:tc>
          <w:tcPr>
            <w:tcW w:w="1842" w:type="dxa"/>
          </w:tcPr>
          <w:p w14:paraId="5DAC6670" w14:textId="3DF32179" w:rsidR="006C3F93" w:rsidRDefault="006C3F93" w:rsidP="006C3F93">
            <w:pPr>
              <w:spacing w:before="0" w:after="0" w:line="240" w:lineRule="auto"/>
              <w:rPr>
                <w:rFonts w:cs="Arial"/>
              </w:rPr>
            </w:pPr>
            <w:r>
              <w:rPr>
                <w:rFonts w:cs="Arial"/>
              </w:rPr>
              <w:t>Long</w:t>
            </w:r>
          </w:p>
        </w:tc>
        <w:tc>
          <w:tcPr>
            <w:tcW w:w="6230" w:type="dxa"/>
          </w:tcPr>
          <w:p w14:paraId="39E2AEE1" w14:textId="04D7AE90" w:rsidR="006C3F93" w:rsidRDefault="006C3F93" w:rsidP="006C3F93">
            <w:pPr>
              <w:spacing w:before="0" w:after="0" w:line="240" w:lineRule="auto"/>
              <w:rPr>
                <w:rFonts w:cs="Arial"/>
              </w:rPr>
            </w:pPr>
            <w:r>
              <w:rPr>
                <w:rFonts w:cs="Arial"/>
              </w:rPr>
              <w:t xml:space="preserve">&gt;2 years </w:t>
            </w:r>
          </w:p>
        </w:tc>
      </w:tr>
    </w:tbl>
    <w:p w14:paraId="07EA04D8" w14:textId="7FA7704A" w:rsidR="006C3F93" w:rsidRDefault="006C3F93" w:rsidP="000D5E3F">
      <w:pPr>
        <w:spacing w:after="0"/>
        <w:rPr>
          <w:rFonts w:cs="Arial"/>
        </w:rPr>
      </w:pPr>
      <w:r>
        <w:rPr>
          <w:rFonts w:cs="Arial"/>
        </w:rPr>
        <w:t>Cost:</w:t>
      </w:r>
    </w:p>
    <w:tbl>
      <w:tblPr>
        <w:tblStyle w:val="TableGrid"/>
        <w:tblW w:w="0" w:type="auto"/>
        <w:tblLook w:val="04A0" w:firstRow="1" w:lastRow="0" w:firstColumn="1" w:lastColumn="0" w:noHBand="0" w:noVBand="1"/>
      </w:tblPr>
      <w:tblGrid>
        <w:gridCol w:w="988"/>
        <w:gridCol w:w="1842"/>
        <w:gridCol w:w="6230"/>
      </w:tblGrid>
      <w:tr w:rsidR="006C3F93" w14:paraId="6037DA1D" w14:textId="77777777" w:rsidTr="006C3F93">
        <w:tc>
          <w:tcPr>
            <w:tcW w:w="988" w:type="dxa"/>
            <w:shd w:val="clear" w:color="auto" w:fill="E2EFD9" w:themeFill="accent6" w:themeFillTint="33"/>
          </w:tcPr>
          <w:p w14:paraId="18834052" w14:textId="0FC48BF2" w:rsidR="006C3F93" w:rsidRDefault="006C3F93" w:rsidP="006C3F93">
            <w:pPr>
              <w:spacing w:before="0" w:after="0" w:line="240" w:lineRule="auto"/>
              <w:rPr>
                <w:rFonts w:cs="Arial"/>
              </w:rPr>
            </w:pPr>
            <w:r>
              <w:rPr>
                <w:rFonts w:cs="Arial"/>
              </w:rPr>
              <w:t>Score</w:t>
            </w:r>
          </w:p>
        </w:tc>
        <w:tc>
          <w:tcPr>
            <w:tcW w:w="1842" w:type="dxa"/>
            <w:shd w:val="clear" w:color="auto" w:fill="E2EFD9" w:themeFill="accent6" w:themeFillTint="33"/>
          </w:tcPr>
          <w:p w14:paraId="7E474FEB" w14:textId="069E09ED" w:rsidR="006C3F93" w:rsidRDefault="006C3F93" w:rsidP="006C3F93">
            <w:pPr>
              <w:spacing w:before="0" w:after="0" w:line="240" w:lineRule="auto"/>
              <w:rPr>
                <w:rFonts w:cs="Arial"/>
              </w:rPr>
            </w:pPr>
            <w:r>
              <w:rPr>
                <w:rFonts w:cs="Arial"/>
              </w:rPr>
              <w:t>Rating</w:t>
            </w:r>
          </w:p>
        </w:tc>
        <w:tc>
          <w:tcPr>
            <w:tcW w:w="6230" w:type="dxa"/>
            <w:shd w:val="clear" w:color="auto" w:fill="E2EFD9" w:themeFill="accent6" w:themeFillTint="33"/>
          </w:tcPr>
          <w:p w14:paraId="10D1EB2D" w14:textId="2586E38B" w:rsidR="006C3F93" w:rsidRDefault="006C3F93" w:rsidP="006C3F93">
            <w:pPr>
              <w:spacing w:before="0" w:after="0" w:line="240" w:lineRule="auto"/>
              <w:rPr>
                <w:rFonts w:cs="Arial"/>
              </w:rPr>
            </w:pPr>
            <w:r>
              <w:rPr>
                <w:rFonts w:cs="Arial"/>
              </w:rPr>
              <w:t>Description</w:t>
            </w:r>
          </w:p>
        </w:tc>
      </w:tr>
      <w:tr w:rsidR="006C3F93" w14:paraId="24B301B8" w14:textId="77777777" w:rsidTr="006C3F93">
        <w:tc>
          <w:tcPr>
            <w:tcW w:w="988" w:type="dxa"/>
          </w:tcPr>
          <w:p w14:paraId="59B77049" w14:textId="35396AD5" w:rsidR="006C3F93" w:rsidRDefault="006C3F93" w:rsidP="006C3F93">
            <w:pPr>
              <w:spacing w:before="0" w:after="0" w:line="240" w:lineRule="auto"/>
              <w:rPr>
                <w:rFonts w:cs="Arial"/>
              </w:rPr>
            </w:pPr>
            <w:r>
              <w:rPr>
                <w:rFonts w:cs="Arial"/>
              </w:rPr>
              <w:t>1</w:t>
            </w:r>
          </w:p>
        </w:tc>
        <w:tc>
          <w:tcPr>
            <w:tcW w:w="1842" w:type="dxa"/>
          </w:tcPr>
          <w:p w14:paraId="6D5B93FB" w14:textId="421622BA" w:rsidR="006C3F93" w:rsidRDefault="006C3F93" w:rsidP="006C3F93">
            <w:pPr>
              <w:spacing w:before="0" w:after="0" w:line="240" w:lineRule="auto"/>
              <w:rPr>
                <w:rFonts w:cs="Arial"/>
              </w:rPr>
            </w:pPr>
            <w:r>
              <w:rPr>
                <w:rFonts w:cs="Arial"/>
              </w:rPr>
              <w:t>Very low</w:t>
            </w:r>
          </w:p>
        </w:tc>
        <w:tc>
          <w:tcPr>
            <w:tcW w:w="6230" w:type="dxa"/>
          </w:tcPr>
          <w:p w14:paraId="6D4900DD" w14:textId="0440ADCA" w:rsidR="006C3F93" w:rsidRDefault="006C3F93" w:rsidP="006C3F93">
            <w:pPr>
              <w:spacing w:before="0" w:after="0" w:line="240" w:lineRule="auto"/>
              <w:rPr>
                <w:rFonts w:cs="Arial"/>
              </w:rPr>
            </w:pPr>
            <w:r>
              <w:rPr>
                <w:rFonts w:cs="Arial"/>
              </w:rPr>
              <w:t>&lt;£10K</w:t>
            </w:r>
          </w:p>
        </w:tc>
      </w:tr>
      <w:tr w:rsidR="006C3F93" w14:paraId="7FFDD742" w14:textId="77777777" w:rsidTr="006C3F93">
        <w:tc>
          <w:tcPr>
            <w:tcW w:w="988" w:type="dxa"/>
          </w:tcPr>
          <w:p w14:paraId="0255A4D2" w14:textId="76C4421F" w:rsidR="006C3F93" w:rsidRDefault="006C3F93" w:rsidP="006C3F93">
            <w:pPr>
              <w:spacing w:before="0" w:after="0" w:line="240" w:lineRule="auto"/>
              <w:rPr>
                <w:rFonts w:cs="Arial"/>
              </w:rPr>
            </w:pPr>
            <w:r>
              <w:rPr>
                <w:rFonts w:cs="Arial"/>
              </w:rPr>
              <w:t>2</w:t>
            </w:r>
          </w:p>
        </w:tc>
        <w:tc>
          <w:tcPr>
            <w:tcW w:w="1842" w:type="dxa"/>
          </w:tcPr>
          <w:p w14:paraId="2AA0CFE0" w14:textId="3A95DD3B" w:rsidR="006C3F93" w:rsidRDefault="006C3F93" w:rsidP="006C3F93">
            <w:pPr>
              <w:spacing w:before="0" w:after="0" w:line="240" w:lineRule="auto"/>
              <w:rPr>
                <w:rFonts w:cs="Arial"/>
              </w:rPr>
            </w:pPr>
            <w:r>
              <w:rPr>
                <w:rFonts w:cs="Arial"/>
              </w:rPr>
              <w:t>Low</w:t>
            </w:r>
          </w:p>
        </w:tc>
        <w:tc>
          <w:tcPr>
            <w:tcW w:w="6230" w:type="dxa"/>
          </w:tcPr>
          <w:p w14:paraId="76539812" w14:textId="54D7D8A5" w:rsidR="006C3F93" w:rsidRDefault="00E97512" w:rsidP="006C3F93">
            <w:pPr>
              <w:spacing w:before="0" w:after="0" w:line="240" w:lineRule="auto"/>
              <w:rPr>
                <w:rFonts w:cs="Arial"/>
              </w:rPr>
            </w:pPr>
            <w:r>
              <w:rPr>
                <w:rFonts w:cs="Arial"/>
              </w:rPr>
              <w:t>£10K-£50K</w:t>
            </w:r>
          </w:p>
        </w:tc>
      </w:tr>
      <w:tr w:rsidR="006C3F93" w14:paraId="050B63F9" w14:textId="77777777" w:rsidTr="006C3F93">
        <w:tc>
          <w:tcPr>
            <w:tcW w:w="988" w:type="dxa"/>
          </w:tcPr>
          <w:p w14:paraId="4837EE65" w14:textId="622989CF" w:rsidR="006C3F93" w:rsidRDefault="006C3F93" w:rsidP="006C3F93">
            <w:pPr>
              <w:spacing w:before="0" w:after="0" w:line="240" w:lineRule="auto"/>
              <w:rPr>
                <w:rFonts w:cs="Arial"/>
              </w:rPr>
            </w:pPr>
            <w:r>
              <w:rPr>
                <w:rFonts w:cs="Arial"/>
              </w:rPr>
              <w:t>3</w:t>
            </w:r>
          </w:p>
        </w:tc>
        <w:tc>
          <w:tcPr>
            <w:tcW w:w="1842" w:type="dxa"/>
          </w:tcPr>
          <w:p w14:paraId="24C1766E" w14:textId="23E4E49F" w:rsidR="006C3F93" w:rsidRDefault="006C3F93" w:rsidP="006C3F93">
            <w:pPr>
              <w:spacing w:before="0" w:after="0" w:line="240" w:lineRule="auto"/>
              <w:rPr>
                <w:rFonts w:cs="Arial"/>
              </w:rPr>
            </w:pPr>
            <w:r>
              <w:rPr>
                <w:rFonts w:cs="Arial"/>
              </w:rPr>
              <w:t>Medium</w:t>
            </w:r>
          </w:p>
        </w:tc>
        <w:tc>
          <w:tcPr>
            <w:tcW w:w="6230" w:type="dxa"/>
          </w:tcPr>
          <w:p w14:paraId="2CE9165B" w14:textId="73DD8F01" w:rsidR="006C3F93" w:rsidRDefault="00E97512" w:rsidP="006C3F93">
            <w:pPr>
              <w:spacing w:before="0" w:after="0" w:line="240" w:lineRule="auto"/>
              <w:rPr>
                <w:rFonts w:cs="Arial"/>
              </w:rPr>
            </w:pPr>
            <w:r>
              <w:rPr>
                <w:rFonts w:cs="Arial"/>
              </w:rPr>
              <w:t>£50K-£100K</w:t>
            </w:r>
          </w:p>
        </w:tc>
      </w:tr>
      <w:tr w:rsidR="006C3F93" w14:paraId="50A4BF8F" w14:textId="77777777" w:rsidTr="006C3F93">
        <w:tc>
          <w:tcPr>
            <w:tcW w:w="988" w:type="dxa"/>
          </w:tcPr>
          <w:p w14:paraId="210702CD" w14:textId="6E98AF6D" w:rsidR="006C3F93" w:rsidRDefault="006C3F93" w:rsidP="006C3F93">
            <w:pPr>
              <w:spacing w:before="0" w:after="0" w:line="240" w:lineRule="auto"/>
              <w:rPr>
                <w:rFonts w:cs="Arial"/>
              </w:rPr>
            </w:pPr>
            <w:r>
              <w:rPr>
                <w:rFonts w:cs="Arial"/>
              </w:rPr>
              <w:t>4</w:t>
            </w:r>
          </w:p>
        </w:tc>
        <w:tc>
          <w:tcPr>
            <w:tcW w:w="1842" w:type="dxa"/>
          </w:tcPr>
          <w:p w14:paraId="250346EB" w14:textId="48EA6CB7" w:rsidR="006C3F93" w:rsidRDefault="006C3F93" w:rsidP="006C3F93">
            <w:pPr>
              <w:spacing w:before="0" w:after="0" w:line="240" w:lineRule="auto"/>
              <w:rPr>
                <w:rFonts w:cs="Arial"/>
              </w:rPr>
            </w:pPr>
            <w:r>
              <w:rPr>
                <w:rFonts w:cs="Arial"/>
              </w:rPr>
              <w:t>High</w:t>
            </w:r>
          </w:p>
        </w:tc>
        <w:tc>
          <w:tcPr>
            <w:tcW w:w="6230" w:type="dxa"/>
          </w:tcPr>
          <w:p w14:paraId="09C4740D" w14:textId="436D0CC4" w:rsidR="006C3F93" w:rsidRDefault="00E97512" w:rsidP="006C3F93">
            <w:pPr>
              <w:spacing w:before="0" w:after="0" w:line="240" w:lineRule="auto"/>
              <w:rPr>
                <w:rFonts w:cs="Arial"/>
              </w:rPr>
            </w:pPr>
            <w:r>
              <w:rPr>
                <w:rFonts w:cs="Arial"/>
              </w:rPr>
              <w:t>£100K-£500K</w:t>
            </w:r>
          </w:p>
        </w:tc>
      </w:tr>
      <w:tr w:rsidR="006C3F93" w14:paraId="2A85685F" w14:textId="77777777" w:rsidTr="006C3F93">
        <w:tc>
          <w:tcPr>
            <w:tcW w:w="988" w:type="dxa"/>
          </w:tcPr>
          <w:p w14:paraId="5D257957" w14:textId="728ED1A5" w:rsidR="006C3F93" w:rsidRDefault="006C3F93" w:rsidP="006C3F93">
            <w:pPr>
              <w:spacing w:before="0" w:after="0" w:line="240" w:lineRule="auto"/>
              <w:rPr>
                <w:rFonts w:cs="Arial"/>
              </w:rPr>
            </w:pPr>
            <w:r>
              <w:rPr>
                <w:rFonts w:cs="Arial"/>
              </w:rPr>
              <w:t>5</w:t>
            </w:r>
          </w:p>
        </w:tc>
        <w:tc>
          <w:tcPr>
            <w:tcW w:w="1842" w:type="dxa"/>
          </w:tcPr>
          <w:p w14:paraId="01ACDC92" w14:textId="460B02D0" w:rsidR="006C3F93" w:rsidRDefault="006C3F93" w:rsidP="006C3F93">
            <w:pPr>
              <w:spacing w:before="0" w:after="0" w:line="240" w:lineRule="auto"/>
              <w:rPr>
                <w:rFonts w:cs="Arial"/>
              </w:rPr>
            </w:pPr>
            <w:r>
              <w:rPr>
                <w:rFonts w:cs="Arial"/>
              </w:rPr>
              <w:t xml:space="preserve">Very high </w:t>
            </w:r>
          </w:p>
        </w:tc>
        <w:tc>
          <w:tcPr>
            <w:tcW w:w="6230" w:type="dxa"/>
          </w:tcPr>
          <w:p w14:paraId="5F9677F9" w14:textId="6CDCA44D" w:rsidR="006C3F93" w:rsidRDefault="00E97512" w:rsidP="006C3F93">
            <w:pPr>
              <w:spacing w:before="0" w:after="0" w:line="240" w:lineRule="auto"/>
              <w:rPr>
                <w:rFonts w:cs="Arial"/>
              </w:rPr>
            </w:pPr>
            <w:r>
              <w:rPr>
                <w:rFonts w:cs="Arial"/>
              </w:rPr>
              <w:t>&gt;£500K</w:t>
            </w:r>
          </w:p>
        </w:tc>
      </w:tr>
    </w:tbl>
    <w:p w14:paraId="2D73919E" w14:textId="77E3EAED" w:rsidR="006C3F93" w:rsidRDefault="00E97512" w:rsidP="00E97512">
      <w:pPr>
        <w:spacing w:after="0"/>
        <w:rPr>
          <w:rFonts w:cs="Arial"/>
        </w:rPr>
      </w:pPr>
      <w:r>
        <w:rPr>
          <w:rFonts w:cs="Arial"/>
        </w:rPr>
        <w:t>Funding source:</w:t>
      </w:r>
    </w:p>
    <w:tbl>
      <w:tblPr>
        <w:tblStyle w:val="TableGrid"/>
        <w:tblW w:w="9067" w:type="dxa"/>
        <w:tblLook w:val="04A0" w:firstRow="1" w:lastRow="0" w:firstColumn="1" w:lastColumn="0" w:noHBand="0" w:noVBand="1"/>
      </w:tblPr>
      <w:tblGrid>
        <w:gridCol w:w="988"/>
        <w:gridCol w:w="8079"/>
      </w:tblGrid>
      <w:tr w:rsidR="00E97512" w14:paraId="409AEDC0" w14:textId="77777777" w:rsidTr="00E97512">
        <w:tc>
          <w:tcPr>
            <w:tcW w:w="988" w:type="dxa"/>
            <w:shd w:val="clear" w:color="auto" w:fill="E2EFD9" w:themeFill="accent6" w:themeFillTint="33"/>
          </w:tcPr>
          <w:p w14:paraId="70D15B48" w14:textId="70F8350A" w:rsidR="00E97512" w:rsidRDefault="00E97512" w:rsidP="00E97512">
            <w:pPr>
              <w:spacing w:before="0" w:after="0" w:line="240" w:lineRule="auto"/>
              <w:rPr>
                <w:rFonts w:cs="Arial"/>
              </w:rPr>
            </w:pPr>
            <w:r>
              <w:rPr>
                <w:rFonts w:cs="Arial"/>
              </w:rPr>
              <w:t>Score</w:t>
            </w:r>
          </w:p>
        </w:tc>
        <w:tc>
          <w:tcPr>
            <w:tcW w:w="8079" w:type="dxa"/>
            <w:shd w:val="clear" w:color="auto" w:fill="E2EFD9" w:themeFill="accent6" w:themeFillTint="33"/>
          </w:tcPr>
          <w:p w14:paraId="041F520A" w14:textId="62417213" w:rsidR="00E97512" w:rsidRDefault="00E97512" w:rsidP="00E97512">
            <w:pPr>
              <w:spacing w:before="0" w:after="0" w:line="240" w:lineRule="auto"/>
              <w:rPr>
                <w:rFonts w:cs="Arial"/>
              </w:rPr>
            </w:pPr>
            <w:r>
              <w:rPr>
                <w:rFonts w:cs="Arial"/>
              </w:rPr>
              <w:t>Description</w:t>
            </w:r>
          </w:p>
        </w:tc>
      </w:tr>
      <w:tr w:rsidR="00E97512" w14:paraId="3D66BFEA" w14:textId="77777777" w:rsidTr="00E97512">
        <w:tc>
          <w:tcPr>
            <w:tcW w:w="988" w:type="dxa"/>
          </w:tcPr>
          <w:p w14:paraId="129FA75C" w14:textId="18F39B8A" w:rsidR="00E97512" w:rsidRDefault="00E97512" w:rsidP="00E97512">
            <w:pPr>
              <w:spacing w:before="0" w:after="0" w:line="240" w:lineRule="auto"/>
              <w:rPr>
                <w:rFonts w:cs="Arial"/>
              </w:rPr>
            </w:pPr>
            <w:r>
              <w:rPr>
                <w:rFonts w:cs="Arial"/>
              </w:rPr>
              <w:t>0</w:t>
            </w:r>
          </w:p>
        </w:tc>
        <w:tc>
          <w:tcPr>
            <w:tcW w:w="8079" w:type="dxa"/>
          </w:tcPr>
          <w:p w14:paraId="78E9D394" w14:textId="6F9DB6DC" w:rsidR="00E97512" w:rsidRDefault="00E97512" w:rsidP="00E97512">
            <w:pPr>
              <w:spacing w:before="0" w:after="0" w:line="240" w:lineRule="auto"/>
              <w:rPr>
                <w:rFonts w:cs="Arial"/>
              </w:rPr>
            </w:pPr>
            <w:r>
              <w:rPr>
                <w:rFonts w:cs="Arial"/>
              </w:rPr>
              <w:t xml:space="preserve">Grant / Section 106 / no cost to the Council </w:t>
            </w:r>
          </w:p>
        </w:tc>
      </w:tr>
      <w:tr w:rsidR="00E97512" w14:paraId="3C042EE3" w14:textId="77777777" w:rsidTr="00E97512">
        <w:tc>
          <w:tcPr>
            <w:tcW w:w="988" w:type="dxa"/>
          </w:tcPr>
          <w:p w14:paraId="29DD4442" w14:textId="54A2CBA8" w:rsidR="00E97512" w:rsidRDefault="00E97512" w:rsidP="00E97512">
            <w:pPr>
              <w:spacing w:before="0" w:after="0" w:line="240" w:lineRule="auto"/>
              <w:rPr>
                <w:rFonts w:cs="Arial"/>
              </w:rPr>
            </w:pPr>
            <w:r>
              <w:rPr>
                <w:rFonts w:cs="Arial"/>
              </w:rPr>
              <w:t>5</w:t>
            </w:r>
          </w:p>
        </w:tc>
        <w:tc>
          <w:tcPr>
            <w:tcW w:w="8079" w:type="dxa"/>
          </w:tcPr>
          <w:p w14:paraId="45C1EF3F" w14:textId="4BACB8E5" w:rsidR="00E97512" w:rsidRDefault="00E97512" w:rsidP="00E97512">
            <w:pPr>
              <w:spacing w:before="0" w:after="0" w:line="240" w:lineRule="auto"/>
              <w:rPr>
                <w:rFonts w:cs="Arial"/>
              </w:rPr>
            </w:pPr>
            <w:r>
              <w:rPr>
                <w:rFonts w:cs="Arial"/>
              </w:rPr>
              <w:t xml:space="preserve">Partially Council funded or grant funded </w:t>
            </w:r>
          </w:p>
        </w:tc>
      </w:tr>
      <w:tr w:rsidR="00E97512" w14:paraId="39C71120" w14:textId="77777777" w:rsidTr="00E97512">
        <w:tc>
          <w:tcPr>
            <w:tcW w:w="988" w:type="dxa"/>
          </w:tcPr>
          <w:p w14:paraId="07877CA1" w14:textId="2FD0D50E" w:rsidR="00E97512" w:rsidRDefault="00E97512" w:rsidP="00E97512">
            <w:pPr>
              <w:spacing w:before="0" w:after="0" w:line="240" w:lineRule="auto"/>
              <w:rPr>
                <w:rFonts w:cs="Arial"/>
              </w:rPr>
            </w:pPr>
            <w:r>
              <w:rPr>
                <w:rFonts w:cs="Arial"/>
              </w:rPr>
              <w:t>10</w:t>
            </w:r>
          </w:p>
        </w:tc>
        <w:tc>
          <w:tcPr>
            <w:tcW w:w="8079" w:type="dxa"/>
          </w:tcPr>
          <w:p w14:paraId="650CDEAA" w14:textId="7ACCE2D3" w:rsidR="00E97512" w:rsidRDefault="00E97512" w:rsidP="00E97512">
            <w:pPr>
              <w:spacing w:before="0" w:after="0" w:line="240" w:lineRule="auto"/>
              <w:rPr>
                <w:rFonts w:cs="Arial"/>
              </w:rPr>
            </w:pPr>
            <w:r>
              <w:rPr>
                <w:rFonts w:cs="Arial"/>
              </w:rPr>
              <w:t xml:space="preserve">Full Council funded (general fund) or no funding available </w:t>
            </w:r>
          </w:p>
        </w:tc>
      </w:tr>
    </w:tbl>
    <w:p w14:paraId="6BC6BB2B" w14:textId="78430FC2" w:rsidR="006C3F93" w:rsidRDefault="000D5E3F" w:rsidP="000D5E3F">
      <w:pPr>
        <w:spacing w:after="0"/>
        <w:rPr>
          <w:rFonts w:cs="Arial"/>
        </w:rPr>
      </w:pPr>
      <w:r>
        <w:rPr>
          <w:rFonts w:cs="Arial"/>
        </w:rPr>
        <w:t>Viability score:</w:t>
      </w:r>
    </w:p>
    <w:tbl>
      <w:tblPr>
        <w:tblStyle w:val="TableGrid"/>
        <w:tblW w:w="0" w:type="auto"/>
        <w:tblLook w:val="04A0" w:firstRow="1" w:lastRow="0" w:firstColumn="1" w:lastColumn="0" w:noHBand="0" w:noVBand="1"/>
      </w:tblPr>
      <w:tblGrid>
        <w:gridCol w:w="988"/>
        <w:gridCol w:w="8072"/>
      </w:tblGrid>
      <w:tr w:rsidR="000D5E3F" w14:paraId="4862E727" w14:textId="77777777" w:rsidTr="000D5E3F">
        <w:tc>
          <w:tcPr>
            <w:tcW w:w="988" w:type="dxa"/>
            <w:shd w:val="clear" w:color="auto" w:fill="E2EFD9" w:themeFill="accent6" w:themeFillTint="33"/>
          </w:tcPr>
          <w:p w14:paraId="4F62A5BA" w14:textId="1A4ECE06" w:rsidR="000D5E3F" w:rsidRDefault="000D5E3F" w:rsidP="000D5E3F">
            <w:pPr>
              <w:spacing w:before="0" w:after="0" w:line="240" w:lineRule="auto"/>
              <w:rPr>
                <w:rFonts w:cs="Arial"/>
              </w:rPr>
            </w:pPr>
            <w:r>
              <w:rPr>
                <w:rFonts w:cs="Arial"/>
              </w:rPr>
              <w:t>Score</w:t>
            </w:r>
          </w:p>
        </w:tc>
        <w:tc>
          <w:tcPr>
            <w:tcW w:w="8072" w:type="dxa"/>
            <w:shd w:val="clear" w:color="auto" w:fill="E2EFD9" w:themeFill="accent6" w:themeFillTint="33"/>
          </w:tcPr>
          <w:p w14:paraId="167CAF6F" w14:textId="27514805" w:rsidR="000D5E3F" w:rsidRDefault="000D5E3F" w:rsidP="000D5E3F">
            <w:pPr>
              <w:spacing w:before="0" w:after="0" w:line="240" w:lineRule="auto"/>
              <w:rPr>
                <w:rFonts w:cs="Arial"/>
              </w:rPr>
            </w:pPr>
            <w:r>
              <w:rPr>
                <w:rFonts w:cs="Arial"/>
              </w:rPr>
              <w:t>Description</w:t>
            </w:r>
          </w:p>
        </w:tc>
      </w:tr>
      <w:tr w:rsidR="000D5E3F" w14:paraId="3A640B25" w14:textId="77777777" w:rsidTr="000D5E3F">
        <w:tc>
          <w:tcPr>
            <w:tcW w:w="988" w:type="dxa"/>
          </w:tcPr>
          <w:p w14:paraId="154A94FE" w14:textId="203E1931" w:rsidR="000D5E3F" w:rsidRDefault="000D5E3F" w:rsidP="000D5E3F">
            <w:pPr>
              <w:spacing w:before="0" w:after="0" w:line="240" w:lineRule="auto"/>
              <w:rPr>
                <w:rFonts w:cs="Arial"/>
              </w:rPr>
            </w:pPr>
            <w:r>
              <w:rPr>
                <w:rFonts w:cs="Arial"/>
              </w:rPr>
              <w:t>0-10</w:t>
            </w:r>
          </w:p>
        </w:tc>
        <w:tc>
          <w:tcPr>
            <w:tcW w:w="8072" w:type="dxa"/>
          </w:tcPr>
          <w:p w14:paraId="6942953C" w14:textId="42046531" w:rsidR="000D5E3F" w:rsidRDefault="000D5E3F" w:rsidP="000D5E3F">
            <w:pPr>
              <w:spacing w:before="0" w:after="0" w:line="240" w:lineRule="auto"/>
              <w:rPr>
                <w:rFonts w:cs="Arial"/>
              </w:rPr>
            </w:pPr>
            <w:r>
              <w:rPr>
                <w:rFonts w:cs="Arial"/>
              </w:rPr>
              <w:t xml:space="preserve">Highly viable </w:t>
            </w:r>
          </w:p>
        </w:tc>
      </w:tr>
      <w:tr w:rsidR="000D5E3F" w14:paraId="555AD0DE" w14:textId="77777777" w:rsidTr="000D5E3F">
        <w:tc>
          <w:tcPr>
            <w:tcW w:w="988" w:type="dxa"/>
          </w:tcPr>
          <w:p w14:paraId="2B0C56F2" w14:textId="3FA177DF" w:rsidR="000D5E3F" w:rsidRDefault="000D5E3F" w:rsidP="000D5E3F">
            <w:pPr>
              <w:spacing w:before="0" w:after="0" w:line="240" w:lineRule="auto"/>
              <w:rPr>
                <w:rFonts w:cs="Arial"/>
              </w:rPr>
            </w:pPr>
            <w:r>
              <w:rPr>
                <w:rFonts w:cs="Arial"/>
              </w:rPr>
              <w:t>10-15</w:t>
            </w:r>
          </w:p>
        </w:tc>
        <w:tc>
          <w:tcPr>
            <w:tcW w:w="8072" w:type="dxa"/>
          </w:tcPr>
          <w:p w14:paraId="137046DA" w14:textId="2583B6C5" w:rsidR="000D5E3F" w:rsidRDefault="000D5E3F" w:rsidP="000D5E3F">
            <w:pPr>
              <w:spacing w:before="0" w:after="0" w:line="240" w:lineRule="auto"/>
              <w:rPr>
                <w:rFonts w:cs="Arial"/>
              </w:rPr>
            </w:pPr>
            <w:r>
              <w:rPr>
                <w:rFonts w:cs="Arial"/>
              </w:rPr>
              <w:t xml:space="preserve">Possibly viable </w:t>
            </w:r>
          </w:p>
        </w:tc>
      </w:tr>
      <w:tr w:rsidR="000D5E3F" w14:paraId="6B4F2650" w14:textId="77777777" w:rsidTr="000D5E3F">
        <w:tc>
          <w:tcPr>
            <w:tcW w:w="988" w:type="dxa"/>
          </w:tcPr>
          <w:p w14:paraId="180BACEB" w14:textId="5792D8F3" w:rsidR="000D5E3F" w:rsidRDefault="000D5E3F" w:rsidP="000D5E3F">
            <w:pPr>
              <w:spacing w:before="0" w:after="0" w:line="240" w:lineRule="auto"/>
              <w:rPr>
                <w:rFonts w:cs="Arial"/>
              </w:rPr>
            </w:pPr>
            <w:r>
              <w:rPr>
                <w:rFonts w:cs="Arial"/>
              </w:rPr>
              <w:t>&gt;16</w:t>
            </w:r>
          </w:p>
        </w:tc>
        <w:tc>
          <w:tcPr>
            <w:tcW w:w="8072" w:type="dxa"/>
          </w:tcPr>
          <w:p w14:paraId="12F565CD" w14:textId="14614F80" w:rsidR="000D5E3F" w:rsidRDefault="000D5E3F" w:rsidP="000D5E3F">
            <w:pPr>
              <w:spacing w:before="0" w:after="0" w:line="240" w:lineRule="auto"/>
              <w:rPr>
                <w:rFonts w:cs="Arial"/>
              </w:rPr>
            </w:pPr>
            <w:r>
              <w:rPr>
                <w:rFonts w:cs="Arial"/>
              </w:rPr>
              <w:t xml:space="preserve">Not likely to be viable </w:t>
            </w:r>
          </w:p>
        </w:tc>
      </w:tr>
    </w:tbl>
    <w:p w14:paraId="5722FDFA" w14:textId="77777777" w:rsidR="000D5E3F" w:rsidRDefault="000D5E3F" w:rsidP="00032FC9">
      <w:pPr>
        <w:rPr>
          <w:rFonts w:cs="Arial"/>
        </w:rPr>
      </w:pPr>
    </w:p>
    <w:p w14:paraId="2921DA61" w14:textId="362EEF74" w:rsidR="00486017" w:rsidRDefault="00E97512" w:rsidP="00032FC9">
      <w:pPr>
        <w:rPr>
          <w:rFonts w:cs="Arial"/>
        </w:rPr>
      </w:pPr>
      <w:r>
        <w:rPr>
          <w:rFonts w:cs="Arial"/>
        </w:rPr>
        <w:t xml:space="preserve">Following AQAP publication, the immediate actions to deliver include preparing the AQAP implementation plan and updating the Low Emission Strategy. </w:t>
      </w:r>
      <w:r w:rsidR="000D5E3F">
        <w:rPr>
          <w:rFonts w:cs="Arial"/>
        </w:rPr>
        <w:t>The AQAP consultation shall inform the implementation plan.</w:t>
      </w:r>
    </w:p>
    <w:p w14:paraId="7245718E" w14:textId="06A053E9" w:rsidR="00E97512" w:rsidRDefault="00B3567D" w:rsidP="00E97512">
      <w:pPr>
        <w:rPr>
          <w:rFonts w:cs="Arial"/>
        </w:rPr>
      </w:pPr>
      <w:r>
        <w:rPr>
          <w:rFonts w:cs="Arial"/>
        </w:rPr>
        <w:t>S</w:t>
      </w:r>
      <w:r w:rsidR="00E97512">
        <w:rPr>
          <w:rFonts w:cs="Arial"/>
        </w:rPr>
        <w:t xml:space="preserve">ome of the measures presented have already begun implementation. For example, the internal stakeholder steering group for public health, active travel and air quality (Sustainability and Health) was initiated </w:t>
      </w:r>
      <w:r w:rsidR="000D5E3F">
        <w:rPr>
          <w:rFonts w:cs="Arial"/>
        </w:rPr>
        <w:t>February</w:t>
      </w:r>
      <w:r w:rsidR="00E97512">
        <w:rPr>
          <w:rFonts w:cs="Arial"/>
        </w:rPr>
        <w:t xml:space="preserve"> 2024 as a result of this action plan development</w:t>
      </w:r>
      <w:r w:rsidR="000D5E3F">
        <w:rPr>
          <w:rFonts w:cs="Arial"/>
        </w:rPr>
        <w:t>. This steering group and its members</w:t>
      </w:r>
      <w:r w:rsidR="00E97512">
        <w:rPr>
          <w:rFonts w:cs="Arial"/>
        </w:rPr>
        <w:t xml:space="preserve"> will oversee </w:t>
      </w:r>
      <w:r w:rsidR="000D5E3F">
        <w:rPr>
          <w:rFonts w:cs="Arial"/>
        </w:rPr>
        <w:t>the</w:t>
      </w:r>
      <w:r w:rsidR="00E97512">
        <w:rPr>
          <w:rFonts w:cs="Arial"/>
        </w:rPr>
        <w:t xml:space="preserve"> implementation</w:t>
      </w:r>
      <w:r w:rsidR="000D5E3F">
        <w:rPr>
          <w:rFonts w:cs="Arial"/>
        </w:rPr>
        <w:t xml:space="preserve"> of the AQAP actions. </w:t>
      </w:r>
      <w:r w:rsidR="00E97512">
        <w:rPr>
          <w:rFonts w:cs="Arial"/>
        </w:rPr>
        <w:t xml:space="preserve"> </w:t>
      </w:r>
    </w:p>
    <w:p w14:paraId="0BA6802D" w14:textId="1F809928" w:rsidR="00B3567D" w:rsidRDefault="00B3567D" w:rsidP="00E97512">
      <w:pPr>
        <w:rPr>
          <w:rFonts w:cs="Arial"/>
        </w:rPr>
      </w:pPr>
      <w:r>
        <w:rPr>
          <w:rFonts w:cs="Arial"/>
        </w:rPr>
        <w:t>It should be noted also that Table 5.</w:t>
      </w:r>
      <w:r w:rsidR="00AE2E6C">
        <w:rPr>
          <w:rFonts w:cs="Arial"/>
        </w:rPr>
        <w:t>3</w:t>
      </w:r>
      <w:r>
        <w:rPr>
          <w:rFonts w:cs="Arial"/>
        </w:rPr>
        <w:t xml:space="preserve"> presents the measures which have </w:t>
      </w:r>
      <w:r w:rsidR="00346BF2">
        <w:rPr>
          <w:rFonts w:cs="Arial"/>
        </w:rPr>
        <w:t>the</w:t>
      </w:r>
      <w:r>
        <w:rPr>
          <w:rFonts w:cs="Arial"/>
        </w:rPr>
        <w:t xml:space="preserve"> biggest impact on air quality and are viable for the Council to deliver. This does not mean however that actions presented in Appendix </w:t>
      </w:r>
      <w:r w:rsidR="002F0BF5">
        <w:rPr>
          <w:rFonts w:cs="Arial"/>
        </w:rPr>
        <w:t>C</w:t>
      </w:r>
      <w:r>
        <w:rPr>
          <w:rFonts w:cs="Arial"/>
        </w:rPr>
        <w:t xml:space="preserve"> will not be pursued, as comparatively lower impact measures</w:t>
      </w:r>
      <w:r w:rsidR="00346BF2">
        <w:rPr>
          <w:rFonts w:cs="Arial"/>
        </w:rPr>
        <w:t>,</w:t>
      </w:r>
      <w:r>
        <w:rPr>
          <w:rFonts w:cs="Arial"/>
        </w:rPr>
        <w:t xml:space="preserve"> for example those focusing on information dissemination, will </w:t>
      </w:r>
      <w:r>
        <w:rPr>
          <w:rFonts w:cs="Arial"/>
        </w:rPr>
        <w:lastRenderedPageBreak/>
        <w:t xml:space="preserve">still be effective in moving towards cleaner air quality. The implementation plan will consider these measures in conjunction with the core AQAP measures. </w:t>
      </w:r>
    </w:p>
    <w:p w14:paraId="17E2FA20" w14:textId="3A695CC6" w:rsidR="008B3788" w:rsidRPr="00893953" w:rsidRDefault="008B3788" w:rsidP="0025036F">
      <w:pPr>
        <w:pStyle w:val="Heading2"/>
        <w:numPr>
          <w:ilvl w:val="1"/>
          <w:numId w:val="74"/>
        </w:numPr>
      </w:pPr>
      <w:bookmarkStart w:id="142" w:name="_Toc160129578"/>
      <w:r>
        <w:t>Summary of Measures</w:t>
      </w:r>
      <w:bookmarkEnd w:id="142"/>
      <w:r>
        <w:t xml:space="preserve"> </w:t>
      </w:r>
    </w:p>
    <w:p w14:paraId="13619FD8" w14:textId="6F724A64" w:rsidR="008B3788" w:rsidRDefault="008B3788" w:rsidP="0025036F">
      <w:pPr>
        <w:pStyle w:val="Heading3"/>
        <w:numPr>
          <w:ilvl w:val="2"/>
          <w:numId w:val="74"/>
        </w:numPr>
      </w:pPr>
      <w:bookmarkStart w:id="143" w:name="_Toc160129579"/>
      <w:r>
        <w:t>Environment</w:t>
      </w:r>
      <w:bookmarkEnd w:id="143"/>
      <w:r>
        <w:t xml:space="preserve"> </w:t>
      </w:r>
    </w:p>
    <w:p w14:paraId="3C02064E" w14:textId="44BD11FD" w:rsidR="0054787D" w:rsidRPr="00914151" w:rsidRDefault="0054787D" w:rsidP="00893953">
      <w:pPr>
        <w:spacing w:before="0" w:after="0"/>
        <w:rPr>
          <w:rFonts w:cs="Arial"/>
          <w:b/>
          <w:bCs/>
        </w:rPr>
      </w:pPr>
      <w:r w:rsidRPr="00914151">
        <w:rPr>
          <w:rFonts w:cs="Arial"/>
          <w:b/>
          <w:bCs/>
        </w:rPr>
        <w:t xml:space="preserve">Emission standards for major contracts (EM3) </w:t>
      </w:r>
    </w:p>
    <w:p w14:paraId="34B8BE9F" w14:textId="77777777" w:rsidR="0054787D" w:rsidRPr="0054787D" w:rsidRDefault="0054787D" w:rsidP="00893953">
      <w:pPr>
        <w:spacing w:before="0" w:after="0"/>
        <w:rPr>
          <w:rFonts w:cs="Arial"/>
        </w:rPr>
      </w:pPr>
      <w:r w:rsidRPr="0054787D">
        <w:rPr>
          <w:rFonts w:cs="Arial"/>
        </w:rPr>
        <w:t xml:space="preserve">The Council will lead by example, by reducing vehicle emissions from its major contracts, where vehicle use is inherent in the contract. The standards to be implemented are as follows: </w:t>
      </w:r>
    </w:p>
    <w:p w14:paraId="2E759CE6" w14:textId="72F69EEB" w:rsidR="0054787D" w:rsidRPr="0054787D" w:rsidRDefault="0054787D" w:rsidP="00893953">
      <w:pPr>
        <w:pStyle w:val="ListParagraph"/>
        <w:numPr>
          <w:ilvl w:val="0"/>
          <w:numId w:val="19"/>
        </w:numPr>
        <w:rPr>
          <w:rFonts w:cs="Arial"/>
        </w:rPr>
      </w:pPr>
      <w:r w:rsidRPr="0054787D">
        <w:rPr>
          <w:rFonts w:cs="Arial"/>
        </w:rPr>
        <w:t>A minimum standard of E</w:t>
      </w:r>
      <w:r w:rsidR="00346BF2">
        <w:rPr>
          <w:rFonts w:cs="Arial"/>
        </w:rPr>
        <w:t>uro</w:t>
      </w:r>
      <w:r w:rsidRPr="0054787D">
        <w:rPr>
          <w:rFonts w:cs="Arial"/>
        </w:rPr>
        <w:t xml:space="preserve"> VI/6 (fleet profile) – </w:t>
      </w:r>
      <w:r w:rsidR="00346BF2">
        <w:rPr>
          <w:rFonts w:cs="Arial"/>
        </w:rPr>
        <w:t>Euro</w:t>
      </w:r>
      <w:r w:rsidRPr="0054787D">
        <w:rPr>
          <w:rFonts w:cs="Arial"/>
        </w:rPr>
        <w:t xml:space="preserve"> 6 for fleet defined as LDV (Vehicles below 3.5 tonnes) and </w:t>
      </w:r>
      <w:r w:rsidR="00346BF2">
        <w:rPr>
          <w:rFonts w:cs="Arial"/>
        </w:rPr>
        <w:t>Euro</w:t>
      </w:r>
      <w:r w:rsidRPr="0054787D">
        <w:rPr>
          <w:rFonts w:cs="Arial"/>
        </w:rPr>
        <w:t xml:space="preserve"> VI for fleet defined as HDV (Vehicles above 3.5 tonnes)</w:t>
      </w:r>
    </w:p>
    <w:p w14:paraId="7110F3CD" w14:textId="4A2580A5" w:rsidR="0054787D" w:rsidRPr="0054787D" w:rsidRDefault="0054787D" w:rsidP="00893953">
      <w:pPr>
        <w:pStyle w:val="ListParagraph"/>
        <w:numPr>
          <w:ilvl w:val="0"/>
          <w:numId w:val="19"/>
        </w:numPr>
        <w:rPr>
          <w:rFonts w:cs="Arial"/>
        </w:rPr>
      </w:pPr>
      <w:r w:rsidRPr="0054787D">
        <w:rPr>
          <w:rFonts w:cs="Arial"/>
        </w:rPr>
        <w:t xml:space="preserve">A 10% uptake of </w:t>
      </w:r>
      <w:r w:rsidR="00346BF2">
        <w:rPr>
          <w:rFonts w:cs="Arial"/>
        </w:rPr>
        <w:t>e</w:t>
      </w:r>
      <w:r w:rsidRPr="0054787D">
        <w:rPr>
          <w:rFonts w:cs="Arial"/>
        </w:rPr>
        <w:t>lectric</w:t>
      </w:r>
      <w:r w:rsidR="00346BF2">
        <w:rPr>
          <w:rFonts w:cs="Arial"/>
        </w:rPr>
        <w:t xml:space="preserve">, </w:t>
      </w:r>
      <w:r w:rsidRPr="0054787D">
        <w:rPr>
          <w:rFonts w:cs="Arial"/>
        </w:rPr>
        <w:t>hybrid</w:t>
      </w:r>
      <w:r w:rsidR="00346BF2">
        <w:rPr>
          <w:rFonts w:cs="Arial"/>
        </w:rPr>
        <w:t xml:space="preserve"> and </w:t>
      </w:r>
      <w:r w:rsidRPr="0054787D">
        <w:rPr>
          <w:rFonts w:cs="Arial"/>
        </w:rPr>
        <w:t>gas of the total fleet profile (by 2025, rising to 25% of the total fleet profile by 2028)</w:t>
      </w:r>
    </w:p>
    <w:p w14:paraId="3265EDEB" w14:textId="14FF68BB" w:rsidR="0054787D" w:rsidRPr="0054787D" w:rsidRDefault="0054787D" w:rsidP="00893953">
      <w:pPr>
        <w:pStyle w:val="ListParagraph"/>
        <w:numPr>
          <w:ilvl w:val="0"/>
          <w:numId w:val="19"/>
        </w:numPr>
        <w:rPr>
          <w:rFonts w:cs="Arial"/>
        </w:rPr>
      </w:pPr>
      <w:r w:rsidRPr="0054787D">
        <w:rPr>
          <w:rFonts w:cs="Arial"/>
        </w:rPr>
        <w:t>A 3% reduction per annum CO</w:t>
      </w:r>
      <w:r w:rsidRPr="00CC1A1E">
        <w:rPr>
          <w:rFonts w:cs="Arial"/>
          <w:vertAlign w:val="subscript"/>
        </w:rPr>
        <w:t>2</w:t>
      </w:r>
      <w:r w:rsidRPr="0054787D">
        <w:rPr>
          <w:rFonts w:cs="Arial"/>
        </w:rPr>
        <w:t xml:space="preserve"> targets for fleet emissions </w:t>
      </w:r>
    </w:p>
    <w:p w14:paraId="0B652053" w14:textId="7D424813" w:rsidR="0054787D" w:rsidRPr="0054787D" w:rsidRDefault="0054787D" w:rsidP="00893953">
      <w:pPr>
        <w:pStyle w:val="ListParagraph"/>
        <w:numPr>
          <w:ilvl w:val="0"/>
          <w:numId w:val="19"/>
        </w:numPr>
        <w:rPr>
          <w:rFonts w:cs="Arial"/>
        </w:rPr>
      </w:pPr>
      <w:r w:rsidRPr="0054787D">
        <w:rPr>
          <w:rFonts w:cs="Arial"/>
        </w:rPr>
        <w:t xml:space="preserve">A 3% reduction per annum of fuel saving targets fleet emissions </w:t>
      </w:r>
    </w:p>
    <w:p w14:paraId="4195BC5C" w14:textId="45F2C1DE" w:rsidR="0054787D" w:rsidRPr="00893953" w:rsidRDefault="0054787D" w:rsidP="00893953">
      <w:pPr>
        <w:spacing w:after="0"/>
        <w:rPr>
          <w:rFonts w:cs="Arial"/>
          <w:b/>
          <w:bCs/>
        </w:rPr>
      </w:pPr>
      <w:r w:rsidRPr="00893953">
        <w:rPr>
          <w:rFonts w:cs="Arial"/>
          <w:b/>
          <w:bCs/>
        </w:rPr>
        <w:t>Update to the Slough Low Emission Strategy (EM6)</w:t>
      </w:r>
    </w:p>
    <w:p w14:paraId="2867F5B5" w14:textId="77777777" w:rsidR="0054787D" w:rsidRPr="0054787D" w:rsidRDefault="0054787D" w:rsidP="00893953">
      <w:pPr>
        <w:spacing w:before="0" w:after="0"/>
        <w:rPr>
          <w:rFonts w:cs="Arial"/>
        </w:rPr>
      </w:pPr>
      <w:r w:rsidRPr="0054787D">
        <w:rPr>
          <w:rFonts w:cs="Arial"/>
        </w:rPr>
        <w:t>The Slough Low Emission Strategy is due to be updated with tightened emission controls, electric vehicle charging standards and construction emissions to incorporate increased standards and provision over time.</w:t>
      </w:r>
    </w:p>
    <w:p w14:paraId="28B87214" w14:textId="34F44097" w:rsidR="0054787D" w:rsidRPr="0054787D" w:rsidRDefault="0054787D" w:rsidP="00893953">
      <w:pPr>
        <w:rPr>
          <w:rFonts w:cs="Arial"/>
        </w:rPr>
      </w:pPr>
      <w:r w:rsidRPr="0054787D">
        <w:rPr>
          <w:rFonts w:cs="Arial"/>
        </w:rPr>
        <w:t xml:space="preserve">All new developments will be required to adhere to the updated Low Emission Strategy. The update is due to commence following approval and publishing of this AQAP. </w:t>
      </w:r>
    </w:p>
    <w:p w14:paraId="46FD3159" w14:textId="77777777" w:rsidR="0054787D" w:rsidRPr="0054787D" w:rsidRDefault="0054787D" w:rsidP="00893953">
      <w:pPr>
        <w:rPr>
          <w:rFonts w:cs="Arial"/>
          <w:u w:val="single"/>
        </w:rPr>
      </w:pPr>
      <w:r w:rsidRPr="0054787D">
        <w:rPr>
          <w:rFonts w:cs="Arial"/>
          <w:u w:val="single"/>
        </w:rPr>
        <w:t>Electric vehicle charging (EM7, EM8, EM9)</w:t>
      </w:r>
    </w:p>
    <w:p w14:paraId="2D5F2D9B" w14:textId="545456B4" w:rsidR="00205D38" w:rsidRDefault="00205D38" w:rsidP="0054787D">
      <w:pPr>
        <w:spacing w:before="0" w:after="0"/>
        <w:rPr>
          <w:rStyle w:val="AQAPTextChar"/>
        </w:rPr>
      </w:pPr>
      <w:r w:rsidRPr="00205D38">
        <w:rPr>
          <w:rFonts w:cs="Arial"/>
        </w:rPr>
        <w:t>The Council</w:t>
      </w:r>
      <w:r>
        <w:rPr>
          <w:rFonts w:cs="Arial"/>
        </w:rPr>
        <w:t xml:space="preserve"> is publishing an EVC</w:t>
      </w:r>
      <w:r w:rsidRPr="00205D38">
        <w:rPr>
          <w:rStyle w:val="AQAPTextChar"/>
        </w:rPr>
        <w:t xml:space="preserve">I </w:t>
      </w:r>
      <w:r>
        <w:rPr>
          <w:rStyle w:val="AQAPTextChar"/>
        </w:rPr>
        <w:t xml:space="preserve">Strategy in April 2024. Slough has not previously had any detailed operational strategy or policy for the deployment and management of EV charging infrastructure, despite owning an existing network of 20 public EV charge points installed over the past five to 10 years. During this time, the commercial charge point operator market has seen strong growth especially in providing rapid and ultra-rapid charge points, capturing demand for charging in 15 </w:t>
      </w:r>
      <w:r>
        <w:rPr>
          <w:rStyle w:val="AQAPTextChar"/>
        </w:rPr>
        <w:lastRenderedPageBreak/>
        <w:t xml:space="preserve">minutes to one hour. The Council expects the commercial sector to continue to lead in this area but will support through the planning process. </w:t>
      </w:r>
    </w:p>
    <w:p w14:paraId="20856FAD" w14:textId="77777777" w:rsidR="00205D38" w:rsidRDefault="00205D38" w:rsidP="0054787D">
      <w:pPr>
        <w:spacing w:before="0" w:after="0"/>
        <w:rPr>
          <w:rStyle w:val="AQAPTextChar"/>
        </w:rPr>
      </w:pPr>
    </w:p>
    <w:p w14:paraId="08CDB144" w14:textId="7C541567" w:rsidR="00205D38" w:rsidRDefault="00205D38" w:rsidP="0054787D">
      <w:pPr>
        <w:spacing w:before="0" w:after="0"/>
        <w:rPr>
          <w:rStyle w:val="AQAPTextChar"/>
        </w:rPr>
      </w:pPr>
      <w:r>
        <w:rPr>
          <w:rStyle w:val="AQAPTextChar"/>
        </w:rPr>
        <w:t xml:space="preserve">The Council has a role in taking a strategic view to ensure a balanced public charging network that does not just serve the most commercially viable locations. As Highway Authority and major landowner, the Council is ideally placed to work with the private sector charge point providers to boost the availability of charging closer to residential areas that need it. The majority of current EV drivers charge their vehicles mainly at home. However, only approximately 60% of Slough households will have access to off-street charging at their home address, and only approximately 20% of households reliant on public charging are within five minutes walking distance of an existing charge point. </w:t>
      </w:r>
    </w:p>
    <w:p w14:paraId="794AB931" w14:textId="77777777" w:rsidR="00205D38" w:rsidRDefault="00205D38" w:rsidP="0054787D">
      <w:pPr>
        <w:spacing w:before="0" w:after="0"/>
        <w:rPr>
          <w:rStyle w:val="AQAPTextChar"/>
        </w:rPr>
      </w:pPr>
    </w:p>
    <w:p w14:paraId="07E8E76A" w14:textId="49DF6822" w:rsidR="00205D38" w:rsidRDefault="00205D38" w:rsidP="0054787D">
      <w:pPr>
        <w:spacing w:before="0" w:after="0"/>
        <w:rPr>
          <w:rStyle w:val="AQAPTextChar"/>
        </w:rPr>
      </w:pPr>
      <w:r>
        <w:rPr>
          <w:rStyle w:val="AQAPTextChar"/>
        </w:rPr>
        <w:t xml:space="preserve">The EVCI Strategy targets 80% of households reliant on public charging being within five minutes walking distance of an existing charge point. For these residential areas, lower powered slow or fast charging is likely to be the predominant charging type in on-street locations. Due to the layout and characteristics of Slough, on-street charging may not be feasible in all areas of demand. The Strategy, while principally focused towards this type of on-street charging, also seeks to plan for off-street charging hubs (fast and rapid) to supplement the network. </w:t>
      </w:r>
    </w:p>
    <w:p w14:paraId="63739486" w14:textId="77777777" w:rsidR="00205D38" w:rsidRDefault="00205D38" w:rsidP="0054787D">
      <w:pPr>
        <w:spacing w:before="0" w:after="0"/>
        <w:rPr>
          <w:rStyle w:val="AQAPTextChar"/>
        </w:rPr>
      </w:pPr>
    </w:p>
    <w:p w14:paraId="23B40910" w14:textId="6A625C7A" w:rsidR="00205D38" w:rsidRDefault="00205D38" w:rsidP="0054787D">
      <w:pPr>
        <w:spacing w:before="0" w:after="0"/>
        <w:rPr>
          <w:rStyle w:val="AQAPTextChar"/>
        </w:rPr>
      </w:pPr>
      <w:r>
        <w:rPr>
          <w:rStyle w:val="AQAPTextChar"/>
        </w:rPr>
        <w:t>The EVCI Strategy is underpinned by funding from the LEVI</w:t>
      </w:r>
      <w:r w:rsidR="002C0CBF">
        <w:rPr>
          <w:rStyle w:val="AQAPTextChar"/>
        </w:rPr>
        <w:t xml:space="preserve"> scheme: £401K revenue funding from the LEVI Capability Fund; and £2.233m of capital funding from the Capital Fund. The funding terms and conditions require the Council to use the grant to leverage private investment to at least double the funding available.</w:t>
      </w:r>
    </w:p>
    <w:p w14:paraId="63824848" w14:textId="3BC28907" w:rsidR="002C0CBF" w:rsidRDefault="002C0CBF" w:rsidP="0054787D">
      <w:pPr>
        <w:spacing w:before="0" w:after="0"/>
        <w:rPr>
          <w:rStyle w:val="AQAPTextChar"/>
        </w:rPr>
      </w:pPr>
    </w:p>
    <w:p w14:paraId="40290C0B" w14:textId="3533B1AE" w:rsidR="002C0CBF" w:rsidRPr="00205D38" w:rsidRDefault="002C0CBF" w:rsidP="0054787D">
      <w:pPr>
        <w:spacing w:before="0" w:after="0"/>
        <w:rPr>
          <w:rFonts w:cs="Arial"/>
        </w:rPr>
      </w:pPr>
      <w:r>
        <w:rPr>
          <w:rStyle w:val="AQAPTextChar"/>
        </w:rPr>
        <w:t xml:space="preserve">The Council will also look at off-street charging provision across its own assets to supplement the wider public network. Some sites may be included within the LEVI scheme, others may be by commercial arrangement. </w:t>
      </w:r>
    </w:p>
    <w:p w14:paraId="36F1FD2C" w14:textId="77777777" w:rsidR="00205D38" w:rsidRDefault="00205D38" w:rsidP="0054787D">
      <w:pPr>
        <w:spacing w:before="0" w:after="0"/>
        <w:rPr>
          <w:rFonts w:cs="Arial"/>
          <w:highlight w:val="yellow"/>
        </w:rPr>
      </w:pPr>
    </w:p>
    <w:p w14:paraId="03C8F82E" w14:textId="77777777" w:rsidR="0054787D" w:rsidRPr="0054787D" w:rsidRDefault="0054787D" w:rsidP="0054787D">
      <w:pPr>
        <w:rPr>
          <w:rFonts w:cs="Arial"/>
          <w:u w:val="single"/>
        </w:rPr>
      </w:pPr>
      <w:r w:rsidRPr="0054787D">
        <w:rPr>
          <w:rFonts w:cs="Arial"/>
          <w:u w:val="single"/>
        </w:rPr>
        <w:t>Slough Electric Vehicle Car Club (EM10)</w:t>
      </w:r>
    </w:p>
    <w:p w14:paraId="3768ECD9" w14:textId="306FA1E4" w:rsidR="0054787D" w:rsidRPr="0054787D" w:rsidRDefault="002C0CBF" w:rsidP="0054787D">
      <w:pPr>
        <w:rPr>
          <w:rFonts w:cs="Arial"/>
        </w:rPr>
      </w:pPr>
      <w:r>
        <w:t xml:space="preserve">As at December 2023 the Council is in receipt of </w:t>
      </w:r>
      <w:r w:rsidRPr="00461099">
        <w:t>£78.5k for public EV charging and £149k for</w:t>
      </w:r>
      <w:r>
        <w:t xml:space="preserve"> car club schemes, with a further £1.681m in future S.106 Obligations</w:t>
      </w:r>
      <w:r w:rsidR="00957067">
        <w:t xml:space="preserve">, to </w:t>
      </w:r>
      <w:r w:rsidR="00957067">
        <w:lastRenderedPageBreak/>
        <w:t>support the electric vehicle car club programme</w:t>
      </w:r>
      <w:r>
        <w:t>.</w:t>
      </w:r>
      <w:r w:rsidR="00957067">
        <w:t xml:space="preserve"> The intention is to provide people in Slough an alternative travel option that does not require them to have a private vehicle, but can have all of the associated benefits such as convenience and access. This scheme will be initiated once the EVCI Strategy has been published. </w:t>
      </w:r>
    </w:p>
    <w:p w14:paraId="4F530252" w14:textId="77777777" w:rsidR="0054787D" w:rsidRPr="00893953" w:rsidRDefault="0054787D" w:rsidP="00893953">
      <w:pPr>
        <w:spacing w:before="0" w:after="0"/>
        <w:rPr>
          <w:rFonts w:cs="Arial"/>
          <w:b/>
          <w:bCs/>
        </w:rPr>
      </w:pPr>
      <w:r w:rsidRPr="00893953">
        <w:rPr>
          <w:rFonts w:cs="Arial"/>
          <w:b/>
          <w:bCs/>
        </w:rPr>
        <w:t>Taxi emission reduction (EM11, EM12, EM19)</w:t>
      </w:r>
    </w:p>
    <w:p w14:paraId="3E8CD430" w14:textId="47D6AD45" w:rsidR="0054787D" w:rsidRPr="0054787D" w:rsidRDefault="0054787D" w:rsidP="00893953">
      <w:pPr>
        <w:spacing w:before="0" w:after="0"/>
        <w:rPr>
          <w:rFonts w:cs="Arial"/>
        </w:rPr>
      </w:pPr>
      <w:r w:rsidRPr="0054787D">
        <w:rPr>
          <w:rFonts w:cs="Arial"/>
        </w:rPr>
        <w:t xml:space="preserve">Within the Low Emission Strategy, minimum emission standards for both hackney carriages and private hire vehicles were set that comply with national clean air requirements and promote ULEVs. In 2023, the Taxi Licensing </w:t>
      </w:r>
      <w:r w:rsidR="00346BF2">
        <w:rPr>
          <w:rFonts w:cs="Arial"/>
        </w:rPr>
        <w:t>P</w:t>
      </w:r>
      <w:r w:rsidRPr="0054787D">
        <w:rPr>
          <w:rFonts w:cs="Arial"/>
        </w:rPr>
        <w:t>olicy was updated with this requirement removed, following concerns raised by the taxi trade. Additional concerns regarding the lack of infrastructure to support the trade’s transition to cleaner vehicles were raised</w:t>
      </w:r>
      <w:r w:rsidR="00346BF2">
        <w:rPr>
          <w:rFonts w:cs="Arial"/>
        </w:rPr>
        <w:t>,</w:t>
      </w:r>
      <w:r w:rsidRPr="0054787D">
        <w:rPr>
          <w:rFonts w:cs="Arial"/>
        </w:rPr>
        <w:t xml:space="preserve"> therefore it is imperative that projects to provide charging infrastructure and support access to vehicles are delivered prior to reinstating emission requirements. </w:t>
      </w:r>
    </w:p>
    <w:p w14:paraId="2B854F10" w14:textId="12835025" w:rsidR="0054787D" w:rsidRPr="0054787D" w:rsidRDefault="0054787D" w:rsidP="002C0CBF">
      <w:pPr>
        <w:rPr>
          <w:rFonts w:cs="Arial"/>
        </w:rPr>
      </w:pPr>
      <w:r w:rsidRPr="0054787D">
        <w:rPr>
          <w:rFonts w:cs="Arial"/>
        </w:rPr>
        <w:t xml:space="preserve">Slough Borough Council are currently in receipt of </w:t>
      </w:r>
      <w:r w:rsidR="002C0CBF" w:rsidRPr="002C0CBF">
        <w:rPr>
          <w:rFonts w:cs="Arial"/>
        </w:rPr>
        <w:t xml:space="preserve">£370,035 from the Defra Air Quality Grant Fund towards an electric taxi and private hire vehicle demonstration project. The project is designed to assist the borough’s taxi and private drivers to make the transition to </w:t>
      </w:r>
      <w:r w:rsidR="007A4055" w:rsidRPr="002C0CBF">
        <w:rPr>
          <w:rFonts w:cs="Arial"/>
        </w:rPr>
        <w:t>ultra low emission vehicle</w:t>
      </w:r>
      <w:r w:rsidR="002C0CBF" w:rsidRPr="002C0CBF">
        <w:rPr>
          <w:rFonts w:cs="Arial"/>
        </w:rPr>
        <w:t>s</w:t>
      </w:r>
      <w:r w:rsidR="002C0CBF">
        <w:rPr>
          <w:rFonts w:cs="Arial"/>
        </w:rPr>
        <w:t>, and give approximately 50</w:t>
      </w:r>
      <w:r w:rsidR="002C0CBF" w:rsidRPr="002C0CBF">
        <w:rPr>
          <w:rFonts w:cs="Arial"/>
        </w:rPr>
        <w:t xml:space="preserve"> drivers the opportunity to use electric vehicles for up to 90 days to experience driving them in a professional capacity.</w:t>
      </w:r>
      <w:r w:rsidR="007A4055">
        <w:rPr>
          <w:rFonts w:cs="Arial"/>
        </w:rPr>
        <w:t xml:space="preserve"> </w:t>
      </w:r>
      <w:r w:rsidR="002C0CBF" w:rsidRPr="002C0CBF">
        <w:rPr>
          <w:rFonts w:cs="Arial"/>
        </w:rPr>
        <w:t xml:space="preserve">Other ways drivers </w:t>
      </w:r>
      <w:r w:rsidR="007A4055">
        <w:rPr>
          <w:rFonts w:cs="Arial"/>
        </w:rPr>
        <w:t>were to b</w:t>
      </w:r>
      <w:r w:rsidR="002C0CBF" w:rsidRPr="002C0CBF">
        <w:rPr>
          <w:rFonts w:cs="Arial"/>
        </w:rPr>
        <w:t>e encouraged to switch include</w:t>
      </w:r>
      <w:r w:rsidR="007A4055">
        <w:rPr>
          <w:rFonts w:cs="Arial"/>
        </w:rPr>
        <w:t>d</w:t>
      </w:r>
      <w:r w:rsidR="002C0CBF" w:rsidRPr="002C0CBF">
        <w:rPr>
          <w:rFonts w:cs="Arial"/>
        </w:rPr>
        <w:t xml:space="preserve"> providing grants to new and existing electric car users towards operating costs to offset the initial higher outlay compared to traditional fuel vehicles.</w:t>
      </w:r>
    </w:p>
    <w:p w14:paraId="7C5262A2" w14:textId="77777777" w:rsidR="007A4055" w:rsidRDefault="002C0CBF" w:rsidP="0054787D">
      <w:r>
        <w:t xml:space="preserve">The Council is </w:t>
      </w:r>
      <w:r w:rsidR="007A4055">
        <w:t xml:space="preserve">also </w:t>
      </w:r>
      <w:r>
        <w:t xml:space="preserve">in receipt of £157,500 capital grant funding from OZEV for taxi priority rapid charging infrastructure, awarded in 2017/18 and 2018/19 under the Ultra Low Emission Vehicle Taxi Scheme. </w:t>
      </w:r>
      <w:r>
        <w:rPr>
          <w:rFonts w:cs="Arial"/>
        </w:rPr>
        <w:t>The scheme is intended</w:t>
      </w:r>
      <w:r w:rsidRPr="0054787D">
        <w:rPr>
          <w:rFonts w:cs="Arial"/>
        </w:rPr>
        <w:t xml:space="preserve"> to support a high growth rate in plug-in taxis and the use of smart technology to link taxi operators with charging infrastructure and customers.</w:t>
      </w:r>
      <w:r>
        <w:rPr>
          <w:rFonts w:cs="Arial"/>
        </w:rPr>
        <w:t xml:space="preserve"> </w:t>
      </w:r>
      <w:r>
        <w:t xml:space="preserve">The funding was for 50% of capital costs of seven rapid chargers to be match funded by the Council from the Capital Programme for the remaining purchase and installation costs. </w:t>
      </w:r>
    </w:p>
    <w:p w14:paraId="1765404B" w14:textId="65BDEE52" w:rsidR="002C0CBF" w:rsidRDefault="007A4055" w:rsidP="0054787D">
      <w:r>
        <w:t>Due to the Section 114 and the subsequent impact on officer resource, these projects have not yet been delivered. To support the taxi trade transition to cleaner vehicles, it is paramount that these projects are delivered. Options to achieve this will be explored on</w:t>
      </w:r>
      <w:r w:rsidR="002C0CBF">
        <w:t xml:space="preserve">ce officer resources are available. </w:t>
      </w:r>
    </w:p>
    <w:p w14:paraId="1AA070D9" w14:textId="77777777" w:rsidR="0054787D" w:rsidRPr="00893953" w:rsidRDefault="0054787D" w:rsidP="0054787D">
      <w:pPr>
        <w:rPr>
          <w:rFonts w:cs="Arial"/>
          <w:b/>
          <w:bCs/>
        </w:rPr>
      </w:pPr>
      <w:r w:rsidRPr="00893953">
        <w:rPr>
          <w:rFonts w:cs="Arial"/>
          <w:b/>
          <w:bCs/>
        </w:rPr>
        <w:lastRenderedPageBreak/>
        <w:t>Low emission heating (EM14, EM15)</w:t>
      </w:r>
    </w:p>
    <w:p w14:paraId="1815E982" w14:textId="77777777" w:rsidR="0054787D" w:rsidRPr="0054787D" w:rsidRDefault="0054787D" w:rsidP="0054787D">
      <w:pPr>
        <w:rPr>
          <w:rFonts w:cs="Arial"/>
        </w:rPr>
      </w:pPr>
      <w:r w:rsidRPr="0054787D">
        <w:rPr>
          <w:rFonts w:cs="Arial"/>
        </w:rPr>
        <w:t xml:space="preserve">As identified in the source apportionment study, a portion of air pollutants are attributed to domestic heating systems. As such, the AQAP includes measures to support a reduction of emissions from gas boilers. Slough Borough Council will support the delivery of government funded retrofit projects such as the Home Upgrade Grant (HUG2). The HUG2 scheme intends to reduce energy consumption by upgrading homes following a ‘fabric first’ approach, such as applying insulation and upgrading windows. Creating more energy efficient homes will reduce emissions as less heat is lost through the fabric of the building. This scheme is currently active and is due to be complete by 2025. </w:t>
      </w:r>
    </w:p>
    <w:p w14:paraId="0F370351" w14:textId="075DEFAA" w:rsidR="008B3788" w:rsidRPr="0054787D" w:rsidRDefault="0054787D" w:rsidP="0054787D">
      <w:pPr>
        <w:rPr>
          <w:rFonts w:cs="Arial"/>
        </w:rPr>
      </w:pPr>
      <w:r w:rsidRPr="0054787D">
        <w:rPr>
          <w:rFonts w:cs="Arial"/>
        </w:rPr>
        <w:t>In additio</w:t>
      </w:r>
      <w:r w:rsidRPr="00BD5D09">
        <w:rPr>
          <w:rFonts w:cs="Arial"/>
        </w:rPr>
        <w:t xml:space="preserve">n, Slough has one of the </w:t>
      </w:r>
      <w:r w:rsidR="004E4FB3" w:rsidRPr="00BD5D09">
        <w:rPr>
          <w:rFonts w:cs="Arial"/>
        </w:rPr>
        <w:t>largest</w:t>
      </w:r>
      <w:r w:rsidRPr="00BD5D09">
        <w:rPr>
          <w:rFonts w:cs="Arial"/>
        </w:rPr>
        <w:t xml:space="preserve"> </w:t>
      </w:r>
      <w:r w:rsidR="004E4FB3" w:rsidRPr="00BD5D09">
        <w:rPr>
          <w:rFonts w:cs="Arial"/>
        </w:rPr>
        <w:t>quantities</w:t>
      </w:r>
      <w:r w:rsidRPr="00BD5D09">
        <w:rPr>
          <w:rFonts w:cs="Arial"/>
        </w:rPr>
        <w:t xml:space="preserve"> of datacentres in Europe,</w:t>
      </w:r>
      <w:r w:rsidRPr="0054787D">
        <w:rPr>
          <w:rFonts w:cs="Arial"/>
        </w:rPr>
        <w:t xml:space="preserve"> and this is continuing to expand </w:t>
      </w:r>
      <w:r w:rsidR="006932E5">
        <w:rPr>
          <w:rFonts w:cs="Arial"/>
        </w:rPr>
        <w:t xml:space="preserve">in particular </w:t>
      </w:r>
      <w:r w:rsidRPr="0054787D">
        <w:rPr>
          <w:rFonts w:cs="Arial"/>
        </w:rPr>
        <w:t xml:space="preserve">with the renewal of the Slough Trading Estate Simplified Planning Zone, which is due in 2024. As such, there are opportunities to work with a commercial partner to utilise the waste heat that datacentres generate </w:t>
      </w:r>
      <w:r w:rsidR="006932E5">
        <w:rPr>
          <w:rFonts w:cs="Arial"/>
        </w:rPr>
        <w:t xml:space="preserve">(in the Trading Estate and elsewhere) </w:t>
      </w:r>
      <w:r w:rsidRPr="0054787D">
        <w:rPr>
          <w:rFonts w:cs="Arial"/>
        </w:rPr>
        <w:t>and in conjunction, reduce carbon emissions and air pollutants associated with Slough’s heating systems. As such, a measure has been included to support the implementation of District Heating plans</w:t>
      </w:r>
      <w:r w:rsidR="004E4FB3">
        <w:rPr>
          <w:rFonts w:cs="Arial"/>
        </w:rPr>
        <w:t xml:space="preserve"> to reduce emissions from heating systems</w:t>
      </w:r>
      <w:r w:rsidRPr="0054787D">
        <w:rPr>
          <w:rFonts w:cs="Arial"/>
        </w:rPr>
        <w:t>.</w:t>
      </w:r>
    </w:p>
    <w:p w14:paraId="069CBAA4" w14:textId="77777777" w:rsidR="0054787D" w:rsidRPr="00893953" w:rsidRDefault="0054787D" w:rsidP="0025036F">
      <w:pPr>
        <w:pStyle w:val="Heading3"/>
        <w:numPr>
          <w:ilvl w:val="2"/>
          <w:numId w:val="74"/>
        </w:numPr>
      </w:pPr>
      <w:bookmarkStart w:id="144" w:name="_Toc160129580"/>
      <w:r>
        <w:t>Transport</w:t>
      </w:r>
      <w:bookmarkEnd w:id="144"/>
      <w:r>
        <w:t xml:space="preserve"> </w:t>
      </w:r>
    </w:p>
    <w:p w14:paraId="2C7E0005" w14:textId="38CA0172" w:rsidR="0054787D" w:rsidRPr="00914151" w:rsidRDefault="0054787D" w:rsidP="0054787D">
      <w:pPr>
        <w:rPr>
          <w:b/>
          <w:bCs/>
        </w:rPr>
      </w:pPr>
      <w:r w:rsidRPr="00914151">
        <w:rPr>
          <w:b/>
          <w:bCs/>
        </w:rPr>
        <w:t xml:space="preserve">Slough </w:t>
      </w:r>
      <w:r w:rsidR="00E92C36">
        <w:rPr>
          <w:b/>
          <w:bCs/>
        </w:rPr>
        <w:t xml:space="preserve">Electric </w:t>
      </w:r>
      <w:r w:rsidRPr="00914151">
        <w:rPr>
          <w:b/>
          <w:bCs/>
        </w:rPr>
        <w:t>Cycle and Scooter Infrastructure and Hire programme</w:t>
      </w:r>
      <w:r w:rsidR="00914151" w:rsidRPr="00914151">
        <w:rPr>
          <w:b/>
          <w:bCs/>
        </w:rPr>
        <w:t xml:space="preserve"> (TM1)</w:t>
      </w:r>
    </w:p>
    <w:p w14:paraId="78D37B15" w14:textId="4F3C4896" w:rsidR="0054787D" w:rsidRDefault="0054787D" w:rsidP="0054787D">
      <w:r>
        <w:t xml:space="preserve">The Slough Cycle Hire </w:t>
      </w:r>
      <w:r w:rsidR="004E4FB3">
        <w:t xml:space="preserve">scheme </w:t>
      </w:r>
      <w:r>
        <w:t xml:space="preserve">launched in 2013 and grew to </w:t>
      </w:r>
      <w:r w:rsidR="004E4FB3">
        <w:t>a total of</w:t>
      </w:r>
      <w:r>
        <w:t xml:space="preserve"> 17 cycle hire stations throughout the town, to cater for users who did not own a bicycle and to accommodate short journeys. This enabled users to dock the bikes across Slough, including at Slough and Burnham train stations, on the Slough </w:t>
      </w:r>
      <w:r w:rsidR="004E4FB3">
        <w:t>T</w:t>
      </w:r>
      <w:r>
        <w:t xml:space="preserve">rading </w:t>
      </w:r>
      <w:r w:rsidR="004E4FB3">
        <w:t>E</w:t>
      </w:r>
      <w:r>
        <w:t>state and in popular shopping areas in Langley. The scheme closed on 1</w:t>
      </w:r>
      <w:r w:rsidRPr="007315A2">
        <w:rPr>
          <w:vertAlign w:val="superscript"/>
        </w:rPr>
        <w:t>st</w:t>
      </w:r>
      <w:r>
        <w:t xml:space="preserve"> July 2022, in anticipation of a new cycle scheme to be implemented in 2024. </w:t>
      </w:r>
    </w:p>
    <w:p w14:paraId="6425C877" w14:textId="4A0CF674" w:rsidR="0054787D" w:rsidRDefault="0054787D" w:rsidP="0054787D">
      <w:r>
        <w:t xml:space="preserve">The new scheme is intended to be a modernised scheme which </w:t>
      </w:r>
      <w:r w:rsidR="004E4FB3">
        <w:t>will</w:t>
      </w:r>
      <w:r>
        <w:t xml:space="preserve"> include</w:t>
      </w:r>
      <w:r w:rsidR="004E4FB3">
        <w:t xml:space="preserve"> docking locations for</w:t>
      </w:r>
      <w:r>
        <w:t xml:space="preserve"> e-bikes </w:t>
      </w:r>
      <w:r w:rsidR="004E4FB3">
        <w:t>and e-scooters</w:t>
      </w:r>
      <w:r>
        <w:t xml:space="preserve">. </w:t>
      </w:r>
      <w:r w:rsidR="004E4FB3">
        <w:t>The scheme will be phased to focus on rail st</w:t>
      </w:r>
      <w:r w:rsidR="007859EA">
        <w:t>ations initially and will be expanded to include d</w:t>
      </w:r>
      <w:r>
        <w:t>ocking hubs in key locations includ</w:t>
      </w:r>
      <w:r w:rsidRPr="007315A2">
        <w:t>ing the town centre, Wexham Park Hospital and SEGRO, which meet</w:t>
      </w:r>
      <w:r w:rsidR="007859EA">
        <w:t xml:space="preserve"> the</w:t>
      </w:r>
      <w:r w:rsidRPr="007315A2">
        <w:t xml:space="preserve"> </w:t>
      </w:r>
      <w:r w:rsidRPr="007315A2">
        <w:lastRenderedPageBreak/>
        <w:t>standards and direction out</w:t>
      </w:r>
      <w:r>
        <w:t>l</w:t>
      </w:r>
      <w:r w:rsidRPr="007315A2">
        <w:t xml:space="preserve">ined in the </w:t>
      </w:r>
      <w:r w:rsidR="00784479" w:rsidRPr="00784479">
        <w:t>Cycling and Walking Investment Strategy  LTN 1/20</w:t>
      </w:r>
      <w:r w:rsidR="00784479">
        <w:rPr>
          <w:rStyle w:val="FootnoteReference"/>
        </w:rPr>
        <w:footnoteReference w:id="21"/>
      </w:r>
      <w:r>
        <w:t xml:space="preserve">. </w:t>
      </w:r>
    </w:p>
    <w:p w14:paraId="1888768B" w14:textId="4783020C" w:rsidR="0054787D" w:rsidRPr="00914151" w:rsidRDefault="0054787D" w:rsidP="0054787D">
      <w:pPr>
        <w:rPr>
          <w:b/>
          <w:bCs/>
        </w:rPr>
      </w:pPr>
      <w:r w:rsidRPr="00914151">
        <w:rPr>
          <w:b/>
          <w:bCs/>
        </w:rPr>
        <w:t>Cycle lane schemes</w:t>
      </w:r>
      <w:r w:rsidR="00914151" w:rsidRPr="00914151">
        <w:rPr>
          <w:b/>
          <w:bCs/>
        </w:rPr>
        <w:t xml:space="preserve"> (TM4, TM5, TM6</w:t>
      </w:r>
      <w:r w:rsidR="001114C5">
        <w:rPr>
          <w:b/>
          <w:bCs/>
        </w:rPr>
        <w:t>)</w:t>
      </w:r>
      <w:r w:rsidR="00914151" w:rsidRPr="00914151">
        <w:rPr>
          <w:b/>
          <w:bCs/>
        </w:rPr>
        <w:t xml:space="preserve"> </w:t>
      </w:r>
    </w:p>
    <w:p w14:paraId="322867D6" w14:textId="77777777" w:rsidR="007E73EA" w:rsidRDefault="0054787D" w:rsidP="0054787D">
      <w:r>
        <w:t xml:space="preserve">In 2020, Slough Borough Council was awarded funding from the Emergency Active Travel Fund, to provide an experimental bus lane along the A4 from Huntercombe Roundabout to Uxbridge Road. </w:t>
      </w:r>
    </w:p>
    <w:p w14:paraId="314EA401" w14:textId="4106DBE3" w:rsidR="007E73EA" w:rsidRDefault="007E73EA" w:rsidP="0054787D">
      <w:r w:rsidRPr="007E73EA">
        <w:t>The scheme was introduced to allow for social distancing measures and the reprioritisation of road space for pedestrians and cyclists as outlined in the government’s Emergency Active Travel Fund (EATF) guidance. The DfT provided funding to introduce active travel schemes using the EATF grant. Public transport provision was a subsequent step in preparing for the opening of the town after the easing of lockdown restrictions. The scheme provided a ‘whole route’ approach to create a bus and cycle corridor, implemented with a consideration of the wider context of increasing traffic levels and congestion in the town</w:t>
      </w:r>
    </w:p>
    <w:p w14:paraId="463868E5" w14:textId="532443EC" w:rsidR="0054787D" w:rsidRDefault="0054787D" w:rsidP="0054787D">
      <w:r>
        <w:t xml:space="preserve">The consultation period for the scheme was live from 4 December 2020 to 31 August 2021, and was followed by a review period to assess whether the bus lane should be made permanent.  </w:t>
      </w:r>
    </w:p>
    <w:p w14:paraId="7D1CEE15" w14:textId="264E649E" w:rsidR="0054787D" w:rsidRDefault="0054787D" w:rsidP="0054787D">
      <w:r>
        <w:t>On 17 January 2022, the Council agreed to make the A4 bus lane permanent and incorporate</w:t>
      </w:r>
      <w:r w:rsidR="007859EA">
        <w:t>d</w:t>
      </w:r>
      <w:r>
        <w:t xml:space="preserve"> the operational changes made on 4 December 2020, with the addition of permitting zero emission vehicles displaying green number plates. </w:t>
      </w:r>
    </w:p>
    <w:p w14:paraId="59E6941D" w14:textId="00F935DD" w:rsidR="0054787D" w:rsidRDefault="0054787D" w:rsidP="0054787D">
      <w:r>
        <w:t xml:space="preserve">Following on from this scheme, Slough Borough Council was awarded </w:t>
      </w:r>
      <w:r w:rsidRPr="00EB3A02">
        <w:t xml:space="preserve">£10.4m </w:t>
      </w:r>
      <w:r>
        <w:t>by th</w:t>
      </w:r>
      <w:r w:rsidRPr="00EB3A02">
        <w:t xml:space="preserve">e Department for Transport’s (DfT) Active Travel Fund, </w:t>
      </w:r>
      <w:r>
        <w:t>towards the development of a cycle highway that runs alongside the bus lane on the A4. The lane will be an off-road, continuous, mostly segregated route between Huntercombe Lane and Uxbridge Road, with associated road safety improvements along the A4</w:t>
      </w:r>
      <w:r w:rsidR="00F26F59">
        <w:t xml:space="preserve"> (Safer A4 scheme)</w:t>
      </w:r>
      <w:r>
        <w:t xml:space="preserve">. </w:t>
      </w:r>
      <w:r>
        <w:lastRenderedPageBreak/>
        <w:t xml:space="preserve">The route will be 2.5m wide to accommodate two-way cycle movements and is intended to increase cycle usage in Slough. </w:t>
      </w:r>
    </w:p>
    <w:p w14:paraId="7DCCF95E" w14:textId="710A5347" w:rsidR="0054787D" w:rsidRPr="002324D3" w:rsidRDefault="0054787D" w:rsidP="0054787D">
      <w:pPr>
        <w:rPr>
          <w:u w:val="single"/>
        </w:rPr>
      </w:pPr>
      <w:r>
        <w:t xml:space="preserve">In addition, work is ongoing to deliver the schemes outlined within the LCWIP. This includes the </w:t>
      </w:r>
      <w:r w:rsidRPr="002324D3">
        <w:t xml:space="preserve">Burnham Station to A4 via Station Road cycle </w:t>
      </w:r>
      <w:r w:rsidR="007859EA">
        <w:t>lane,</w:t>
      </w:r>
      <w:r w:rsidRPr="002324D3">
        <w:t xml:space="preserve"> and the Foxborough </w:t>
      </w:r>
      <w:r w:rsidR="007859EA">
        <w:t>c</w:t>
      </w:r>
      <w:r w:rsidRPr="002324D3">
        <w:t xml:space="preserve">ycle </w:t>
      </w:r>
      <w:r w:rsidR="007859EA">
        <w:t>l</w:t>
      </w:r>
      <w:r w:rsidRPr="002324D3">
        <w:t>ane between Langley High Street and Junction 5 Footbridge</w:t>
      </w:r>
      <w:r>
        <w:t xml:space="preserve">. The intention of these schemes is to provide people who work and live in Slough a safe cycle route, to encourage more to travel via active modes. </w:t>
      </w:r>
    </w:p>
    <w:p w14:paraId="3B878D60" w14:textId="2C58B81D" w:rsidR="0054787D" w:rsidRPr="001114C5" w:rsidRDefault="0054787D" w:rsidP="0054787D">
      <w:pPr>
        <w:rPr>
          <w:b/>
          <w:bCs/>
        </w:rPr>
      </w:pPr>
      <w:r w:rsidRPr="001114C5">
        <w:rPr>
          <w:b/>
          <w:bCs/>
        </w:rPr>
        <w:t xml:space="preserve">Implement Destination Farnham Road scheme </w:t>
      </w:r>
      <w:r w:rsidR="001114C5" w:rsidRPr="001114C5">
        <w:rPr>
          <w:b/>
          <w:bCs/>
        </w:rPr>
        <w:t>(TM7)</w:t>
      </w:r>
    </w:p>
    <w:p w14:paraId="1095217C" w14:textId="4CF1593A" w:rsidR="00BD5D09" w:rsidRDefault="0054787D" w:rsidP="0054787D">
      <w:r>
        <w:t xml:space="preserve">The Destination Farnham Road scheme aims to improve the public realm of Farnham Road </w:t>
      </w:r>
      <w:r w:rsidRPr="00B305CF">
        <w:t>between its junctions with Essex Avenue and Sheffield Road,</w:t>
      </w:r>
      <w:r>
        <w:t xml:space="preserve"> </w:t>
      </w:r>
      <w:r w:rsidRPr="00B305CF">
        <w:t>enhance the landscape of the area, restore a sense of place, and identify Farnham Road as a distinctive location by strengthening and communicating the area’s character and identity.</w:t>
      </w:r>
      <w:r>
        <w:t xml:space="preserve"> The scheme also includes improvements to </w:t>
      </w:r>
      <w:r w:rsidRPr="00B305CF">
        <w:t xml:space="preserve">cycling infrastructure, access to local shops and businesses for users of all modes of transport, and </w:t>
      </w:r>
      <w:r>
        <w:t xml:space="preserve">a </w:t>
      </w:r>
      <w:r w:rsidRPr="00B305CF">
        <w:t>reduc</w:t>
      </w:r>
      <w:r>
        <w:t>tion of</w:t>
      </w:r>
      <w:r w:rsidRPr="00B305CF">
        <w:t xml:space="preserve"> car dominance.</w:t>
      </w:r>
      <w:r>
        <w:t xml:space="preserve"> R</w:t>
      </w:r>
      <w:r w:rsidRPr="00B305CF">
        <w:t>eallocat</w:t>
      </w:r>
      <w:r>
        <w:t>ing</w:t>
      </w:r>
      <w:r w:rsidRPr="00B305CF">
        <w:t xml:space="preserve"> road space </w:t>
      </w:r>
      <w:r>
        <w:t>will</w:t>
      </w:r>
      <w:r w:rsidRPr="00B305CF">
        <w:t xml:space="preserve"> reinforce th</w:t>
      </w:r>
      <w:r>
        <w:t>e</w:t>
      </w:r>
      <w:r w:rsidRPr="00B305CF">
        <w:t xml:space="preserve"> area’s identity as a key destination, improve connectivity to and around the district centre by sustainable modes of transport, and improve road safety outcomes</w:t>
      </w:r>
      <w:r>
        <w:t>.</w:t>
      </w:r>
    </w:p>
    <w:p w14:paraId="27189D34" w14:textId="77777777" w:rsidR="0054787D" w:rsidRPr="00392CE7" w:rsidRDefault="0054787D" w:rsidP="0054787D">
      <w:pPr>
        <w:rPr>
          <w:b/>
          <w:bCs/>
        </w:rPr>
      </w:pPr>
      <w:r>
        <w:rPr>
          <w:b/>
          <w:bCs/>
        </w:rPr>
        <w:t>Parking controls (TM9, TM10, TM11)</w:t>
      </w:r>
    </w:p>
    <w:p w14:paraId="06F45B0E" w14:textId="59294636" w:rsidR="00F74B75" w:rsidRDefault="00F74B75" w:rsidP="00F74B75">
      <w:pPr>
        <w:rPr>
          <w:rFonts w:ascii="Calibri" w:hAnsi="Calibri"/>
          <w:sz w:val="22"/>
          <w:szCs w:val="22"/>
        </w:rPr>
      </w:pPr>
      <w:r>
        <w:t>Over the last</w:t>
      </w:r>
      <w:r w:rsidR="007859EA">
        <w:t xml:space="preserve"> </w:t>
      </w:r>
      <w:r>
        <w:t>10 years</w:t>
      </w:r>
      <w:r w:rsidR="003F5535">
        <w:t>,</w:t>
      </w:r>
      <w:r>
        <w:t xml:space="preserve"> developers have been granted permission for residential developments with low levels of </w:t>
      </w:r>
      <w:r w:rsidR="007859EA">
        <w:t>c</w:t>
      </w:r>
      <w:r>
        <w:t>ar parking provisio</w:t>
      </w:r>
      <w:r w:rsidR="00DB20C8">
        <w:t>n, with n</w:t>
      </w:r>
      <w:r>
        <w:t xml:space="preserve">il provision </w:t>
      </w:r>
      <w:r w:rsidR="00DB20C8">
        <w:t>p</w:t>
      </w:r>
      <w:r w:rsidR="003F5535">
        <w:t>ermitted</w:t>
      </w:r>
      <w:r>
        <w:t xml:space="preserve"> for residential developments in the </w:t>
      </w:r>
      <w:r w:rsidR="007859EA">
        <w:t>t</w:t>
      </w:r>
      <w:r>
        <w:t xml:space="preserve">own </w:t>
      </w:r>
      <w:r w:rsidR="007859EA">
        <w:t>c</w:t>
      </w:r>
      <w:r>
        <w:t>entre and designated shopping centres. The developments were permitted due to the council aspirations to reduce road congestion, air pollution and encourage active travel (as per Local Plan Policies T2 and Core Policy 7). However, developers have not been successful in encouraging low le</w:t>
      </w:r>
      <w:r w:rsidRPr="003F5535">
        <w:t>vels of car ownership</w:t>
      </w:r>
      <w:r w:rsidR="007859EA">
        <w:t>,</w:t>
      </w:r>
      <w:r w:rsidRPr="003F5535">
        <w:t xml:space="preserve"> and on-street car parking problems have been recorded on Stoke Poges Lane, Herschel Street, Mills Street and Lyons Way</w:t>
      </w:r>
      <w:r>
        <w:t xml:space="preserve"> outside developments with low levels of car parking. </w:t>
      </w:r>
      <w:r w:rsidR="00DB20C8">
        <w:t xml:space="preserve">This results in safety issues for pedestrians due to reduced pavement space and blocking of visibility splays which </w:t>
      </w:r>
      <w:r w:rsidR="007859EA">
        <w:t>increases risk of</w:t>
      </w:r>
      <w:r w:rsidR="00DB20C8">
        <w:t xml:space="preserve"> accidents. </w:t>
      </w:r>
    </w:p>
    <w:p w14:paraId="33B45182" w14:textId="13F66E55" w:rsidR="00DC1213" w:rsidRDefault="00F74B75" w:rsidP="00F74B75">
      <w:r>
        <w:t xml:space="preserve">Analysis of </w:t>
      </w:r>
      <w:r w:rsidR="00DB20C8">
        <w:t>car ownership data fro</w:t>
      </w:r>
      <w:r>
        <w:t>m the 2021 Census</w:t>
      </w:r>
      <w:r w:rsidR="00AE2E6C">
        <w:t xml:space="preserve"> (Table 5.2)</w:t>
      </w:r>
      <w:r>
        <w:t xml:space="preserve"> showed that Slough </w:t>
      </w:r>
      <w:r w:rsidR="007859EA">
        <w:t>t</w:t>
      </w:r>
      <w:r>
        <w:t xml:space="preserve">own </w:t>
      </w:r>
      <w:r w:rsidR="007859EA">
        <w:t>c</w:t>
      </w:r>
      <w:r>
        <w:t>entre was the only area of Slough with less than</w:t>
      </w:r>
      <w:r w:rsidR="007859EA">
        <w:t xml:space="preserve"> one</w:t>
      </w:r>
      <w:r>
        <w:t xml:space="preserve"> car per dwelling</w:t>
      </w:r>
      <w:r w:rsidR="00DB20C8">
        <w:t xml:space="preserve"> (0.7)</w:t>
      </w:r>
      <w:r>
        <w:t>. The 2021 Census showed that</w:t>
      </w:r>
      <w:r w:rsidR="007859EA">
        <w:t xml:space="preserve"> densely populated areas such as</w:t>
      </w:r>
      <w:r>
        <w:t xml:space="preserve"> central </w:t>
      </w:r>
      <w:r>
        <w:lastRenderedPageBreak/>
        <w:t xml:space="preserve">London </w:t>
      </w:r>
      <w:r w:rsidR="007859EA">
        <w:t>b</w:t>
      </w:r>
      <w:r>
        <w:t>orough</w:t>
      </w:r>
      <w:r w:rsidR="007859EA">
        <w:t>s</w:t>
      </w:r>
      <w:r>
        <w:t xml:space="preserve"> </w:t>
      </w:r>
      <w:r w:rsidR="007859EA">
        <w:t xml:space="preserve">also </w:t>
      </w:r>
      <w:r>
        <w:t xml:space="preserve">do not have ‘Nil’ </w:t>
      </w:r>
      <w:r w:rsidR="00DB20C8">
        <w:t>car own</w:t>
      </w:r>
      <w:r>
        <w:t>ership</w:t>
      </w:r>
      <w:r w:rsidR="00DB20C8">
        <w:t xml:space="preserve">, despite </w:t>
      </w:r>
      <w:r>
        <w:t>these boroughs hav</w:t>
      </w:r>
      <w:r w:rsidR="007859EA">
        <w:t>ing</w:t>
      </w:r>
      <w:r>
        <w:t xml:space="preserve"> better access to public transportation systems, cycle superhighways and greater density of shopping facilities.  </w:t>
      </w:r>
    </w:p>
    <w:p w14:paraId="70110250" w14:textId="5E523134" w:rsidR="00AE2E6C" w:rsidRDefault="00AE2E6C" w:rsidP="00AE2E6C">
      <w:pPr>
        <w:pStyle w:val="Tables"/>
      </w:pPr>
      <w:bookmarkStart w:id="146" w:name="_Toc160128558"/>
      <w:r>
        <w:t>Table 5.2: Car ownership per dwelling in town centres</w:t>
      </w:r>
      <w:bookmarkEnd w:id="146"/>
      <w:r>
        <w:t xml:space="preserve"> </w:t>
      </w:r>
      <w:r w:rsidR="0011777F">
        <w:t>(March 2021)</w:t>
      </w:r>
    </w:p>
    <w:tbl>
      <w:tblPr>
        <w:tblW w:w="8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560"/>
        <w:gridCol w:w="1842"/>
        <w:gridCol w:w="1891"/>
      </w:tblGrid>
      <w:tr w:rsidR="00063148" w:rsidRPr="00063148" w14:paraId="29471C29" w14:textId="77777777" w:rsidTr="00063148">
        <w:trPr>
          <w:trHeight w:val="295"/>
        </w:trPr>
        <w:tc>
          <w:tcPr>
            <w:tcW w:w="3397" w:type="dxa"/>
            <w:shd w:val="clear" w:color="auto" w:fill="D9D9D9" w:themeFill="background1" w:themeFillShade="D9"/>
            <w:noWrap/>
            <w:vAlign w:val="bottom"/>
            <w:hideMark/>
          </w:tcPr>
          <w:p w14:paraId="7379FB92" w14:textId="77777777" w:rsidR="00063148" w:rsidRPr="00063148" w:rsidRDefault="00063148" w:rsidP="00063148">
            <w:pPr>
              <w:spacing w:before="0" w:after="0" w:line="240" w:lineRule="auto"/>
              <w:rPr>
                <w:rFonts w:cs="Arial"/>
                <w:b/>
                <w:bCs/>
                <w:color w:val="000000"/>
                <w:sz w:val="20"/>
                <w:szCs w:val="20"/>
                <w:lang w:eastAsia="en-GB"/>
              </w:rPr>
            </w:pPr>
            <w:r w:rsidRPr="00063148">
              <w:rPr>
                <w:rFonts w:cs="Arial"/>
                <w:b/>
                <w:bCs/>
                <w:color w:val="000000"/>
                <w:sz w:val="20"/>
                <w:szCs w:val="20"/>
                <w:lang w:eastAsia="en-GB"/>
              </w:rPr>
              <w:t xml:space="preserve">Town Centre </w:t>
            </w:r>
          </w:p>
        </w:tc>
        <w:tc>
          <w:tcPr>
            <w:tcW w:w="1560" w:type="dxa"/>
            <w:shd w:val="clear" w:color="auto" w:fill="D9D9D9" w:themeFill="background1" w:themeFillShade="D9"/>
            <w:noWrap/>
            <w:vAlign w:val="bottom"/>
            <w:hideMark/>
          </w:tcPr>
          <w:p w14:paraId="29B50C59" w14:textId="77777777" w:rsidR="00063148" w:rsidRPr="00063148" w:rsidRDefault="00063148" w:rsidP="00063148">
            <w:pPr>
              <w:spacing w:before="0" w:after="0" w:line="240" w:lineRule="auto"/>
              <w:rPr>
                <w:rFonts w:cs="Arial"/>
                <w:b/>
                <w:bCs/>
                <w:color w:val="000000"/>
                <w:sz w:val="20"/>
                <w:szCs w:val="20"/>
                <w:lang w:eastAsia="en-GB"/>
              </w:rPr>
            </w:pPr>
            <w:r w:rsidRPr="00063148">
              <w:rPr>
                <w:rFonts w:cs="Arial"/>
                <w:b/>
                <w:bCs/>
                <w:color w:val="000000"/>
                <w:sz w:val="20"/>
                <w:szCs w:val="20"/>
                <w:lang w:eastAsia="en-GB"/>
              </w:rPr>
              <w:t>Dwellings</w:t>
            </w:r>
          </w:p>
        </w:tc>
        <w:tc>
          <w:tcPr>
            <w:tcW w:w="1842" w:type="dxa"/>
            <w:shd w:val="clear" w:color="auto" w:fill="D9D9D9" w:themeFill="background1" w:themeFillShade="D9"/>
            <w:noWrap/>
            <w:vAlign w:val="bottom"/>
            <w:hideMark/>
          </w:tcPr>
          <w:p w14:paraId="21A772FF" w14:textId="77777777" w:rsidR="00063148" w:rsidRPr="00063148" w:rsidRDefault="00063148" w:rsidP="00063148">
            <w:pPr>
              <w:spacing w:before="0" w:after="0" w:line="240" w:lineRule="auto"/>
              <w:rPr>
                <w:rFonts w:cs="Arial"/>
                <w:b/>
                <w:bCs/>
                <w:color w:val="000000"/>
                <w:sz w:val="20"/>
                <w:szCs w:val="20"/>
                <w:lang w:eastAsia="en-GB"/>
              </w:rPr>
            </w:pPr>
            <w:r w:rsidRPr="00063148">
              <w:rPr>
                <w:rFonts w:cs="Arial"/>
                <w:b/>
                <w:bCs/>
                <w:color w:val="000000"/>
                <w:sz w:val="20"/>
                <w:szCs w:val="20"/>
                <w:lang w:eastAsia="en-GB"/>
              </w:rPr>
              <w:t xml:space="preserve">Total Cars </w:t>
            </w:r>
          </w:p>
        </w:tc>
        <w:tc>
          <w:tcPr>
            <w:tcW w:w="1891" w:type="dxa"/>
            <w:shd w:val="clear" w:color="auto" w:fill="D9D9D9" w:themeFill="background1" w:themeFillShade="D9"/>
            <w:noWrap/>
            <w:vAlign w:val="bottom"/>
            <w:hideMark/>
          </w:tcPr>
          <w:p w14:paraId="2FF3711C" w14:textId="77777777" w:rsidR="00063148" w:rsidRPr="00063148" w:rsidRDefault="00063148" w:rsidP="00063148">
            <w:pPr>
              <w:spacing w:before="0" w:after="0" w:line="240" w:lineRule="auto"/>
              <w:rPr>
                <w:rFonts w:cs="Arial"/>
                <w:b/>
                <w:bCs/>
                <w:color w:val="000000"/>
                <w:sz w:val="20"/>
                <w:szCs w:val="20"/>
                <w:lang w:eastAsia="en-GB"/>
              </w:rPr>
            </w:pPr>
            <w:r w:rsidRPr="00063148">
              <w:rPr>
                <w:rFonts w:cs="Arial"/>
                <w:b/>
                <w:bCs/>
                <w:color w:val="000000"/>
                <w:sz w:val="20"/>
                <w:szCs w:val="20"/>
                <w:lang w:eastAsia="en-GB"/>
              </w:rPr>
              <w:t>Cars per Dwelling</w:t>
            </w:r>
          </w:p>
        </w:tc>
      </w:tr>
      <w:tr w:rsidR="00063148" w:rsidRPr="00063148" w14:paraId="6E5D4AED" w14:textId="77777777" w:rsidTr="00063148">
        <w:trPr>
          <w:trHeight w:val="295"/>
        </w:trPr>
        <w:tc>
          <w:tcPr>
            <w:tcW w:w="3397" w:type="dxa"/>
            <w:shd w:val="clear" w:color="auto" w:fill="auto"/>
            <w:noWrap/>
            <w:vAlign w:val="bottom"/>
            <w:hideMark/>
          </w:tcPr>
          <w:p w14:paraId="28101455"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Kings Cross and St Pancras</w:t>
            </w:r>
          </w:p>
        </w:tc>
        <w:tc>
          <w:tcPr>
            <w:tcW w:w="1560" w:type="dxa"/>
            <w:shd w:val="clear" w:color="auto" w:fill="auto"/>
            <w:noWrap/>
            <w:vAlign w:val="bottom"/>
            <w:hideMark/>
          </w:tcPr>
          <w:p w14:paraId="0BE8C6A4"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4469</w:t>
            </w:r>
          </w:p>
        </w:tc>
        <w:tc>
          <w:tcPr>
            <w:tcW w:w="1842" w:type="dxa"/>
            <w:shd w:val="clear" w:color="auto" w:fill="auto"/>
            <w:noWrap/>
            <w:vAlign w:val="bottom"/>
            <w:hideMark/>
          </w:tcPr>
          <w:p w14:paraId="7C19392C"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1053</w:t>
            </w:r>
          </w:p>
        </w:tc>
        <w:tc>
          <w:tcPr>
            <w:tcW w:w="1891" w:type="dxa"/>
            <w:shd w:val="clear" w:color="auto" w:fill="auto"/>
            <w:noWrap/>
            <w:vAlign w:val="bottom"/>
            <w:hideMark/>
          </w:tcPr>
          <w:p w14:paraId="6EB344A4"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0.24</w:t>
            </w:r>
          </w:p>
        </w:tc>
      </w:tr>
      <w:tr w:rsidR="00063148" w:rsidRPr="00063148" w14:paraId="07126ACF" w14:textId="77777777" w:rsidTr="00063148">
        <w:trPr>
          <w:trHeight w:val="295"/>
        </w:trPr>
        <w:tc>
          <w:tcPr>
            <w:tcW w:w="3397" w:type="dxa"/>
            <w:shd w:val="clear" w:color="auto" w:fill="auto"/>
            <w:noWrap/>
            <w:vAlign w:val="bottom"/>
            <w:hideMark/>
          </w:tcPr>
          <w:p w14:paraId="0C104FFA"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City of London </w:t>
            </w:r>
          </w:p>
        </w:tc>
        <w:tc>
          <w:tcPr>
            <w:tcW w:w="1560" w:type="dxa"/>
            <w:shd w:val="clear" w:color="auto" w:fill="auto"/>
            <w:noWrap/>
            <w:vAlign w:val="bottom"/>
            <w:hideMark/>
          </w:tcPr>
          <w:p w14:paraId="68D8D042"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4913</w:t>
            </w:r>
          </w:p>
        </w:tc>
        <w:tc>
          <w:tcPr>
            <w:tcW w:w="1842" w:type="dxa"/>
            <w:shd w:val="clear" w:color="auto" w:fill="auto"/>
            <w:noWrap/>
            <w:vAlign w:val="bottom"/>
            <w:hideMark/>
          </w:tcPr>
          <w:p w14:paraId="60BA54C8"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1355</w:t>
            </w:r>
          </w:p>
        </w:tc>
        <w:tc>
          <w:tcPr>
            <w:tcW w:w="1891" w:type="dxa"/>
            <w:shd w:val="clear" w:color="auto" w:fill="auto"/>
            <w:noWrap/>
            <w:vAlign w:val="bottom"/>
            <w:hideMark/>
          </w:tcPr>
          <w:p w14:paraId="67537091"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0.28</w:t>
            </w:r>
          </w:p>
        </w:tc>
      </w:tr>
      <w:tr w:rsidR="00063148" w:rsidRPr="00063148" w14:paraId="6D6DE08C" w14:textId="77777777" w:rsidTr="00063148">
        <w:trPr>
          <w:trHeight w:val="295"/>
        </w:trPr>
        <w:tc>
          <w:tcPr>
            <w:tcW w:w="3397" w:type="dxa"/>
            <w:shd w:val="clear" w:color="auto" w:fill="auto"/>
            <w:noWrap/>
            <w:vAlign w:val="bottom"/>
            <w:hideMark/>
          </w:tcPr>
          <w:p w14:paraId="68982B8A"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London Euston</w:t>
            </w:r>
          </w:p>
        </w:tc>
        <w:tc>
          <w:tcPr>
            <w:tcW w:w="1560" w:type="dxa"/>
            <w:shd w:val="clear" w:color="auto" w:fill="auto"/>
            <w:noWrap/>
            <w:vAlign w:val="bottom"/>
            <w:hideMark/>
          </w:tcPr>
          <w:p w14:paraId="30CB2AA5"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2719</w:t>
            </w:r>
          </w:p>
        </w:tc>
        <w:tc>
          <w:tcPr>
            <w:tcW w:w="1842" w:type="dxa"/>
            <w:shd w:val="clear" w:color="auto" w:fill="auto"/>
            <w:noWrap/>
            <w:vAlign w:val="bottom"/>
            <w:hideMark/>
          </w:tcPr>
          <w:p w14:paraId="7D2FC9CA"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861</w:t>
            </w:r>
          </w:p>
        </w:tc>
        <w:tc>
          <w:tcPr>
            <w:tcW w:w="1891" w:type="dxa"/>
            <w:shd w:val="clear" w:color="auto" w:fill="auto"/>
            <w:noWrap/>
            <w:vAlign w:val="bottom"/>
            <w:hideMark/>
          </w:tcPr>
          <w:p w14:paraId="2D5D4006"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0.32</w:t>
            </w:r>
          </w:p>
        </w:tc>
      </w:tr>
      <w:tr w:rsidR="00063148" w:rsidRPr="00063148" w14:paraId="7B6E8155" w14:textId="77777777" w:rsidTr="00063148">
        <w:trPr>
          <w:trHeight w:val="295"/>
        </w:trPr>
        <w:tc>
          <w:tcPr>
            <w:tcW w:w="3397" w:type="dxa"/>
            <w:shd w:val="clear" w:color="auto" w:fill="auto"/>
            <w:noWrap/>
            <w:vAlign w:val="bottom"/>
            <w:hideMark/>
          </w:tcPr>
          <w:p w14:paraId="2B4C47CF"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London Paddington (016)</w:t>
            </w:r>
          </w:p>
        </w:tc>
        <w:tc>
          <w:tcPr>
            <w:tcW w:w="1560" w:type="dxa"/>
            <w:shd w:val="clear" w:color="auto" w:fill="auto"/>
            <w:noWrap/>
            <w:vAlign w:val="bottom"/>
            <w:hideMark/>
          </w:tcPr>
          <w:p w14:paraId="286B87DF"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3803</w:t>
            </w:r>
          </w:p>
        </w:tc>
        <w:tc>
          <w:tcPr>
            <w:tcW w:w="1842" w:type="dxa"/>
            <w:shd w:val="clear" w:color="auto" w:fill="auto"/>
            <w:noWrap/>
            <w:vAlign w:val="bottom"/>
            <w:hideMark/>
          </w:tcPr>
          <w:p w14:paraId="40484E47"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1224</w:t>
            </w:r>
          </w:p>
        </w:tc>
        <w:tc>
          <w:tcPr>
            <w:tcW w:w="1891" w:type="dxa"/>
            <w:shd w:val="clear" w:color="auto" w:fill="auto"/>
            <w:noWrap/>
            <w:vAlign w:val="bottom"/>
            <w:hideMark/>
          </w:tcPr>
          <w:p w14:paraId="30EFD296"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0.32</w:t>
            </w:r>
          </w:p>
        </w:tc>
      </w:tr>
      <w:tr w:rsidR="00063148" w:rsidRPr="00063148" w14:paraId="22862C9C" w14:textId="77777777" w:rsidTr="00063148">
        <w:trPr>
          <w:trHeight w:val="295"/>
        </w:trPr>
        <w:tc>
          <w:tcPr>
            <w:tcW w:w="3397" w:type="dxa"/>
            <w:shd w:val="clear" w:color="auto" w:fill="auto"/>
            <w:noWrap/>
            <w:vAlign w:val="bottom"/>
            <w:hideMark/>
          </w:tcPr>
          <w:p w14:paraId="59648699"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London Paddington (015)</w:t>
            </w:r>
          </w:p>
        </w:tc>
        <w:tc>
          <w:tcPr>
            <w:tcW w:w="1560" w:type="dxa"/>
            <w:shd w:val="clear" w:color="auto" w:fill="auto"/>
            <w:noWrap/>
            <w:vAlign w:val="bottom"/>
            <w:hideMark/>
          </w:tcPr>
          <w:p w14:paraId="008C8B01"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3981</w:t>
            </w:r>
          </w:p>
        </w:tc>
        <w:tc>
          <w:tcPr>
            <w:tcW w:w="1842" w:type="dxa"/>
            <w:shd w:val="clear" w:color="auto" w:fill="auto"/>
            <w:noWrap/>
            <w:vAlign w:val="bottom"/>
            <w:hideMark/>
          </w:tcPr>
          <w:p w14:paraId="2ABD5CA9"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1701</w:t>
            </w:r>
          </w:p>
        </w:tc>
        <w:tc>
          <w:tcPr>
            <w:tcW w:w="1891" w:type="dxa"/>
            <w:shd w:val="clear" w:color="auto" w:fill="auto"/>
            <w:noWrap/>
            <w:vAlign w:val="bottom"/>
            <w:hideMark/>
          </w:tcPr>
          <w:p w14:paraId="3D989B2F"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0.43</w:t>
            </w:r>
          </w:p>
        </w:tc>
      </w:tr>
      <w:tr w:rsidR="00063148" w:rsidRPr="00063148" w14:paraId="7E82F592" w14:textId="77777777" w:rsidTr="00063148">
        <w:trPr>
          <w:trHeight w:val="295"/>
        </w:trPr>
        <w:tc>
          <w:tcPr>
            <w:tcW w:w="3397" w:type="dxa"/>
            <w:shd w:val="clear" w:color="auto" w:fill="auto"/>
            <w:noWrap/>
            <w:vAlign w:val="bottom"/>
            <w:hideMark/>
          </w:tcPr>
          <w:p w14:paraId="106A2641"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Reading Town Centre </w:t>
            </w:r>
          </w:p>
        </w:tc>
        <w:tc>
          <w:tcPr>
            <w:tcW w:w="1560" w:type="dxa"/>
            <w:shd w:val="clear" w:color="auto" w:fill="auto"/>
            <w:noWrap/>
            <w:vAlign w:val="bottom"/>
            <w:hideMark/>
          </w:tcPr>
          <w:p w14:paraId="534A4D53"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3379</w:t>
            </w:r>
          </w:p>
        </w:tc>
        <w:tc>
          <w:tcPr>
            <w:tcW w:w="1842" w:type="dxa"/>
            <w:shd w:val="clear" w:color="auto" w:fill="auto"/>
            <w:noWrap/>
            <w:vAlign w:val="bottom"/>
            <w:hideMark/>
          </w:tcPr>
          <w:p w14:paraId="64854E74"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1774</w:t>
            </w:r>
          </w:p>
        </w:tc>
        <w:tc>
          <w:tcPr>
            <w:tcW w:w="1891" w:type="dxa"/>
            <w:shd w:val="clear" w:color="auto" w:fill="auto"/>
            <w:noWrap/>
            <w:vAlign w:val="bottom"/>
            <w:hideMark/>
          </w:tcPr>
          <w:p w14:paraId="691FA828"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0.53</w:t>
            </w:r>
          </w:p>
        </w:tc>
      </w:tr>
      <w:tr w:rsidR="00063148" w:rsidRPr="00063148" w14:paraId="46F063C3" w14:textId="77777777" w:rsidTr="00063148">
        <w:trPr>
          <w:trHeight w:val="295"/>
        </w:trPr>
        <w:tc>
          <w:tcPr>
            <w:tcW w:w="3397" w:type="dxa"/>
            <w:shd w:val="clear" w:color="auto" w:fill="auto"/>
            <w:noWrap/>
            <w:vAlign w:val="bottom"/>
            <w:hideMark/>
          </w:tcPr>
          <w:p w14:paraId="0113E997"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Watford Town Centre </w:t>
            </w:r>
          </w:p>
        </w:tc>
        <w:tc>
          <w:tcPr>
            <w:tcW w:w="1560" w:type="dxa"/>
            <w:shd w:val="clear" w:color="auto" w:fill="auto"/>
            <w:noWrap/>
            <w:vAlign w:val="bottom"/>
            <w:hideMark/>
          </w:tcPr>
          <w:p w14:paraId="73F4E998"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5150</w:t>
            </w:r>
          </w:p>
        </w:tc>
        <w:tc>
          <w:tcPr>
            <w:tcW w:w="1842" w:type="dxa"/>
            <w:shd w:val="clear" w:color="auto" w:fill="auto"/>
            <w:noWrap/>
            <w:vAlign w:val="bottom"/>
            <w:hideMark/>
          </w:tcPr>
          <w:p w14:paraId="15B25EB7"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3772</w:t>
            </w:r>
          </w:p>
        </w:tc>
        <w:tc>
          <w:tcPr>
            <w:tcW w:w="1891" w:type="dxa"/>
            <w:shd w:val="clear" w:color="auto" w:fill="auto"/>
            <w:noWrap/>
            <w:vAlign w:val="bottom"/>
            <w:hideMark/>
          </w:tcPr>
          <w:p w14:paraId="76E8401C"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0.73</w:t>
            </w:r>
          </w:p>
        </w:tc>
      </w:tr>
      <w:tr w:rsidR="00063148" w:rsidRPr="00063148" w14:paraId="154F6120" w14:textId="77777777" w:rsidTr="00063148">
        <w:trPr>
          <w:trHeight w:val="295"/>
        </w:trPr>
        <w:tc>
          <w:tcPr>
            <w:tcW w:w="3397" w:type="dxa"/>
            <w:shd w:val="clear" w:color="auto" w:fill="auto"/>
            <w:noWrap/>
            <w:vAlign w:val="bottom"/>
            <w:hideMark/>
          </w:tcPr>
          <w:p w14:paraId="0F3017C5"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Slough Town Centre (011F)</w:t>
            </w:r>
          </w:p>
        </w:tc>
        <w:tc>
          <w:tcPr>
            <w:tcW w:w="1560" w:type="dxa"/>
            <w:shd w:val="clear" w:color="auto" w:fill="auto"/>
            <w:noWrap/>
            <w:vAlign w:val="bottom"/>
            <w:hideMark/>
          </w:tcPr>
          <w:p w14:paraId="430C9192"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615</w:t>
            </w:r>
          </w:p>
        </w:tc>
        <w:tc>
          <w:tcPr>
            <w:tcW w:w="1842" w:type="dxa"/>
            <w:shd w:val="clear" w:color="auto" w:fill="auto"/>
            <w:noWrap/>
            <w:vAlign w:val="bottom"/>
            <w:hideMark/>
          </w:tcPr>
          <w:p w14:paraId="54395FEF"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415</w:t>
            </w:r>
          </w:p>
        </w:tc>
        <w:tc>
          <w:tcPr>
            <w:tcW w:w="1891" w:type="dxa"/>
            <w:shd w:val="clear" w:color="auto" w:fill="auto"/>
            <w:noWrap/>
            <w:vAlign w:val="bottom"/>
            <w:hideMark/>
          </w:tcPr>
          <w:p w14:paraId="3822421F"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0.67</w:t>
            </w:r>
          </w:p>
        </w:tc>
      </w:tr>
      <w:tr w:rsidR="00063148" w:rsidRPr="00063148" w14:paraId="5EB68803" w14:textId="77777777" w:rsidTr="00063148">
        <w:trPr>
          <w:trHeight w:val="295"/>
        </w:trPr>
        <w:tc>
          <w:tcPr>
            <w:tcW w:w="3397" w:type="dxa"/>
            <w:shd w:val="clear" w:color="auto" w:fill="auto"/>
            <w:noWrap/>
            <w:vAlign w:val="bottom"/>
            <w:hideMark/>
          </w:tcPr>
          <w:p w14:paraId="214DD581"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Slough Town Centre (016)</w:t>
            </w:r>
          </w:p>
        </w:tc>
        <w:tc>
          <w:tcPr>
            <w:tcW w:w="1560" w:type="dxa"/>
            <w:shd w:val="clear" w:color="auto" w:fill="auto"/>
            <w:noWrap/>
            <w:vAlign w:val="bottom"/>
            <w:hideMark/>
          </w:tcPr>
          <w:p w14:paraId="42047747"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2953</w:t>
            </w:r>
          </w:p>
        </w:tc>
        <w:tc>
          <w:tcPr>
            <w:tcW w:w="1842" w:type="dxa"/>
            <w:shd w:val="clear" w:color="auto" w:fill="auto"/>
            <w:noWrap/>
            <w:vAlign w:val="bottom"/>
            <w:hideMark/>
          </w:tcPr>
          <w:p w14:paraId="4060A839"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2301</w:t>
            </w:r>
          </w:p>
        </w:tc>
        <w:tc>
          <w:tcPr>
            <w:tcW w:w="1891" w:type="dxa"/>
            <w:shd w:val="clear" w:color="auto" w:fill="auto"/>
            <w:noWrap/>
            <w:vAlign w:val="bottom"/>
            <w:hideMark/>
          </w:tcPr>
          <w:p w14:paraId="57226CD8"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0.78</w:t>
            </w:r>
          </w:p>
        </w:tc>
      </w:tr>
      <w:tr w:rsidR="00063148" w:rsidRPr="00063148" w14:paraId="0770798B" w14:textId="77777777" w:rsidTr="00063148">
        <w:trPr>
          <w:trHeight w:val="295"/>
        </w:trPr>
        <w:tc>
          <w:tcPr>
            <w:tcW w:w="3397" w:type="dxa"/>
            <w:shd w:val="clear" w:color="auto" w:fill="auto"/>
            <w:noWrap/>
            <w:vAlign w:val="bottom"/>
            <w:hideMark/>
          </w:tcPr>
          <w:p w14:paraId="1B8CCA5C"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Maidenhead Town Centre </w:t>
            </w:r>
          </w:p>
        </w:tc>
        <w:tc>
          <w:tcPr>
            <w:tcW w:w="1560" w:type="dxa"/>
            <w:shd w:val="clear" w:color="auto" w:fill="auto"/>
            <w:noWrap/>
            <w:vAlign w:val="bottom"/>
            <w:hideMark/>
          </w:tcPr>
          <w:p w14:paraId="033BFB26"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6265</w:t>
            </w:r>
          </w:p>
        </w:tc>
        <w:tc>
          <w:tcPr>
            <w:tcW w:w="1842" w:type="dxa"/>
            <w:shd w:val="clear" w:color="auto" w:fill="auto"/>
            <w:noWrap/>
            <w:vAlign w:val="bottom"/>
            <w:hideMark/>
          </w:tcPr>
          <w:p w14:paraId="2F1E9E79"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5621</w:t>
            </w:r>
          </w:p>
        </w:tc>
        <w:tc>
          <w:tcPr>
            <w:tcW w:w="1891" w:type="dxa"/>
            <w:shd w:val="clear" w:color="auto" w:fill="auto"/>
            <w:noWrap/>
            <w:vAlign w:val="bottom"/>
            <w:hideMark/>
          </w:tcPr>
          <w:p w14:paraId="44B24E3E"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0.90</w:t>
            </w:r>
          </w:p>
        </w:tc>
      </w:tr>
      <w:tr w:rsidR="00063148" w:rsidRPr="00063148" w14:paraId="07E3E552" w14:textId="77777777" w:rsidTr="00063148">
        <w:trPr>
          <w:trHeight w:val="295"/>
        </w:trPr>
        <w:tc>
          <w:tcPr>
            <w:tcW w:w="3397" w:type="dxa"/>
            <w:shd w:val="clear" w:color="auto" w:fill="auto"/>
            <w:noWrap/>
            <w:vAlign w:val="bottom"/>
            <w:hideMark/>
          </w:tcPr>
          <w:p w14:paraId="00F374E2"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Woking Town Centre </w:t>
            </w:r>
          </w:p>
        </w:tc>
        <w:tc>
          <w:tcPr>
            <w:tcW w:w="1560" w:type="dxa"/>
            <w:shd w:val="clear" w:color="auto" w:fill="auto"/>
            <w:noWrap/>
            <w:vAlign w:val="bottom"/>
            <w:hideMark/>
          </w:tcPr>
          <w:p w14:paraId="16D7BC19"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5036</w:t>
            </w:r>
          </w:p>
        </w:tc>
        <w:tc>
          <w:tcPr>
            <w:tcW w:w="1842" w:type="dxa"/>
            <w:shd w:val="clear" w:color="auto" w:fill="auto"/>
            <w:noWrap/>
            <w:vAlign w:val="bottom"/>
            <w:hideMark/>
          </w:tcPr>
          <w:p w14:paraId="6D57D52F"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4973</w:t>
            </w:r>
          </w:p>
        </w:tc>
        <w:tc>
          <w:tcPr>
            <w:tcW w:w="1891" w:type="dxa"/>
            <w:shd w:val="clear" w:color="auto" w:fill="auto"/>
            <w:noWrap/>
            <w:vAlign w:val="bottom"/>
            <w:hideMark/>
          </w:tcPr>
          <w:p w14:paraId="5D9A6A11"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0.99</w:t>
            </w:r>
          </w:p>
        </w:tc>
      </w:tr>
      <w:tr w:rsidR="00063148" w:rsidRPr="00063148" w14:paraId="12134827" w14:textId="77777777" w:rsidTr="00063148">
        <w:trPr>
          <w:trHeight w:val="295"/>
        </w:trPr>
        <w:tc>
          <w:tcPr>
            <w:tcW w:w="3397" w:type="dxa"/>
            <w:shd w:val="clear" w:color="auto" w:fill="auto"/>
            <w:noWrap/>
            <w:vAlign w:val="bottom"/>
            <w:hideMark/>
          </w:tcPr>
          <w:p w14:paraId="4CE137C8"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Uxbridge Town Centre </w:t>
            </w:r>
          </w:p>
        </w:tc>
        <w:tc>
          <w:tcPr>
            <w:tcW w:w="1560" w:type="dxa"/>
            <w:shd w:val="clear" w:color="auto" w:fill="auto"/>
            <w:noWrap/>
            <w:vAlign w:val="bottom"/>
            <w:hideMark/>
          </w:tcPr>
          <w:p w14:paraId="7725C7F3"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4339</w:t>
            </w:r>
          </w:p>
        </w:tc>
        <w:tc>
          <w:tcPr>
            <w:tcW w:w="1842" w:type="dxa"/>
            <w:shd w:val="clear" w:color="auto" w:fill="auto"/>
            <w:noWrap/>
            <w:vAlign w:val="bottom"/>
            <w:hideMark/>
          </w:tcPr>
          <w:p w14:paraId="7F749C60"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4343</w:t>
            </w:r>
          </w:p>
        </w:tc>
        <w:tc>
          <w:tcPr>
            <w:tcW w:w="1891" w:type="dxa"/>
            <w:shd w:val="clear" w:color="auto" w:fill="auto"/>
            <w:noWrap/>
            <w:vAlign w:val="bottom"/>
            <w:hideMark/>
          </w:tcPr>
          <w:p w14:paraId="37A00CAE"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1.00</w:t>
            </w:r>
          </w:p>
        </w:tc>
      </w:tr>
      <w:tr w:rsidR="00063148" w:rsidRPr="00063148" w14:paraId="51E6FF3D" w14:textId="77777777" w:rsidTr="00063148">
        <w:trPr>
          <w:trHeight w:val="295"/>
        </w:trPr>
        <w:tc>
          <w:tcPr>
            <w:tcW w:w="3397" w:type="dxa"/>
            <w:shd w:val="clear" w:color="auto" w:fill="auto"/>
            <w:noWrap/>
            <w:vAlign w:val="bottom"/>
            <w:hideMark/>
          </w:tcPr>
          <w:p w14:paraId="08C3CAF3"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Hayes and Harlington</w:t>
            </w:r>
          </w:p>
        </w:tc>
        <w:tc>
          <w:tcPr>
            <w:tcW w:w="1560" w:type="dxa"/>
            <w:shd w:val="clear" w:color="auto" w:fill="auto"/>
            <w:noWrap/>
            <w:vAlign w:val="bottom"/>
            <w:hideMark/>
          </w:tcPr>
          <w:p w14:paraId="5A4D8A64"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3683</w:t>
            </w:r>
          </w:p>
        </w:tc>
        <w:tc>
          <w:tcPr>
            <w:tcW w:w="1842" w:type="dxa"/>
            <w:shd w:val="clear" w:color="auto" w:fill="auto"/>
            <w:noWrap/>
            <w:vAlign w:val="bottom"/>
            <w:hideMark/>
          </w:tcPr>
          <w:p w14:paraId="6BC30E6B"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4142</w:t>
            </w:r>
          </w:p>
        </w:tc>
        <w:tc>
          <w:tcPr>
            <w:tcW w:w="1891" w:type="dxa"/>
            <w:shd w:val="clear" w:color="auto" w:fill="auto"/>
            <w:noWrap/>
            <w:vAlign w:val="bottom"/>
            <w:hideMark/>
          </w:tcPr>
          <w:p w14:paraId="350D14E2"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1.12</w:t>
            </w:r>
          </w:p>
        </w:tc>
      </w:tr>
      <w:tr w:rsidR="00063148" w:rsidRPr="00063148" w14:paraId="3199AF01" w14:textId="77777777" w:rsidTr="00063148">
        <w:trPr>
          <w:trHeight w:val="295"/>
        </w:trPr>
        <w:tc>
          <w:tcPr>
            <w:tcW w:w="3397" w:type="dxa"/>
            <w:shd w:val="clear" w:color="auto" w:fill="auto"/>
            <w:noWrap/>
            <w:vAlign w:val="bottom"/>
            <w:hideMark/>
          </w:tcPr>
          <w:p w14:paraId="25DA9889"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West Drayton</w:t>
            </w:r>
          </w:p>
        </w:tc>
        <w:tc>
          <w:tcPr>
            <w:tcW w:w="1560" w:type="dxa"/>
            <w:shd w:val="clear" w:color="auto" w:fill="auto"/>
            <w:noWrap/>
            <w:vAlign w:val="bottom"/>
            <w:hideMark/>
          </w:tcPr>
          <w:p w14:paraId="4E1A7D49"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3489</w:t>
            </w:r>
          </w:p>
        </w:tc>
        <w:tc>
          <w:tcPr>
            <w:tcW w:w="1842" w:type="dxa"/>
            <w:shd w:val="clear" w:color="auto" w:fill="auto"/>
            <w:noWrap/>
            <w:vAlign w:val="bottom"/>
            <w:hideMark/>
          </w:tcPr>
          <w:p w14:paraId="6945383A"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3937</w:t>
            </w:r>
          </w:p>
        </w:tc>
        <w:tc>
          <w:tcPr>
            <w:tcW w:w="1891" w:type="dxa"/>
            <w:shd w:val="clear" w:color="auto" w:fill="auto"/>
            <w:noWrap/>
            <w:vAlign w:val="bottom"/>
            <w:hideMark/>
          </w:tcPr>
          <w:p w14:paraId="1F8AF9B1"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1.13</w:t>
            </w:r>
          </w:p>
        </w:tc>
      </w:tr>
      <w:tr w:rsidR="00063148" w:rsidRPr="00063148" w14:paraId="5071AFF4" w14:textId="77777777" w:rsidTr="00063148">
        <w:trPr>
          <w:trHeight w:val="295"/>
        </w:trPr>
        <w:tc>
          <w:tcPr>
            <w:tcW w:w="3397" w:type="dxa"/>
            <w:shd w:val="clear" w:color="auto" w:fill="auto"/>
            <w:noWrap/>
            <w:vAlign w:val="bottom"/>
            <w:hideMark/>
          </w:tcPr>
          <w:p w14:paraId="6FDB7993"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Staines Town Centre</w:t>
            </w:r>
          </w:p>
        </w:tc>
        <w:tc>
          <w:tcPr>
            <w:tcW w:w="1560" w:type="dxa"/>
            <w:shd w:val="clear" w:color="auto" w:fill="auto"/>
            <w:noWrap/>
            <w:vAlign w:val="bottom"/>
            <w:hideMark/>
          </w:tcPr>
          <w:p w14:paraId="51D3EFCB"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4009</w:t>
            </w:r>
          </w:p>
        </w:tc>
        <w:tc>
          <w:tcPr>
            <w:tcW w:w="1842" w:type="dxa"/>
            <w:shd w:val="clear" w:color="auto" w:fill="auto"/>
            <w:noWrap/>
            <w:vAlign w:val="bottom"/>
            <w:hideMark/>
          </w:tcPr>
          <w:p w14:paraId="4AA30E18"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4653</w:t>
            </w:r>
          </w:p>
        </w:tc>
        <w:tc>
          <w:tcPr>
            <w:tcW w:w="1891" w:type="dxa"/>
            <w:shd w:val="clear" w:color="auto" w:fill="auto"/>
            <w:noWrap/>
            <w:vAlign w:val="bottom"/>
            <w:hideMark/>
          </w:tcPr>
          <w:p w14:paraId="6C609644"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1.16</w:t>
            </w:r>
          </w:p>
        </w:tc>
      </w:tr>
      <w:tr w:rsidR="00063148" w:rsidRPr="00063148" w14:paraId="18F8A1B8" w14:textId="77777777" w:rsidTr="00063148">
        <w:trPr>
          <w:trHeight w:val="295"/>
        </w:trPr>
        <w:tc>
          <w:tcPr>
            <w:tcW w:w="3397" w:type="dxa"/>
            <w:shd w:val="clear" w:color="auto" w:fill="auto"/>
            <w:noWrap/>
            <w:vAlign w:val="bottom"/>
            <w:hideMark/>
          </w:tcPr>
          <w:p w14:paraId="34780A38" w14:textId="77777777" w:rsidR="00063148" w:rsidRPr="00063148" w:rsidRDefault="00063148" w:rsidP="00063148">
            <w:pPr>
              <w:spacing w:before="0" w:after="0" w:line="240" w:lineRule="auto"/>
              <w:rPr>
                <w:rFonts w:cs="Arial"/>
                <w:color w:val="000000"/>
                <w:sz w:val="20"/>
                <w:szCs w:val="20"/>
                <w:lang w:eastAsia="en-GB"/>
              </w:rPr>
            </w:pPr>
            <w:r w:rsidRPr="00063148">
              <w:rPr>
                <w:rFonts w:cs="Arial"/>
                <w:color w:val="000000"/>
                <w:sz w:val="20"/>
                <w:szCs w:val="20"/>
                <w:lang w:eastAsia="en-GB"/>
              </w:rPr>
              <w:t xml:space="preserve">Bracknell Town Centre </w:t>
            </w:r>
          </w:p>
        </w:tc>
        <w:tc>
          <w:tcPr>
            <w:tcW w:w="1560" w:type="dxa"/>
            <w:shd w:val="clear" w:color="auto" w:fill="auto"/>
            <w:noWrap/>
            <w:vAlign w:val="bottom"/>
            <w:hideMark/>
          </w:tcPr>
          <w:p w14:paraId="7C2CD35E"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5036</w:t>
            </w:r>
          </w:p>
        </w:tc>
        <w:tc>
          <w:tcPr>
            <w:tcW w:w="1842" w:type="dxa"/>
            <w:shd w:val="clear" w:color="auto" w:fill="auto"/>
            <w:noWrap/>
            <w:vAlign w:val="bottom"/>
            <w:hideMark/>
          </w:tcPr>
          <w:p w14:paraId="5EB5B2DC"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6387</w:t>
            </w:r>
          </w:p>
        </w:tc>
        <w:tc>
          <w:tcPr>
            <w:tcW w:w="1891" w:type="dxa"/>
            <w:shd w:val="clear" w:color="auto" w:fill="auto"/>
            <w:noWrap/>
            <w:vAlign w:val="bottom"/>
            <w:hideMark/>
          </w:tcPr>
          <w:p w14:paraId="7B9B898B" w14:textId="77777777" w:rsidR="00063148" w:rsidRPr="00063148" w:rsidRDefault="00063148" w:rsidP="00063148">
            <w:pPr>
              <w:spacing w:before="0" w:after="0" w:line="240" w:lineRule="auto"/>
              <w:jc w:val="right"/>
              <w:rPr>
                <w:rFonts w:cs="Arial"/>
                <w:color w:val="000000"/>
                <w:sz w:val="20"/>
                <w:szCs w:val="20"/>
                <w:lang w:eastAsia="en-GB"/>
              </w:rPr>
            </w:pPr>
            <w:r w:rsidRPr="00063148">
              <w:rPr>
                <w:rFonts w:cs="Arial"/>
                <w:color w:val="000000"/>
                <w:sz w:val="20"/>
                <w:szCs w:val="20"/>
                <w:lang w:eastAsia="en-GB"/>
              </w:rPr>
              <w:t>1.27</w:t>
            </w:r>
          </w:p>
        </w:tc>
      </w:tr>
    </w:tbl>
    <w:p w14:paraId="61265E89" w14:textId="4AC34B26" w:rsidR="00F74B75" w:rsidRDefault="00F74B75" w:rsidP="0054787D"/>
    <w:p w14:paraId="70F76F9D" w14:textId="4ADED1A1" w:rsidR="000E3A73" w:rsidRPr="00215C63" w:rsidRDefault="000E3A73" w:rsidP="000E3A73">
      <w:pPr>
        <w:rPr>
          <w:rFonts w:ascii="Calibri" w:hAnsi="Calibri"/>
          <w:sz w:val="22"/>
          <w:szCs w:val="22"/>
        </w:rPr>
      </w:pPr>
      <w:r>
        <w:t xml:space="preserve">Slough Transport </w:t>
      </w:r>
      <w:r w:rsidR="00F26F59">
        <w:t>o</w:t>
      </w:r>
      <w:r>
        <w:t xml:space="preserve">fficers </w:t>
      </w:r>
      <w:r w:rsidR="003F5535">
        <w:t>will therefore be</w:t>
      </w:r>
      <w:r w:rsidR="00215C63">
        <w:t xml:space="preserve"> producing a new parking strategy in relation to new developments in the town centre, to more effectively manage pavement parking</w:t>
      </w:r>
      <w:r w:rsidR="00DB20C8">
        <w:t>,</w:t>
      </w:r>
      <w:r w:rsidR="00215C63">
        <w:t xml:space="preserve"> whilst supporting the aims of the AQAP.</w:t>
      </w:r>
      <w:r w:rsidR="003F5535">
        <w:t xml:space="preserve"> </w:t>
      </w:r>
      <w:r>
        <w:t xml:space="preserve"> </w:t>
      </w:r>
    </w:p>
    <w:p w14:paraId="16F745DD" w14:textId="0AB93FEB" w:rsidR="003F5535" w:rsidRDefault="003F5535" w:rsidP="000E3A73">
      <w:r>
        <w:t xml:space="preserve">In addition to </w:t>
      </w:r>
      <w:r w:rsidR="00215C63">
        <w:t xml:space="preserve">updating </w:t>
      </w:r>
      <w:r>
        <w:t>parking</w:t>
      </w:r>
      <w:r w:rsidR="00F26F59">
        <w:t xml:space="preserve"> </w:t>
      </w:r>
      <w:r>
        <w:t xml:space="preserve">standards, to assist in emission reduction it is proposed that options to integrate emissions based charging into car parking, parking permits and season tickets is explored. As such, a measure to investigate the feasibility of such options is included as a measure in the action plan. </w:t>
      </w:r>
    </w:p>
    <w:p w14:paraId="3F88A21D" w14:textId="4C44AE20" w:rsidR="000E3A73" w:rsidRDefault="003F5535" w:rsidP="0054787D">
      <w:r>
        <w:t xml:space="preserve">Parking enforcement officers in London boroughs have powers available to them to enforce anti-idling. The feasibility of introducing anti-idling measures in Slough will be investigated, with an intention to target idling hotspots such as taxi ranks and outside of schools. </w:t>
      </w:r>
    </w:p>
    <w:p w14:paraId="21D857E2" w14:textId="77777777" w:rsidR="003F5535" w:rsidRDefault="0054787D" w:rsidP="0054787D">
      <w:pPr>
        <w:rPr>
          <w:b/>
          <w:bCs/>
        </w:rPr>
      </w:pPr>
      <w:r w:rsidRPr="00392CE7">
        <w:rPr>
          <w:b/>
          <w:bCs/>
        </w:rPr>
        <w:t xml:space="preserve">Traffic management </w:t>
      </w:r>
      <w:r>
        <w:rPr>
          <w:b/>
          <w:bCs/>
        </w:rPr>
        <w:t>(TM15)</w:t>
      </w:r>
    </w:p>
    <w:p w14:paraId="4A296124" w14:textId="42F68CAF" w:rsidR="0054787D" w:rsidRPr="003F5535" w:rsidRDefault="003F5535" w:rsidP="0054787D">
      <w:pPr>
        <w:rPr>
          <w:b/>
          <w:bCs/>
        </w:rPr>
      </w:pPr>
      <w:r>
        <w:t xml:space="preserve">A strengthening evidence base on the impact of speed on vehicle emissions suggests that lower speeds which </w:t>
      </w:r>
      <w:r w:rsidR="00F26F59">
        <w:t>enable a</w:t>
      </w:r>
      <w:r>
        <w:t xml:space="preserve"> continuous flow of traffic can result in air </w:t>
      </w:r>
      <w:r>
        <w:lastRenderedPageBreak/>
        <w:t>quality improvements</w:t>
      </w:r>
      <w:r w:rsidR="00B25525">
        <w:rPr>
          <w:rStyle w:val="FootnoteReference"/>
        </w:rPr>
        <w:footnoteReference w:id="22"/>
      </w:r>
      <w:r w:rsidR="00B25525">
        <w:rPr>
          <w:vertAlign w:val="superscript"/>
        </w:rPr>
        <w:t>,</w:t>
      </w:r>
      <w:r w:rsidR="00B25525">
        <w:rPr>
          <w:rStyle w:val="FootnoteReference"/>
        </w:rPr>
        <w:footnoteReference w:id="23"/>
      </w:r>
      <w:r w:rsidR="00B25525">
        <w:rPr>
          <w:vertAlign w:val="superscript"/>
        </w:rPr>
        <w:t>,</w:t>
      </w:r>
      <w:r w:rsidR="00B25525">
        <w:rPr>
          <w:rStyle w:val="FootnoteReference"/>
        </w:rPr>
        <w:footnoteReference w:id="24"/>
      </w:r>
      <w:r>
        <w:t>. As such, a measure has been included in the action plan, to e</w:t>
      </w:r>
      <w:r w:rsidR="0054787D">
        <w:t xml:space="preserve">xplore use of traffic calming measures within </w:t>
      </w:r>
      <w:r w:rsidR="00F26F59">
        <w:t>AQMAs</w:t>
      </w:r>
      <w:r>
        <w:t>. This is already being partially implemented through the Safer A4 scheme, which will provide an opportunity to evaluate impacts on concentrations within AQMA 4. If effective, this may be rolled out to other suitable AQMAs.</w:t>
      </w:r>
    </w:p>
    <w:p w14:paraId="660323E9" w14:textId="77777777" w:rsidR="0054787D" w:rsidRPr="001114C5" w:rsidRDefault="0054787D" w:rsidP="0025036F">
      <w:pPr>
        <w:pStyle w:val="Heading3"/>
        <w:numPr>
          <w:ilvl w:val="2"/>
          <w:numId w:val="74"/>
        </w:numPr>
      </w:pPr>
      <w:bookmarkStart w:id="147" w:name="_Toc160129581"/>
      <w:r>
        <w:t>Health Education and Awareness</w:t>
      </w:r>
      <w:bookmarkEnd w:id="147"/>
      <w:r>
        <w:t xml:space="preserve"> </w:t>
      </w:r>
    </w:p>
    <w:p w14:paraId="21859D5A" w14:textId="77777777" w:rsidR="0054787D" w:rsidRPr="00CE49D7" w:rsidRDefault="0054787D" w:rsidP="0054787D">
      <w:pPr>
        <w:rPr>
          <w:b/>
          <w:bCs/>
        </w:rPr>
      </w:pPr>
      <w:r w:rsidRPr="00CE49D7">
        <w:t xml:space="preserve">Health, air quality and transport are closely interlinked. Reducing car use in place of public transport and active travel reduces the number of polluting vehicles on the road network, resulting in improvements in air quality. This results in Slough’s residents being able to breathe cleaner air and reduce their risk of cardiovascular and respiratory illnesses. In addition, increasing active travel increases the physical activity of Slough’s residents, which leads to more positive health outcomes and helps to reduce the number of residents suffering from obesity and related illnesses. All of these measures together improve the wellbeing of those who live and work in Slough. As such, the following measures are those which are cross-departmental and will be most effective when delivered in collaboration. </w:t>
      </w:r>
    </w:p>
    <w:p w14:paraId="1DF25B44" w14:textId="77777777" w:rsidR="0054787D" w:rsidRPr="001114C5" w:rsidRDefault="0054787D" w:rsidP="0054787D">
      <w:pPr>
        <w:rPr>
          <w:b/>
          <w:bCs/>
        </w:rPr>
      </w:pPr>
      <w:r w:rsidRPr="001114C5">
        <w:rPr>
          <w:b/>
          <w:bCs/>
        </w:rPr>
        <w:t>Smarter Travel Programme (HEA1a)</w:t>
      </w:r>
    </w:p>
    <w:p w14:paraId="75A403CF" w14:textId="77777777" w:rsidR="0054787D" w:rsidRDefault="0054787D" w:rsidP="0054787D">
      <w:r>
        <w:t>The Smarter Travel Programme was initiated as part of the Access Fund programme, however in recent years following the pandemic and the S114, much of the programme has not been delivered. Implementation of the action plan will re-launch this initiative, focusing on improving active travel uptake with businesses, schools, healthcare establishments and local communities.</w:t>
      </w:r>
    </w:p>
    <w:p w14:paraId="117AD534" w14:textId="77777777" w:rsidR="002F05CA" w:rsidRDefault="002F05CA" w:rsidP="0054787D">
      <w:pPr>
        <w:rPr>
          <w:b/>
          <w:bCs/>
        </w:rPr>
      </w:pPr>
    </w:p>
    <w:p w14:paraId="50CA811F" w14:textId="77777777" w:rsidR="002F05CA" w:rsidRDefault="002F05CA" w:rsidP="0054787D">
      <w:pPr>
        <w:rPr>
          <w:b/>
          <w:bCs/>
        </w:rPr>
      </w:pPr>
    </w:p>
    <w:p w14:paraId="303320AC" w14:textId="3051E4FD" w:rsidR="0054787D" w:rsidRPr="001114C5" w:rsidRDefault="0054787D" w:rsidP="0054787D">
      <w:pPr>
        <w:rPr>
          <w:b/>
          <w:bCs/>
        </w:rPr>
      </w:pPr>
      <w:r w:rsidRPr="001114C5">
        <w:rPr>
          <w:b/>
          <w:bCs/>
        </w:rPr>
        <w:lastRenderedPageBreak/>
        <w:t>Travel Planning (HEA1b)</w:t>
      </w:r>
    </w:p>
    <w:p w14:paraId="347945B8" w14:textId="66CE6CD9" w:rsidR="0054787D" w:rsidRDefault="0054787D" w:rsidP="0054787D">
      <w:r>
        <w:t xml:space="preserve">As part of the Smarter Travel Programme, the </w:t>
      </w:r>
      <w:r w:rsidR="00F26F59">
        <w:t>Council</w:t>
      </w:r>
      <w:r>
        <w:t xml:space="preserve"> will</w:t>
      </w:r>
      <w:r w:rsidR="00F26F59">
        <w:t xml:space="preserve"> work with </w:t>
      </w:r>
      <w:r>
        <w:t>businesses (over certain employee counts) and schools to develop Travel Plans, supported by development of a</w:t>
      </w:r>
      <w:r w:rsidR="00652386">
        <w:t xml:space="preserve"> Slough Borough Council</w:t>
      </w:r>
      <w:r>
        <w:t xml:space="preserve"> travel plan toolkit. The toolkit will include templates, advice on best practice for developing travel plans, and suitable measures to increase alternative means of travel and active travel, for example by identifying safety routes and smarter travel options, and employment maps to show sustainable access routes to major employment locations. Individual toolkits will be prepared for each partnership group with supporting resources available online, and optional support from the </w:t>
      </w:r>
      <w:r w:rsidR="00F26F59">
        <w:t>C</w:t>
      </w:r>
      <w:r>
        <w:t xml:space="preserve">ouncil in developing bespoke travel information. </w:t>
      </w:r>
    </w:p>
    <w:p w14:paraId="2B747884" w14:textId="77777777" w:rsidR="0054787D" w:rsidRPr="001114C5" w:rsidRDefault="0054787D" w:rsidP="0054787D">
      <w:pPr>
        <w:rPr>
          <w:b/>
          <w:bCs/>
        </w:rPr>
      </w:pPr>
      <w:r w:rsidRPr="001114C5">
        <w:rPr>
          <w:b/>
          <w:bCs/>
        </w:rPr>
        <w:t>Road safety education and training (HEA1c)</w:t>
      </w:r>
    </w:p>
    <w:p w14:paraId="2E401D2C" w14:textId="5CE8F574" w:rsidR="0054787D" w:rsidRDefault="0054787D" w:rsidP="0054787D">
      <w:r>
        <w:t xml:space="preserve">Training and education </w:t>
      </w:r>
      <w:r w:rsidR="00F26F59">
        <w:t>are</w:t>
      </w:r>
      <w:r>
        <w:t xml:space="preserve"> required to improve public confidence and uptake of smarter travel initiatives. As such, a training and education plan will be developed, which will outline how training and educational initiatives will be delivered, and how it will result in increased uptake. This will include delivery of cycle training such as </w:t>
      </w:r>
      <w:r w:rsidR="001114C5">
        <w:t>Bikeability</w:t>
      </w:r>
      <w:r>
        <w:t xml:space="preserve"> (for both adults and children) and will have a focus on deprived areas and minority ethnic communities. It will also include a user training programme for the A4 cycle lane scheme to ensure users understand how to use the new system. Support may be sought from partners such as emergency services, to assist in the delivery of safety educational activities</w:t>
      </w:r>
      <w:r w:rsidR="00F26F59">
        <w:t>,</w:t>
      </w:r>
      <w:r>
        <w:t xml:space="preserve"> for example in schools. </w:t>
      </w:r>
    </w:p>
    <w:p w14:paraId="6CABE3D1" w14:textId="77777777" w:rsidR="0054787D" w:rsidRDefault="0054787D" w:rsidP="0054787D">
      <w:r>
        <w:t xml:space="preserve">In terms of delivery of both the travel plan toolkit and training programme, it is anticipated that a trial focusing on key areas in poor air quality hotspots will be implemented and subsequently evaluated before wider roll out. </w:t>
      </w:r>
    </w:p>
    <w:p w14:paraId="194FCA08" w14:textId="77777777" w:rsidR="0054787D" w:rsidRPr="001114C5" w:rsidRDefault="0054787D" w:rsidP="0054787D">
      <w:pPr>
        <w:rPr>
          <w:b/>
          <w:bCs/>
        </w:rPr>
      </w:pPr>
      <w:r w:rsidRPr="001114C5">
        <w:rPr>
          <w:b/>
          <w:bCs/>
        </w:rPr>
        <w:t xml:space="preserve">Events Delivery Plan (HEA1d) </w:t>
      </w:r>
    </w:p>
    <w:p w14:paraId="1C4C65CA" w14:textId="44323D6E" w:rsidR="00AE2E6C" w:rsidRPr="00BD5D09" w:rsidRDefault="0054787D" w:rsidP="0054787D">
      <w:r>
        <w:t>There are a number of programmes that can be delivered across sustainable transport, environmental sustainability and public health. Currently, event planning is sporadic and not delivered in collaboration with service areas. To ensure an effective and joint approach, an events delivery schedule will be developed, which presents a suite of events to be delivered that calendar year. This will consider events across all potential stakeholder groups, including schools, businesses, healthcare establishments and community groups.</w:t>
      </w:r>
    </w:p>
    <w:p w14:paraId="381D87A5" w14:textId="77777777" w:rsidR="002F05CA" w:rsidRDefault="002F05CA" w:rsidP="0054787D">
      <w:pPr>
        <w:rPr>
          <w:b/>
          <w:bCs/>
        </w:rPr>
      </w:pPr>
    </w:p>
    <w:p w14:paraId="7CE5AB57" w14:textId="03C8597B" w:rsidR="0054787D" w:rsidRPr="001114C5" w:rsidRDefault="0054787D" w:rsidP="0054787D">
      <w:pPr>
        <w:rPr>
          <w:b/>
          <w:bCs/>
        </w:rPr>
      </w:pPr>
      <w:r w:rsidRPr="001114C5">
        <w:rPr>
          <w:b/>
          <w:bCs/>
        </w:rPr>
        <w:lastRenderedPageBreak/>
        <w:t>School Partnership (HEA1e)</w:t>
      </w:r>
    </w:p>
    <w:p w14:paraId="11EB1D92" w14:textId="3D7CC080" w:rsidR="0054787D" w:rsidRDefault="0054787D" w:rsidP="00215C63">
      <w:r>
        <w:t xml:space="preserve">As improving the health of children in Slough is a key ambition of the new Corporate Plan, the aim of the school partnerships would be to improve health of pupils </w:t>
      </w:r>
      <w:r w:rsidR="00F26F59">
        <w:t>by</w:t>
      </w:r>
      <w:r>
        <w:t xml:space="preserve"> increas</w:t>
      </w:r>
      <w:r w:rsidR="00F26F59">
        <w:t>ing</w:t>
      </w:r>
      <w:r>
        <w:t xml:space="preserve"> physical activity through active travel initiatives. Measures to be implemented through the school partnerships include:</w:t>
      </w:r>
    </w:p>
    <w:p w14:paraId="03DA3259" w14:textId="77777777" w:rsidR="0054787D" w:rsidRDefault="0054787D" w:rsidP="00EB191B">
      <w:pPr>
        <w:pStyle w:val="ListParagraph"/>
        <w:numPr>
          <w:ilvl w:val="0"/>
          <w:numId w:val="20"/>
        </w:numPr>
        <w:spacing w:before="0" w:after="160"/>
        <w:contextualSpacing/>
      </w:pPr>
      <w:r>
        <w:t>C</w:t>
      </w:r>
      <w:r w:rsidRPr="003256DD">
        <w:t>ommit</w:t>
      </w:r>
      <w:r>
        <w:t>ment</w:t>
      </w:r>
      <w:r w:rsidRPr="003256DD">
        <w:t xml:space="preserve"> to </w:t>
      </w:r>
      <w:r>
        <w:t>measures</w:t>
      </w:r>
      <w:r w:rsidRPr="003256DD">
        <w:t xml:space="preserve"> </w:t>
      </w:r>
      <w:r>
        <w:t xml:space="preserve">which </w:t>
      </w:r>
      <w:r w:rsidRPr="003256DD">
        <w:t>raise awareness of air quality</w:t>
      </w:r>
      <w:r>
        <w:t xml:space="preserve"> such as </w:t>
      </w:r>
      <w:r w:rsidRPr="003256DD">
        <w:t>Clean Air Day, Walk to School Week, Bike to School Week. This can be combined with other initiatives e.g. anti-idling, car free days, school streets</w:t>
      </w:r>
      <w:r>
        <w:t xml:space="preserve"> and </w:t>
      </w:r>
      <w:r w:rsidRPr="003256DD">
        <w:t xml:space="preserve">play streets. </w:t>
      </w:r>
    </w:p>
    <w:p w14:paraId="64CA3EAC" w14:textId="77777777" w:rsidR="0054787D" w:rsidRPr="00150C52" w:rsidRDefault="0054787D" w:rsidP="00EB191B">
      <w:pPr>
        <w:pStyle w:val="ListParagraph"/>
        <w:numPr>
          <w:ilvl w:val="0"/>
          <w:numId w:val="20"/>
        </w:numPr>
        <w:spacing w:before="0" w:after="160"/>
        <w:contextualSpacing/>
      </w:pPr>
      <w:r>
        <w:t xml:space="preserve">Support information dissemination by incorporating air quality awareness into the school syllabus such as science, maths and geography lessons. </w:t>
      </w:r>
    </w:p>
    <w:p w14:paraId="3DD32B1F" w14:textId="75F1C6FD" w:rsidR="0054787D" w:rsidRDefault="0054787D" w:rsidP="00EB191B">
      <w:pPr>
        <w:pStyle w:val="ListParagraph"/>
        <w:numPr>
          <w:ilvl w:val="0"/>
          <w:numId w:val="20"/>
        </w:numPr>
        <w:spacing w:before="0" w:after="160"/>
        <w:contextualSpacing/>
      </w:pPr>
      <w:r>
        <w:t>I</w:t>
      </w:r>
      <w:r w:rsidRPr="00E37570">
        <w:t>ntroduction of Modeshift STARs for all schools</w:t>
      </w:r>
      <w:r w:rsidR="00F26F59">
        <w:t>.</w:t>
      </w:r>
    </w:p>
    <w:p w14:paraId="0C70640C" w14:textId="576BC59B" w:rsidR="0054787D" w:rsidRDefault="0054787D" w:rsidP="00EB191B">
      <w:pPr>
        <w:pStyle w:val="ListParagraph"/>
        <w:numPr>
          <w:ilvl w:val="0"/>
          <w:numId w:val="20"/>
        </w:numPr>
        <w:spacing w:before="0" w:after="160"/>
        <w:contextualSpacing/>
      </w:pPr>
      <w:r w:rsidRPr="00B84A52">
        <w:t>Roll out School Streets across the borough</w:t>
      </w:r>
      <w:r>
        <w:t xml:space="preserve"> </w:t>
      </w:r>
      <w:r w:rsidR="00215C63">
        <w:t>(</w:t>
      </w:r>
      <w:r>
        <w:t>5 permanent by 2025</w:t>
      </w:r>
      <w:r w:rsidR="00215C63">
        <w:t>)</w:t>
      </w:r>
      <w:r w:rsidR="00F26F59">
        <w:t>.</w:t>
      </w:r>
      <w:r>
        <w:t xml:space="preserve"> </w:t>
      </w:r>
    </w:p>
    <w:p w14:paraId="4EBAE033" w14:textId="77777777" w:rsidR="0054787D" w:rsidRPr="001114C5" w:rsidRDefault="0054787D" w:rsidP="0054787D">
      <w:pPr>
        <w:rPr>
          <w:b/>
          <w:bCs/>
        </w:rPr>
      </w:pPr>
      <w:r w:rsidRPr="001114C5">
        <w:rPr>
          <w:b/>
          <w:bCs/>
        </w:rPr>
        <w:t>Roadside emission exposure campaign (HEA1f)</w:t>
      </w:r>
    </w:p>
    <w:p w14:paraId="4A313C7E" w14:textId="6C885F55" w:rsidR="0054787D" w:rsidRPr="00215C63" w:rsidRDefault="00215C63" w:rsidP="00C5316D">
      <w:pPr>
        <w:rPr>
          <w:rFonts w:cstheme="minorBidi"/>
        </w:rPr>
        <w:sectPr w:rsidR="0054787D" w:rsidRPr="00215C63" w:rsidSect="002B4B5B">
          <w:pgSz w:w="11906" w:h="16838" w:code="9"/>
          <w:pgMar w:top="1474" w:right="1418" w:bottom="1134" w:left="1418" w:header="964" w:footer="454" w:gutter="0"/>
          <w:cols w:space="708"/>
          <w:docGrid w:linePitch="360"/>
        </w:sectPr>
      </w:pPr>
      <w:r w:rsidRPr="00215C63">
        <w:rPr>
          <w:rFonts w:cstheme="minorBidi"/>
        </w:rPr>
        <w:t xml:space="preserve">A part of </w:t>
      </w:r>
      <w:r>
        <w:rPr>
          <w:rFonts w:cstheme="minorBidi"/>
        </w:rPr>
        <w:t xml:space="preserve">the school partnership programme includes campaigns which actively engage teachers, parents and children in air quality, to improve their understanding and equip them to make healthy choices. A measure in the action plan is therefore to deliver an air quality campaign that specifically focuses on school commutes and exposure reduction solutions.  This will be delivered in conjunction with Public Health and Sustainable Transport. </w:t>
      </w:r>
    </w:p>
    <w:p w14:paraId="7984268C" w14:textId="5403B025" w:rsidR="006B4FAF" w:rsidRDefault="006B4FAF" w:rsidP="0046508E">
      <w:pPr>
        <w:pStyle w:val="Caption"/>
      </w:pPr>
      <w:bookmarkStart w:id="148" w:name="_Ref444770859"/>
      <w:bookmarkStart w:id="149" w:name="_Toc160123581"/>
      <w:bookmarkStart w:id="150" w:name="_Toc160123797"/>
      <w:r w:rsidRPr="00E3664B">
        <w:lastRenderedPageBreak/>
        <w:t xml:space="preserve">Table </w:t>
      </w:r>
      <w:r w:rsidR="000F4CA1">
        <w:fldChar w:fldCharType="begin"/>
      </w:r>
      <w:r w:rsidR="000F4CA1">
        <w:instrText xml:space="preserve"> STYLEREF 1 \s </w:instrText>
      </w:r>
      <w:r w:rsidR="000F4CA1">
        <w:fldChar w:fldCharType="separate"/>
      </w:r>
      <w:r w:rsidR="00531F6F">
        <w:rPr>
          <w:noProof/>
        </w:rPr>
        <w:t>5</w:t>
      </w:r>
      <w:r w:rsidR="000F4CA1">
        <w:rPr>
          <w:noProof/>
        </w:rPr>
        <w:fldChar w:fldCharType="end"/>
      </w:r>
      <w:r w:rsidRPr="00E3664B">
        <w:t>.</w:t>
      </w:r>
      <w:bookmarkEnd w:id="148"/>
      <w:r w:rsidR="00AE2E6C">
        <w:t>3</w:t>
      </w:r>
      <w:r w:rsidRPr="00E3664B">
        <w:t xml:space="preserve"> </w:t>
      </w:r>
      <w:r w:rsidR="00BE428E" w:rsidRPr="00BE428E">
        <w:t>‒</w:t>
      </w:r>
      <w:r w:rsidRPr="00E3664B">
        <w:t xml:space="preserve"> Air Quality Action Plan</w:t>
      </w:r>
      <w:r w:rsidR="008742E2">
        <w:t xml:space="preserve"> Measures</w:t>
      </w:r>
      <w:bookmarkEnd w:id="149"/>
      <w:bookmarkEnd w:id="150"/>
    </w:p>
    <w:tbl>
      <w:tblPr>
        <w:tblStyle w:val="LAQMReporting"/>
        <w:tblW w:w="5000" w:type="pct"/>
        <w:tblLayout w:type="fixed"/>
        <w:tblLook w:val="04A0" w:firstRow="1" w:lastRow="0" w:firstColumn="1" w:lastColumn="0" w:noHBand="0" w:noVBand="1"/>
      </w:tblPr>
      <w:tblGrid>
        <w:gridCol w:w="987"/>
        <w:gridCol w:w="1703"/>
        <w:gridCol w:w="1558"/>
        <w:gridCol w:w="1842"/>
        <w:gridCol w:w="1558"/>
        <w:gridCol w:w="1703"/>
        <w:gridCol w:w="1842"/>
        <w:gridCol w:w="1558"/>
        <w:gridCol w:w="1418"/>
        <w:gridCol w:w="1418"/>
        <w:gridCol w:w="1558"/>
        <w:gridCol w:w="1418"/>
        <w:gridCol w:w="2976"/>
        <w:gridCol w:w="1988"/>
        <w:gridCol w:w="2691"/>
        <w:gridCol w:w="2842"/>
      </w:tblGrid>
      <w:tr w:rsidR="002A6774" w:rsidRPr="00E3664B" w14:paraId="5044CCB0" w14:textId="033F4696" w:rsidTr="002A6774">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170" w:type="pct"/>
          </w:tcPr>
          <w:p w14:paraId="12C86DB0" w14:textId="24A67FB7" w:rsidR="007A6FC4" w:rsidRPr="006B2AF4" w:rsidRDefault="007A6FC4" w:rsidP="00734DC2">
            <w:pPr>
              <w:suppressAutoHyphens/>
              <w:spacing w:line="240" w:lineRule="auto"/>
              <w:rPr>
                <w:rFonts w:cs="Arial"/>
                <w:bCs/>
                <w:sz w:val="18"/>
                <w:szCs w:val="16"/>
              </w:rPr>
            </w:pPr>
            <w:bookmarkStart w:id="151" w:name="_Toc418595848"/>
            <w:bookmarkStart w:id="152" w:name="_Ref427070167"/>
            <w:r w:rsidRPr="006B2AF4">
              <w:rPr>
                <w:sz w:val="18"/>
                <w:szCs w:val="16"/>
              </w:rPr>
              <w:t>Measure No.</w:t>
            </w:r>
          </w:p>
        </w:tc>
        <w:tc>
          <w:tcPr>
            <w:tcW w:w="293" w:type="pct"/>
          </w:tcPr>
          <w:p w14:paraId="71EA8CC8" w14:textId="227E59D0"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Measure</w:t>
            </w:r>
          </w:p>
        </w:tc>
        <w:tc>
          <w:tcPr>
            <w:tcW w:w="268" w:type="pct"/>
          </w:tcPr>
          <w:p w14:paraId="314C77B3" w14:textId="04DA2CAE"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Category</w:t>
            </w:r>
          </w:p>
        </w:tc>
        <w:tc>
          <w:tcPr>
            <w:tcW w:w="317" w:type="pct"/>
          </w:tcPr>
          <w:p w14:paraId="6E2876B9" w14:textId="40F0C8FB"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Classification</w:t>
            </w:r>
          </w:p>
        </w:tc>
        <w:tc>
          <w:tcPr>
            <w:tcW w:w="268" w:type="pct"/>
          </w:tcPr>
          <w:p w14:paraId="104F707F" w14:textId="705B20BE"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Year Measure to be Introduced</w:t>
            </w:r>
          </w:p>
        </w:tc>
        <w:tc>
          <w:tcPr>
            <w:tcW w:w="293" w:type="pct"/>
          </w:tcPr>
          <w:p w14:paraId="3EC7FEC9" w14:textId="730417E0"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 Actual Completion Year</w:t>
            </w:r>
          </w:p>
        </w:tc>
        <w:tc>
          <w:tcPr>
            <w:tcW w:w="317" w:type="pct"/>
          </w:tcPr>
          <w:p w14:paraId="2885A81D" w14:textId="7F14DA24"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Organisations Involved</w:t>
            </w:r>
          </w:p>
        </w:tc>
        <w:tc>
          <w:tcPr>
            <w:tcW w:w="268" w:type="pct"/>
          </w:tcPr>
          <w:p w14:paraId="0195EDC5" w14:textId="5E019B53"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Funding Source</w:t>
            </w:r>
          </w:p>
        </w:tc>
        <w:tc>
          <w:tcPr>
            <w:tcW w:w="244" w:type="pct"/>
          </w:tcPr>
          <w:p w14:paraId="4A141084" w14:textId="7EB0AFEA"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Defra AQ Grant Funding</w:t>
            </w:r>
          </w:p>
        </w:tc>
        <w:tc>
          <w:tcPr>
            <w:tcW w:w="244" w:type="pct"/>
          </w:tcPr>
          <w:p w14:paraId="699067D9" w14:textId="5B59B25F"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Funding Status</w:t>
            </w:r>
          </w:p>
        </w:tc>
        <w:tc>
          <w:tcPr>
            <w:tcW w:w="268" w:type="pct"/>
          </w:tcPr>
          <w:p w14:paraId="7C484566" w14:textId="39B8869C"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Cost of Measure</w:t>
            </w:r>
          </w:p>
        </w:tc>
        <w:tc>
          <w:tcPr>
            <w:tcW w:w="244" w:type="pct"/>
          </w:tcPr>
          <w:p w14:paraId="2E24AE70" w14:textId="7710D6FA" w:rsidR="007A6FC4" w:rsidRPr="006B2AF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Measure Status</w:t>
            </w:r>
          </w:p>
        </w:tc>
        <w:tc>
          <w:tcPr>
            <w:tcW w:w="512" w:type="pct"/>
          </w:tcPr>
          <w:p w14:paraId="6678343A" w14:textId="0B8E10FF" w:rsidR="007A6FC4" w:rsidRPr="006B2AF4" w:rsidDel="00EA3B5F"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Target Reduction in Pollutant / Emission from Measure</w:t>
            </w:r>
          </w:p>
        </w:tc>
        <w:tc>
          <w:tcPr>
            <w:tcW w:w="342" w:type="pct"/>
          </w:tcPr>
          <w:p w14:paraId="0397E008" w14:textId="6DB2E579" w:rsidR="007A6FC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Key Performance Indicator</w:t>
            </w:r>
          </w:p>
        </w:tc>
        <w:tc>
          <w:tcPr>
            <w:tcW w:w="463" w:type="pct"/>
          </w:tcPr>
          <w:p w14:paraId="10417DD3" w14:textId="5C05ED46" w:rsidR="007A6FC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Progress to Date</w:t>
            </w:r>
          </w:p>
        </w:tc>
        <w:tc>
          <w:tcPr>
            <w:tcW w:w="489" w:type="pct"/>
          </w:tcPr>
          <w:p w14:paraId="2D838A36" w14:textId="05A90C30" w:rsidR="007A6FC4" w:rsidRDefault="007A6FC4" w:rsidP="00734DC2">
            <w:pPr>
              <w:suppressAutoHyphens/>
              <w:spacing w:line="240" w:lineRule="auto"/>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Comments / Potential Barriers to Implementation</w:t>
            </w:r>
          </w:p>
        </w:tc>
      </w:tr>
      <w:tr w:rsidR="008B27B6" w:rsidRPr="00E3664B" w14:paraId="0303AF5A" w14:textId="2ECD3FB0" w:rsidTr="008B27B6">
        <w:trPr>
          <w:trHeight w:val="916"/>
        </w:trPr>
        <w:tc>
          <w:tcPr>
            <w:cnfStyle w:val="001000000000" w:firstRow="0" w:lastRow="0" w:firstColumn="1" w:lastColumn="0" w:oddVBand="0" w:evenVBand="0" w:oddHBand="0" w:evenHBand="0" w:firstRowFirstColumn="0" w:firstRowLastColumn="0" w:lastRowFirstColumn="0" w:lastRowLastColumn="0"/>
            <w:tcW w:w="170" w:type="pct"/>
            <w:shd w:val="clear" w:color="auto" w:fill="FFF2CC" w:themeFill="accent4" w:themeFillTint="33"/>
          </w:tcPr>
          <w:p w14:paraId="516BD395" w14:textId="3686FA92" w:rsidR="002A6774" w:rsidRPr="005D760F" w:rsidRDefault="002A6774" w:rsidP="002A6774">
            <w:pPr>
              <w:suppressAutoHyphens/>
              <w:spacing w:line="240" w:lineRule="auto"/>
              <w:rPr>
                <w:color w:val="FF0000"/>
                <w:sz w:val="18"/>
                <w:szCs w:val="18"/>
              </w:rPr>
            </w:pPr>
            <w:bookmarkStart w:id="153" w:name="_Hlk159854725"/>
            <w:r>
              <w:rPr>
                <w:rFonts w:cs="Arial"/>
                <w:sz w:val="18"/>
                <w:szCs w:val="18"/>
              </w:rPr>
              <w:t>1</w:t>
            </w:r>
            <w:r>
              <w:rPr>
                <w:rFonts w:cs="Arial"/>
                <w:sz w:val="18"/>
                <w:szCs w:val="18"/>
              </w:rPr>
              <w:br/>
              <w:t>(EM3)</w:t>
            </w:r>
          </w:p>
        </w:tc>
        <w:tc>
          <w:tcPr>
            <w:tcW w:w="293" w:type="pct"/>
            <w:shd w:val="clear" w:color="auto" w:fill="FFF2CC" w:themeFill="accent4" w:themeFillTint="33"/>
          </w:tcPr>
          <w:p w14:paraId="30A0E60E" w14:textId="1B16E3D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Set minimum emission standards for all major contracts </w:t>
            </w:r>
          </w:p>
        </w:tc>
        <w:tc>
          <w:tcPr>
            <w:tcW w:w="268" w:type="pct"/>
            <w:shd w:val="clear" w:color="auto" w:fill="FFF2CC" w:themeFill="accent4" w:themeFillTint="33"/>
          </w:tcPr>
          <w:p w14:paraId="27A66248" w14:textId="58303D5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FFF2CC" w:themeFill="accent4" w:themeFillTint="33"/>
          </w:tcPr>
          <w:p w14:paraId="35152AAA" w14:textId="4DAF462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Company vehicle procurement - prioritising uptake of low emission vehicles</w:t>
            </w:r>
          </w:p>
        </w:tc>
        <w:tc>
          <w:tcPr>
            <w:tcW w:w="268" w:type="pct"/>
            <w:shd w:val="clear" w:color="auto" w:fill="FFF2CC" w:themeFill="accent4" w:themeFillTint="33"/>
          </w:tcPr>
          <w:p w14:paraId="081292AE" w14:textId="5823C59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FFF2CC" w:themeFill="accent4" w:themeFillTint="33"/>
          </w:tcPr>
          <w:p w14:paraId="4B91C54C" w14:textId="6F60609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Ongoing</w:t>
            </w:r>
          </w:p>
        </w:tc>
        <w:tc>
          <w:tcPr>
            <w:tcW w:w="317" w:type="pct"/>
            <w:shd w:val="clear" w:color="auto" w:fill="FFF2CC" w:themeFill="accent4" w:themeFillTint="33"/>
          </w:tcPr>
          <w:p w14:paraId="324AD545" w14:textId="5F664ACF"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w:t>
            </w:r>
          </w:p>
        </w:tc>
        <w:tc>
          <w:tcPr>
            <w:tcW w:w="268" w:type="pct"/>
            <w:shd w:val="clear" w:color="auto" w:fill="FFF2CC" w:themeFill="accent4" w:themeFillTint="33"/>
          </w:tcPr>
          <w:p w14:paraId="7BE477AD" w14:textId="7250CBD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FFF2CC" w:themeFill="accent4" w:themeFillTint="33"/>
          </w:tcPr>
          <w:p w14:paraId="06D03039" w14:textId="20A85BA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FFF2CC" w:themeFill="accent4" w:themeFillTint="33"/>
          </w:tcPr>
          <w:p w14:paraId="7BD69E4B" w14:textId="75D2102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FFF2CC" w:themeFill="accent4" w:themeFillTint="33"/>
          </w:tcPr>
          <w:p w14:paraId="7383AE29" w14:textId="16C1ADB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FFF2CC" w:themeFill="accent4" w:themeFillTint="33"/>
          </w:tcPr>
          <w:p w14:paraId="1DBD521C" w14:textId="1F32E6E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FFF2CC" w:themeFill="accent4" w:themeFillTint="33"/>
          </w:tcPr>
          <w:p w14:paraId="393DB8D1" w14:textId="7976D90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concentrations from HGVs an</w:t>
            </w:r>
            <w:r w:rsidRPr="007B7676">
              <w:rPr>
                <w:rFonts w:cs="Arial"/>
                <w:sz w:val="18"/>
                <w:szCs w:val="18"/>
              </w:rPr>
              <w:t>d LGVs. Measures contributes to 0.5</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t xml:space="preserve"> reduction in NO</w:t>
            </w:r>
            <w:r w:rsidRPr="007B7676">
              <w:rPr>
                <w:rFonts w:cs="Arial"/>
                <w:sz w:val="18"/>
                <w:szCs w:val="18"/>
                <w:vertAlign w:val="subscript"/>
              </w:rPr>
              <w:t>2</w:t>
            </w:r>
            <w:r w:rsidRPr="007B7676">
              <w:rPr>
                <w:rFonts w:cs="Arial"/>
                <w:sz w:val="18"/>
                <w:szCs w:val="18"/>
              </w:rPr>
              <w:t xml:space="preserve"> (see </w:t>
            </w:r>
            <w:r w:rsidR="00E34B3D">
              <w:rPr>
                <w:rFonts w:cs="Arial"/>
                <w:sz w:val="18"/>
                <w:szCs w:val="18"/>
              </w:rPr>
              <w:t>Appendix D</w:t>
            </w:r>
            <w:r>
              <w:rPr>
                <w:rFonts w:cs="Arial"/>
                <w:sz w:val="18"/>
                <w:szCs w:val="18"/>
              </w:rPr>
              <w:t>)</w:t>
            </w:r>
          </w:p>
        </w:tc>
        <w:tc>
          <w:tcPr>
            <w:tcW w:w="342" w:type="pct"/>
            <w:shd w:val="clear" w:color="auto" w:fill="FFF2CC" w:themeFill="accent4" w:themeFillTint="33"/>
          </w:tcPr>
          <w:p w14:paraId="21449199" w14:textId="5A3A9AF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contractor vehicles with improved emissions</w:t>
            </w:r>
          </w:p>
        </w:tc>
        <w:tc>
          <w:tcPr>
            <w:tcW w:w="463" w:type="pct"/>
            <w:shd w:val="clear" w:color="auto" w:fill="FFF2CC" w:themeFill="accent4" w:themeFillTint="33"/>
          </w:tcPr>
          <w:p w14:paraId="47E587B5" w14:textId="1558847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Implemented for repairs and maintenance contracts for Housing and operational buildings, but not yet implemented for council owned fleet</w:t>
            </w:r>
          </w:p>
        </w:tc>
        <w:tc>
          <w:tcPr>
            <w:tcW w:w="489" w:type="pct"/>
            <w:shd w:val="clear" w:color="auto" w:fill="FFF2CC" w:themeFill="accent4" w:themeFillTint="33"/>
          </w:tcPr>
          <w:p w14:paraId="13110627" w14:textId="166481E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Requirement of LES. For Council operations, barriers include cost of low emission vehicles, and </w:t>
            </w:r>
            <w:r w:rsidR="004103E0">
              <w:rPr>
                <w:rFonts w:cs="Arial"/>
                <w:sz w:val="18"/>
                <w:szCs w:val="18"/>
              </w:rPr>
              <w:t>operability</w:t>
            </w:r>
            <w:r>
              <w:rPr>
                <w:rFonts w:cs="Arial"/>
                <w:sz w:val="18"/>
                <w:szCs w:val="18"/>
              </w:rPr>
              <w:t xml:space="preserve"> barriers (e.g. for RCVs, EVs tested and consulted other local authorities, range is lower, therefore raises risk to service delivery). Contracts with third parties more likely to be feasible. </w:t>
            </w:r>
          </w:p>
        </w:tc>
      </w:tr>
      <w:tr w:rsidR="008B27B6" w:rsidRPr="00E3664B" w14:paraId="05B3129D" w14:textId="3BFCA641"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FFF2CC" w:themeFill="accent4" w:themeFillTint="33"/>
          </w:tcPr>
          <w:p w14:paraId="4A15EAA2" w14:textId="6200A301" w:rsidR="002A6774" w:rsidRPr="005D760F" w:rsidRDefault="002A6774" w:rsidP="002A6774">
            <w:pPr>
              <w:suppressAutoHyphens/>
              <w:spacing w:line="240" w:lineRule="auto"/>
              <w:rPr>
                <w:color w:val="FF0000"/>
                <w:sz w:val="18"/>
                <w:szCs w:val="18"/>
              </w:rPr>
            </w:pPr>
            <w:r>
              <w:rPr>
                <w:rFonts w:cs="Arial"/>
                <w:sz w:val="18"/>
                <w:szCs w:val="18"/>
              </w:rPr>
              <w:t>2 (EM6)</w:t>
            </w:r>
          </w:p>
        </w:tc>
        <w:tc>
          <w:tcPr>
            <w:tcW w:w="293" w:type="pct"/>
            <w:shd w:val="clear" w:color="auto" w:fill="FFF2CC" w:themeFill="accent4" w:themeFillTint="33"/>
          </w:tcPr>
          <w:p w14:paraId="45D71F8B" w14:textId="65E6891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Update to the Slough Low Emission Strategy </w:t>
            </w:r>
          </w:p>
        </w:tc>
        <w:tc>
          <w:tcPr>
            <w:tcW w:w="268" w:type="pct"/>
            <w:shd w:val="clear" w:color="auto" w:fill="FFF2CC" w:themeFill="accent4" w:themeFillTint="33"/>
          </w:tcPr>
          <w:p w14:paraId="68E1F767" w14:textId="58259C7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Policy guidance and development control</w:t>
            </w:r>
          </w:p>
        </w:tc>
        <w:tc>
          <w:tcPr>
            <w:tcW w:w="317" w:type="pct"/>
            <w:shd w:val="clear" w:color="auto" w:fill="FFF2CC" w:themeFill="accent4" w:themeFillTint="33"/>
          </w:tcPr>
          <w:p w14:paraId="3FDD1770" w14:textId="35F0065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Low Emissions Strategy</w:t>
            </w:r>
          </w:p>
        </w:tc>
        <w:tc>
          <w:tcPr>
            <w:tcW w:w="268" w:type="pct"/>
            <w:shd w:val="clear" w:color="auto" w:fill="FFF2CC" w:themeFill="accent4" w:themeFillTint="33"/>
          </w:tcPr>
          <w:p w14:paraId="1FD9088B" w14:textId="542F857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FFF2CC" w:themeFill="accent4" w:themeFillTint="33"/>
          </w:tcPr>
          <w:p w14:paraId="642982B4" w14:textId="3E2085A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FFF2CC" w:themeFill="accent4" w:themeFillTint="33"/>
          </w:tcPr>
          <w:p w14:paraId="278814CD" w14:textId="00B4BDA1"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w:t>
            </w:r>
          </w:p>
        </w:tc>
        <w:tc>
          <w:tcPr>
            <w:tcW w:w="268" w:type="pct"/>
            <w:shd w:val="clear" w:color="auto" w:fill="FFF2CC" w:themeFill="accent4" w:themeFillTint="33"/>
          </w:tcPr>
          <w:p w14:paraId="2A92B50C" w14:textId="30DB680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FFF2CC" w:themeFill="accent4" w:themeFillTint="33"/>
          </w:tcPr>
          <w:p w14:paraId="59384627" w14:textId="6C33E57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FFF2CC" w:themeFill="accent4" w:themeFillTint="33"/>
          </w:tcPr>
          <w:p w14:paraId="5EE83A3B" w14:textId="1DF7A9D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FFF2CC" w:themeFill="accent4" w:themeFillTint="33"/>
          </w:tcPr>
          <w:p w14:paraId="0E0ED123" w14:textId="413A780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FFF2CC" w:themeFill="accent4" w:themeFillTint="33"/>
          </w:tcPr>
          <w:p w14:paraId="6979EE2D" w14:textId="7B1BEB8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FFF2CC" w:themeFill="accent4" w:themeFillTint="33"/>
          </w:tcPr>
          <w:p w14:paraId="1E535610" w14:textId="06E41F1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Reduced concentrations from HGVs and LGVs. Measures contributes </w:t>
            </w:r>
            <w:r w:rsidRPr="007B7676">
              <w:rPr>
                <w:rFonts w:cs="Arial"/>
                <w:sz w:val="18"/>
                <w:szCs w:val="18"/>
              </w:rPr>
              <w:t>to 0.5</w:t>
            </w:r>
            <w:r w:rsidR="007B7676" w:rsidRPr="007B7676">
              <w:rPr>
                <w:rFonts w:cs="Arial"/>
                <w:color w:val="0B0C0C"/>
                <w:sz w:val="18"/>
                <w:szCs w:val="18"/>
              </w:rPr>
              <w:t>µ</w:t>
            </w:r>
            <w:r w:rsidRPr="007B7676">
              <w:rPr>
                <w:rFonts w:cs="Arial"/>
                <w:sz w:val="18"/>
                <w:szCs w:val="18"/>
              </w:rPr>
              <w:t>g/</w:t>
            </w:r>
            <w:r>
              <w:rPr>
                <w:rFonts w:cs="Arial"/>
                <w:sz w:val="18"/>
                <w:szCs w:val="18"/>
              </w:rPr>
              <w:t>m</w:t>
            </w:r>
            <w:r w:rsidRPr="00503384">
              <w:rPr>
                <w:rFonts w:cs="Arial"/>
                <w:sz w:val="18"/>
                <w:szCs w:val="18"/>
                <w:vertAlign w:val="superscript"/>
              </w:rPr>
              <w:t>3</w:t>
            </w:r>
            <w:r>
              <w:rPr>
                <w:rFonts w:cs="Arial"/>
                <w:sz w:val="18"/>
                <w:szCs w:val="18"/>
              </w:rPr>
              <w:t xml:space="preserve"> reduction in NO</w:t>
            </w:r>
            <w:r w:rsidRPr="00503384">
              <w:rPr>
                <w:rFonts w:cs="Arial"/>
                <w:sz w:val="18"/>
                <w:szCs w:val="18"/>
                <w:vertAlign w:val="subscript"/>
              </w:rPr>
              <w:t>2</w:t>
            </w:r>
            <w:r>
              <w:rPr>
                <w:rFonts w:cs="Arial"/>
                <w:sz w:val="18"/>
                <w:szCs w:val="18"/>
              </w:rPr>
              <w:t xml:space="preserve"> </w:t>
            </w:r>
            <w:r w:rsidR="00E34B3D" w:rsidRPr="007B7676">
              <w:rPr>
                <w:rFonts w:cs="Arial"/>
                <w:sz w:val="18"/>
                <w:szCs w:val="18"/>
              </w:rPr>
              <w:t xml:space="preserve">(see </w:t>
            </w:r>
            <w:r w:rsidR="00E34B3D">
              <w:rPr>
                <w:rFonts w:cs="Arial"/>
                <w:sz w:val="18"/>
                <w:szCs w:val="18"/>
              </w:rPr>
              <w:t>Appendix D)</w:t>
            </w:r>
          </w:p>
        </w:tc>
        <w:tc>
          <w:tcPr>
            <w:tcW w:w="342" w:type="pct"/>
            <w:shd w:val="clear" w:color="auto" w:fill="FFF2CC" w:themeFill="accent4" w:themeFillTint="33"/>
          </w:tcPr>
          <w:p w14:paraId="52867523" w14:textId="1E97CC9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new developments with strengthened mitigation </w:t>
            </w:r>
          </w:p>
        </w:tc>
        <w:tc>
          <w:tcPr>
            <w:tcW w:w="463" w:type="pct"/>
            <w:shd w:val="clear" w:color="auto" w:fill="FFF2CC" w:themeFill="accent4" w:themeFillTint="33"/>
          </w:tcPr>
          <w:p w14:paraId="1E461EB8" w14:textId="40909AE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In progress. Research piece has been initiated to inform new standards </w:t>
            </w:r>
          </w:p>
        </w:tc>
        <w:tc>
          <w:tcPr>
            <w:tcW w:w="489" w:type="pct"/>
            <w:shd w:val="clear" w:color="auto" w:fill="FFF2CC" w:themeFill="accent4" w:themeFillTint="33"/>
          </w:tcPr>
          <w:p w14:paraId="6682CCB9" w14:textId="0692F51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Potential conflicts with Planning regarding development viability, otherwise none</w:t>
            </w:r>
          </w:p>
        </w:tc>
      </w:tr>
      <w:tr w:rsidR="008B27B6" w:rsidRPr="00E3664B" w14:paraId="5FC0CD60" w14:textId="683AF3F3"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6105FF01" w14:textId="5422C86E" w:rsidR="002A6774" w:rsidRPr="005D760F" w:rsidRDefault="002A6774" w:rsidP="002A6774">
            <w:pPr>
              <w:suppressAutoHyphens/>
              <w:spacing w:line="240" w:lineRule="auto"/>
              <w:rPr>
                <w:rFonts w:cs="Arial"/>
                <w:color w:val="FF0000"/>
                <w:sz w:val="18"/>
                <w:szCs w:val="18"/>
              </w:rPr>
            </w:pPr>
            <w:r>
              <w:rPr>
                <w:rFonts w:cs="Arial"/>
                <w:sz w:val="18"/>
                <w:szCs w:val="18"/>
              </w:rPr>
              <w:t>3 (EM7)</w:t>
            </w:r>
          </w:p>
        </w:tc>
        <w:tc>
          <w:tcPr>
            <w:tcW w:w="293" w:type="pct"/>
            <w:shd w:val="clear" w:color="auto" w:fill="E2EFD9" w:themeFill="accent6" w:themeFillTint="33"/>
          </w:tcPr>
          <w:p w14:paraId="3E14B243" w14:textId="4B016238"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Creation of a strategic Slough public charge point network </w:t>
            </w:r>
            <w:r w:rsidR="00FA49BE">
              <w:rPr>
                <w:rFonts w:cs="Arial"/>
                <w:sz w:val="18"/>
                <w:szCs w:val="18"/>
              </w:rPr>
              <w:t>(residential)</w:t>
            </w:r>
          </w:p>
        </w:tc>
        <w:tc>
          <w:tcPr>
            <w:tcW w:w="268" w:type="pct"/>
            <w:shd w:val="clear" w:color="auto" w:fill="E2EFD9" w:themeFill="accent6" w:themeFillTint="33"/>
          </w:tcPr>
          <w:p w14:paraId="3B079992" w14:textId="0366684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2D9B38BA" w14:textId="0ABB4BB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Procuring alternative Refuelling infrastructure to promote Low Emission Vehicles, EV recharging, Gas fuel recharging</w:t>
            </w:r>
          </w:p>
        </w:tc>
        <w:tc>
          <w:tcPr>
            <w:tcW w:w="268" w:type="pct"/>
            <w:shd w:val="clear" w:color="auto" w:fill="E2EFD9" w:themeFill="accent6" w:themeFillTint="33"/>
          </w:tcPr>
          <w:p w14:paraId="36DC045F" w14:textId="4E53FF0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31A09152" w14:textId="076C543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2027</w:t>
            </w:r>
          </w:p>
        </w:tc>
        <w:tc>
          <w:tcPr>
            <w:tcW w:w="317" w:type="pct"/>
            <w:shd w:val="clear" w:color="auto" w:fill="E2EFD9" w:themeFill="accent6" w:themeFillTint="33"/>
          </w:tcPr>
          <w:p w14:paraId="77F3C456" w14:textId="61E78830"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 commercial delivery partner</w:t>
            </w:r>
          </w:p>
        </w:tc>
        <w:tc>
          <w:tcPr>
            <w:tcW w:w="268" w:type="pct"/>
            <w:shd w:val="clear" w:color="auto" w:fill="E2EFD9" w:themeFill="accent6" w:themeFillTint="33"/>
          </w:tcPr>
          <w:p w14:paraId="5DC0175E" w14:textId="0A607AD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Local Electric Vehicle Infrastructure (LEVI) fund</w:t>
            </w:r>
          </w:p>
        </w:tc>
        <w:tc>
          <w:tcPr>
            <w:tcW w:w="244" w:type="pct"/>
            <w:shd w:val="clear" w:color="auto" w:fill="E2EFD9" w:themeFill="accent6" w:themeFillTint="33"/>
          </w:tcPr>
          <w:p w14:paraId="2D4D625E" w14:textId="32558F6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0CC3753C" w14:textId="176B419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41754468" w14:textId="08BF987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4ACE19CE" w14:textId="3948F4E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23561E04" w14:textId="63D6A18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emissions from private vehicles. Measure contributes to following po</w:t>
            </w:r>
            <w:r w:rsidRPr="007B7676">
              <w:rPr>
                <w:rFonts w:cs="Arial"/>
                <w:sz w:val="18"/>
                <w:szCs w:val="18"/>
              </w:rPr>
              <w:t xml:space="preserve">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w:t>
            </w:r>
            <w:r>
              <w:rPr>
                <w:rFonts w:cs="Arial"/>
                <w:sz w:val="18"/>
                <w:szCs w:val="18"/>
              </w:rPr>
              <w:t>/m</w:t>
            </w:r>
            <w:r w:rsidRPr="00503384">
              <w:rPr>
                <w:rFonts w:cs="Arial"/>
                <w:sz w:val="18"/>
                <w:szCs w:val="18"/>
                <w:vertAlign w:val="superscript"/>
              </w:rPr>
              <w:t>3</w:t>
            </w:r>
            <w:r>
              <w:rPr>
                <w:rFonts w:cs="Arial"/>
                <w:sz w:val="18"/>
                <w:szCs w:val="18"/>
              </w:rPr>
              <w:br/>
              <w:t>CO</w:t>
            </w:r>
            <w:r w:rsidRPr="00503384">
              <w:rPr>
                <w:rFonts w:cs="Arial"/>
                <w:sz w:val="18"/>
                <w:szCs w:val="18"/>
                <w:vertAlign w:val="subscript"/>
              </w:rPr>
              <w:t>2</w:t>
            </w:r>
            <w:r>
              <w:rPr>
                <w:rFonts w:cs="Arial"/>
                <w:sz w:val="18"/>
                <w:szCs w:val="18"/>
              </w:rPr>
              <w:t>: 102 kt (12.6%)</w:t>
            </w:r>
            <w:r>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28ADCD84" w14:textId="13FAC9C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charging points installed, number of charges per charging point</w:t>
            </w:r>
          </w:p>
        </w:tc>
        <w:tc>
          <w:tcPr>
            <w:tcW w:w="463" w:type="pct"/>
            <w:shd w:val="clear" w:color="auto" w:fill="E2EFD9" w:themeFill="accent6" w:themeFillTint="33"/>
          </w:tcPr>
          <w:p w14:paraId="4C55B757" w14:textId="33615A0A" w:rsidR="002A6774" w:rsidRPr="005D760F" w:rsidRDefault="00BD5D09"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Strategy currently in development, due to be published April 2024</w:t>
            </w:r>
            <w:r w:rsidR="002A6774">
              <w:rPr>
                <w:rFonts w:cs="Arial"/>
                <w:sz w:val="18"/>
                <w:szCs w:val="18"/>
              </w:rPr>
              <w:t> </w:t>
            </w:r>
          </w:p>
        </w:tc>
        <w:tc>
          <w:tcPr>
            <w:tcW w:w="489" w:type="pct"/>
            <w:shd w:val="clear" w:color="auto" w:fill="E2EFD9" w:themeFill="accent6" w:themeFillTint="33"/>
          </w:tcPr>
          <w:p w14:paraId="38ADAEA2" w14:textId="560454E8" w:rsidR="002A6774" w:rsidRPr="005D760F" w:rsidRDefault="00BD5D09"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 expected barriers </w:t>
            </w:r>
            <w:r w:rsidR="002A6774">
              <w:rPr>
                <w:rFonts w:cs="Arial"/>
                <w:sz w:val="18"/>
                <w:szCs w:val="18"/>
              </w:rPr>
              <w:t> </w:t>
            </w:r>
          </w:p>
        </w:tc>
      </w:tr>
      <w:tr w:rsidR="008B27B6" w:rsidRPr="00E3664B" w14:paraId="6460A49B"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42FA1634" w14:textId="61AD725C" w:rsidR="002A6774" w:rsidRDefault="002A6774" w:rsidP="002A6774">
            <w:pPr>
              <w:suppressAutoHyphens/>
              <w:spacing w:line="240" w:lineRule="auto"/>
              <w:rPr>
                <w:rFonts w:cs="Arial"/>
                <w:color w:val="FF0000"/>
                <w:sz w:val="18"/>
                <w:szCs w:val="18"/>
              </w:rPr>
            </w:pPr>
            <w:r>
              <w:rPr>
                <w:rFonts w:cs="Arial"/>
                <w:sz w:val="18"/>
                <w:szCs w:val="18"/>
              </w:rPr>
              <w:t>4 (EM8)</w:t>
            </w:r>
          </w:p>
        </w:tc>
        <w:tc>
          <w:tcPr>
            <w:tcW w:w="293" w:type="pct"/>
            <w:shd w:val="clear" w:color="auto" w:fill="E2EFD9" w:themeFill="accent6" w:themeFillTint="33"/>
          </w:tcPr>
          <w:p w14:paraId="0F32AEF2" w14:textId="358DA6A8"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 EV (rapid and fast) off-street and car park programme</w:t>
            </w:r>
          </w:p>
        </w:tc>
        <w:tc>
          <w:tcPr>
            <w:tcW w:w="268" w:type="pct"/>
            <w:shd w:val="clear" w:color="auto" w:fill="E2EFD9" w:themeFill="accent6" w:themeFillTint="33"/>
          </w:tcPr>
          <w:p w14:paraId="266E3C87" w14:textId="163F575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6E14CCE0" w14:textId="17069C6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Procuring alternative Refuelling infrastructure to promote Low Emission Vehicles, EV recharging, Gas fuel recharging</w:t>
            </w:r>
          </w:p>
        </w:tc>
        <w:tc>
          <w:tcPr>
            <w:tcW w:w="268" w:type="pct"/>
            <w:shd w:val="clear" w:color="auto" w:fill="E2EFD9" w:themeFill="accent6" w:themeFillTint="33"/>
          </w:tcPr>
          <w:p w14:paraId="2F04924E" w14:textId="73AB795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5D6D8796" w14:textId="145B72A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2027</w:t>
            </w:r>
          </w:p>
        </w:tc>
        <w:tc>
          <w:tcPr>
            <w:tcW w:w="317" w:type="pct"/>
            <w:shd w:val="clear" w:color="auto" w:fill="E2EFD9" w:themeFill="accent6" w:themeFillTint="33"/>
          </w:tcPr>
          <w:p w14:paraId="4DF769BF" w14:textId="134A1503"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 commercial delivery partner</w:t>
            </w:r>
          </w:p>
        </w:tc>
        <w:tc>
          <w:tcPr>
            <w:tcW w:w="268" w:type="pct"/>
            <w:shd w:val="clear" w:color="auto" w:fill="E2EFD9" w:themeFill="accent6" w:themeFillTint="33"/>
          </w:tcPr>
          <w:p w14:paraId="27A09F94" w14:textId="1C14CB3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Local Electric Vehicle Infrastructure (LEVI) fund</w:t>
            </w:r>
          </w:p>
        </w:tc>
        <w:tc>
          <w:tcPr>
            <w:tcW w:w="244" w:type="pct"/>
            <w:shd w:val="clear" w:color="auto" w:fill="E2EFD9" w:themeFill="accent6" w:themeFillTint="33"/>
          </w:tcPr>
          <w:p w14:paraId="5816A66A" w14:textId="64C5B10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77FB0C71" w14:textId="366BA674" w:rsidR="002A6774" w:rsidRPr="005D760F" w:rsidRDefault="00205D38"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Partially </w:t>
            </w:r>
            <w:r w:rsidR="002A6774">
              <w:rPr>
                <w:rFonts w:cs="Arial"/>
                <w:sz w:val="18"/>
                <w:szCs w:val="18"/>
              </w:rPr>
              <w:t>Funded</w:t>
            </w:r>
          </w:p>
        </w:tc>
        <w:tc>
          <w:tcPr>
            <w:tcW w:w="268" w:type="pct"/>
            <w:shd w:val="clear" w:color="auto" w:fill="E2EFD9" w:themeFill="accent6" w:themeFillTint="33"/>
          </w:tcPr>
          <w:p w14:paraId="75194661" w14:textId="089CC35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65ADF6D7" w14:textId="00FFCC2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5DE37CD5" w14:textId="783BD8C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emissions from private vehicles. Measure contributes to following poll</w:t>
            </w:r>
            <w:r w:rsidRPr="007B7676">
              <w:rPr>
                <w:rFonts w:cs="Arial"/>
                <w:sz w:val="18"/>
                <w:szCs w:val="18"/>
              </w:rPr>
              <w:t xml:space="preserve">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w:t>
            </w:r>
            <w:r>
              <w:rPr>
                <w:rFonts w:cs="Arial"/>
                <w:sz w:val="18"/>
                <w:szCs w:val="18"/>
              </w:rPr>
              <w:t>m</w:t>
            </w:r>
            <w:r w:rsidRPr="00503384">
              <w:rPr>
                <w:rFonts w:cs="Arial"/>
                <w:sz w:val="18"/>
                <w:szCs w:val="18"/>
                <w:vertAlign w:val="superscript"/>
              </w:rPr>
              <w:t>3</w:t>
            </w:r>
            <w:r>
              <w:rPr>
                <w:rFonts w:cs="Arial"/>
                <w:sz w:val="18"/>
                <w:szCs w:val="18"/>
              </w:rPr>
              <w:br/>
              <w:t>CO</w:t>
            </w:r>
            <w:r w:rsidRPr="00503384">
              <w:rPr>
                <w:rFonts w:cs="Arial"/>
                <w:sz w:val="18"/>
                <w:szCs w:val="18"/>
                <w:vertAlign w:val="subscript"/>
              </w:rPr>
              <w:t>2</w:t>
            </w:r>
            <w:r>
              <w:rPr>
                <w:rFonts w:cs="Arial"/>
                <w:sz w:val="18"/>
                <w:szCs w:val="18"/>
              </w:rPr>
              <w:t>: 102 kt (12.6%)</w:t>
            </w:r>
            <w:r>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B38D257" w14:textId="154E1CF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charging points installed, number of charges per charging point</w:t>
            </w:r>
          </w:p>
        </w:tc>
        <w:tc>
          <w:tcPr>
            <w:tcW w:w="463" w:type="pct"/>
            <w:shd w:val="clear" w:color="auto" w:fill="E2EFD9" w:themeFill="accent6" w:themeFillTint="33"/>
          </w:tcPr>
          <w:p w14:paraId="4DEA4113" w14:textId="6CCBF9DE" w:rsidR="002A6774" w:rsidRPr="005D760F" w:rsidRDefault="00BD5D09"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Strategy currently in development, due to be published April 2024 </w:t>
            </w:r>
            <w:r w:rsidR="002A6774">
              <w:rPr>
                <w:rFonts w:cs="Arial"/>
                <w:sz w:val="18"/>
                <w:szCs w:val="18"/>
              </w:rPr>
              <w:t> </w:t>
            </w:r>
          </w:p>
        </w:tc>
        <w:tc>
          <w:tcPr>
            <w:tcW w:w="489" w:type="pct"/>
            <w:shd w:val="clear" w:color="auto" w:fill="E2EFD9" w:themeFill="accent6" w:themeFillTint="33"/>
          </w:tcPr>
          <w:p w14:paraId="2ECF5E47" w14:textId="19D48139" w:rsidR="002A6774" w:rsidRPr="005D760F" w:rsidRDefault="00BD5D09"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 expected barriers</w:t>
            </w:r>
            <w:r w:rsidR="002A6774">
              <w:rPr>
                <w:rFonts w:cs="Arial"/>
                <w:sz w:val="18"/>
                <w:szCs w:val="18"/>
              </w:rPr>
              <w:t> </w:t>
            </w:r>
          </w:p>
        </w:tc>
      </w:tr>
      <w:tr w:rsidR="008B27B6" w:rsidRPr="00E3664B" w14:paraId="5BB7E390"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7CDCC76F" w14:textId="3C71D094" w:rsidR="002A6774" w:rsidRDefault="002A6774" w:rsidP="002A6774">
            <w:pPr>
              <w:suppressAutoHyphens/>
              <w:spacing w:line="240" w:lineRule="auto"/>
              <w:rPr>
                <w:rFonts w:cs="Arial"/>
                <w:color w:val="FF0000"/>
                <w:sz w:val="18"/>
                <w:szCs w:val="18"/>
              </w:rPr>
            </w:pPr>
            <w:r>
              <w:rPr>
                <w:rFonts w:cs="Arial"/>
                <w:sz w:val="18"/>
                <w:szCs w:val="18"/>
              </w:rPr>
              <w:t>5 (EM9)</w:t>
            </w:r>
          </w:p>
        </w:tc>
        <w:tc>
          <w:tcPr>
            <w:tcW w:w="293" w:type="pct"/>
            <w:shd w:val="clear" w:color="auto" w:fill="E2EFD9" w:themeFill="accent6" w:themeFillTint="33"/>
          </w:tcPr>
          <w:p w14:paraId="3CDBE7AF" w14:textId="54EDF153"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Implement EV (rapid and fast) on-street programme  </w:t>
            </w:r>
          </w:p>
        </w:tc>
        <w:tc>
          <w:tcPr>
            <w:tcW w:w="268" w:type="pct"/>
            <w:shd w:val="clear" w:color="auto" w:fill="E2EFD9" w:themeFill="accent6" w:themeFillTint="33"/>
          </w:tcPr>
          <w:p w14:paraId="5B53EFE0" w14:textId="474FED7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3E265345" w14:textId="6055F92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Procuring alternative Refuelling infrastructure to promote Low Emission Vehicles, EV recharging, Gas fuel recharging</w:t>
            </w:r>
          </w:p>
        </w:tc>
        <w:tc>
          <w:tcPr>
            <w:tcW w:w="268" w:type="pct"/>
            <w:shd w:val="clear" w:color="auto" w:fill="E2EFD9" w:themeFill="accent6" w:themeFillTint="33"/>
          </w:tcPr>
          <w:p w14:paraId="5F55514F" w14:textId="5D43F78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671D3C55" w14:textId="137ADB6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2027</w:t>
            </w:r>
          </w:p>
        </w:tc>
        <w:tc>
          <w:tcPr>
            <w:tcW w:w="317" w:type="pct"/>
            <w:shd w:val="clear" w:color="auto" w:fill="E2EFD9" w:themeFill="accent6" w:themeFillTint="33"/>
          </w:tcPr>
          <w:p w14:paraId="67A073A6" w14:textId="6B3F68C3"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 commercial delivery partner</w:t>
            </w:r>
          </w:p>
        </w:tc>
        <w:tc>
          <w:tcPr>
            <w:tcW w:w="268" w:type="pct"/>
            <w:shd w:val="clear" w:color="auto" w:fill="E2EFD9" w:themeFill="accent6" w:themeFillTint="33"/>
          </w:tcPr>
          <w:p w14:paraId="1181A14B" w14:textId="7AA2EE1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Local Electric Vehicle Infrastructure (LEVI) fund</w:t>
            </w:r>
          </w:p>
        </w:tc>
        <w:tc>
          <w:tcPr>
            <w:tcW w:w="244" w:type="pct"/>
            <w:shd w:val="clear" w:color="auto" w:fill="E2EFD9" w:themeFill="accent6" w:themeFillTint="33"/>
          </w:tcPr>
          <w:p w14:paraId="351562A2" w14:textId="5794958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1075B706" w14:textId="7A3996F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0EFB1050" w14:textId="0E62492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50AD8A34" w14:textId="6B9DC7C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2C9BCF20" w14:textId="27B5856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Reduced emissions from private vehicles. Measure contributes to following pollutant reductions: </w:t>
            </w:r>
            <w:r>
              <w:rPr>
                <w:rFonts w:cs="Arial"/>
                <w:sz w:val="18"/>
                <w:szCs w:val="18"/>
              </w:rPr>
              <w:br/>
              <w:t>NO</w:t>
            </w:r>
            <w:r w:rsidRPr="00503384">
              <w:rPr>
                <w:rFonts w:cs="Arial"/>
                <w:sz w:val="18"/>
                <w:szCs w:val="18"/>
                <w:vertAlign w:val="subscript"/>
              </w:rPr>
              <w:t>2</w:t>
            </w:r>
            <w:r>
              <w:rPr>
                <w:rFonts w:cs="Arial"/>
                <w:sz w:val="18"/>
                <w:szCs w:val="18"/>
              </w:rPr>
              <w:t xml:space="preserve">: </w:t>
            </w:r>
            <w:r w:rsidRPr="007B7676">
              <w:rPr>
                <w:rFonts w:cs="Arial"/>
                <w:sz w:val="18"/>
                <w:szCs w:val="18"/>
              </w:rPr>
              <w:t>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w:t>
            </w:r>
            <w:r>
              <w:rPr>
                <w:rFonts w:cs="Arial"/>
                <w:sz w:val="18"/>
                <w:szCs w:val="18"/>
              </w:rPr>
              <w:t>12.6%)</w:t>
            </w:r>
            <w:r>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065B71E" w14:textId="35C65C5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charging points installed, number of charges per charging point</w:t>
            </w:r>
          </w:p>
        </w:tc>
        <w:tc>
          <w:tcPr>
            <w:tcW w:w="463" w:type="pct"/>
            <w:shd w:val="clear" w:color="auto" w:fill="E2EFD9" w:themeFill="accent6" w:themeFillTint="33"/>
          </w:tcPr>
          <w:p w14:paraId="092EF875" w14:textId="683DBA0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r w:rsidR="00BD5D09">
              <w:rPr>
                <w:rFonts w:cs="Arial"/>
                <w:sz w:val="18"/>
                <w:szCs w:val="18"/>
              </w:rPr>
              <w:t>Strategy currently in development, due to be published April 2024 </w:t>
            </w:r>
          </w:p>
        </w:tc>
        <w:tc>
          <w:tcPr>
            <w:tcW w:w="489" w:type="pct"/>
            <w:shd w:val="clear" w:color="auto" w:fill="E2EFD9" w:themeFill="accent6" w:themeFillTint="33"/>
          </w:tcPr>
          <w:p w14:paraId="69FE4C09" w14:textId="086E18F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r w:rsidR="00BD5D09">
              <w:rPr>
                <w:rFonts w:cs="Arial"/>
                <w:sz w:val="18"/>
                <w:szCs w:val="18"/>
              </w:rPr>
              <w:t>No expected barriers</w:t>
            </w:r>
          </w:p>
        </w:tc>
      </w:tr>
      <w:tr w:rsidR="008B27B6" w:rsidRPr="00E3664B" w14:paraId="6D9E1970"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4312B920" w14:textId="04C4E098" w:rsidR="002A6774" w:rsidRDefault="002A6774" w:rsidP="002A6774">
            <w:pPr>
              <w:suppressAutoHyphens/>
              <w:spacing w:line="240" w:lineRule="auto"/>
              <w:rPr>
                <w:rFonts w:cs="Arial"/>
                <w:color w:val="FF0000"/>
                <w:sz w:val="18"/>
                <w:szCs w:val="18"/>
              </w:rPr>
            </w:pPr>
            <w:r>
              <w:rPr>
                <w:rFonts w:cs="Arial"/>
                <w:sz w:val="18"/>
                <w:szCs w:val="18"/>
              </w:rPr>
              <w:t>6 (EM10)</w:t>
            </w:r>
          </w:p>
        </w:tc>
        <w:tc>
          <w:tcPr>
            <w:tcW w:w="293" w:type="pct"/>
            <w:shd w:val="clear" w:color="auto" w:fill="E2EFD9" w:themeFill="accent6" w:themeFillTint="33"/>
          </w:tcPr>
          <w:p w14:paraId="4054D392" w14:textId="7345CE65"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Develop and implement an electric car club across the borough </w:t>
            </w:r>
          </w:p>
        </w:tc>
        <w:tc>
          <w:tcPr>
            <w:tcW w:w="268" w:type="pct"/>
            <w:shd w:val="clear" w:color="auto" w:fill="E2EFD9" w:themeFill="accent6" w:themeFillTint="33"/>
          </w:tcPr>
          <w:p w14:paraId="114564CE" w14:textId="580BE0F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Alternatives to private vehicle use </w:t>
            </w:r>
          </w:p>
        </w:tc>
        <w:tc>
          <w:tcPr>
            <w:tcW w:w="317" w:type="pct"/>
            <w:shd w:val="clear" w:color="auto" w:fill="E2EFD9" w:themeFill="accent6" w:themeFillTint="33"/>
          </w:tcPr>
          <w:p w14:paraId="2E38E15E" w14:textId="5AC3441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Car clubs </w:t>
            </w:r>
          </w:p>
        </w:tc>
        <w:tc>
          <w:tcPr>
            <w:tcW w:w="268" w:type="pct"/>
            <w:shd w:val="clear" w:color="auto" w:fill="E2EFD9" w:themeFill="accent6" w:themeFillTint="33"/>
          </w:tcPr>
          <w:p w14:paraId="572AA545" w14:textId="1019168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1A1324E8" w14:textId="2D830F6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E2EFD9" w:themeFill="accent6" w:themeFillTint="33"/>
          </w:tcPr>
          <w:p w14:paraId="6B7B8DC7" w14:textId="17F245F3"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 commercial delivery partner</w:t>
            </w:r>
          </w:p>
        </w:tc>
        <w:tc>
          <w:tcPr>
            <w:tcW w:w="268" w:type="pct"/>
            <w:shd w:val="clear" w:color="auto" w:fill="E2EFD9" w:themeFill="accent6" w:themeFillTint="33"/>
          </w:tcPr>
          <w:p w14:paraId="7DFAFFA7" w14:textId="44722DD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Section 106</w:t>
            </w:r>
          </w:p>
        </w:tc>
        <w:tc>
          <w:tcPr>
            <w:tcW w:w="244" w:type="pct"/>
            <w:shd w:val="clear" w:color="auto" w:fill="E2EFD9" w:themeFill="accent6" w:themeFillTint="33"/>
          </w:tcPr>
          <w:p w14:paraId="212EAD52" w14:textId="6B55F55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16BBDBD0" w14:textId="5BB1C8B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3FEC76CE" w14:textId="4E6E2B0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£500k-£1m</w:t>
            </w:r>
          </w:p>
        </w:tc>
        <w:tc>
          <w:tcPr>
            <w:tcW w:w="244" w:type="pct"/>
            <w:shd w:val="clear" w:color="auto" w:fill="E2EFD9" w:themeFill="accent6" w:themeFillTint="33"/>
          </w:tcPr>
          <w:p w14:paraId="6D96982C" w14:textId="7374E8B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4558B9EF" w14:textId="7E5A747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emissions from private vehicles. Measure contributes to following po</w:t>
            </w:r>
            <w:r w:rsidRPr="007B7676">
              <w:rPr>
                <w:rFonts w:cs="Arial"/>
                <w:sz w:val="18"/>
                <w:szCs w:val="18"/>
              </w:rPr>
              <w:t xml:space="preserve">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g/m3</w:t>
            </w:r>
            <w:r w:rsidRPr="007B7676">
              <w:rPr>
                <w:rFonts w:cs="Arial"/>
                <w:sz w:val="18"/>
                <w:szCs w:val="18"/>
              </w:rPr>
              <w:br/>
              <w:t>CO</w:t>
            </w:r>
            <w:r w:rsidRPr="007B7676">
              <w:rPr>
                <w:rFonts w:cs="Arial"/>
                <w:sz w:val="18"/>
                <w:szCs w:val="18"/>
                <w:vertAlign w:val="subscript"/>
              </w:rPr>
              <w:t>2</w:t>
            </w:r>
            <w:r w:rsidRPr="007B7676">
              <w:rPr>
                <w:rFonts w:cs="Arial"/>
                <w:sz w:val="18"/>
                <w:szCs w:val="18"/>
              </w:rPr>
              <w:t xml:space="preserve">: 102 kt </w:t>
            </w:r>
            <w:r>
              <w:rPr>
                <w:rFonts w:cs="Arial"/>
                <w:sz w:val="18"/>
                <w:szCs w:val="18"/>
              </w:rPr>
              <w:t>(12.6%)</w:t>
            </w:r>
            <w:r>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7E1D9AA" w14:textId="4044D9D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journeys </w:t>
            </w:r>
            <w:r w:rsidR="00503384">
              <w:rPr>
                <w:rFonts w:cs="Arial"/>
                <w:sz w:val="18"/>
                <w:szCs w:val="18"/>
              </w:rPr>
              <w:t>undertaken</w:t>
            </w:r>
            <w:r>
              <w:rPr>
                <w:rFonts w:cs="Arial"/>
                <w:sz w:val="18"/>
                <w:szCs w:val="18"/>
              </w:rPr>
              <w:t xml:space="preserve"> by car club vehicle </w:t>
            </w:r>
          </w:p>
        </w:tc>
        <w:tc>
          <w:tcPr>
            <w:tcW w:w="463" w:type="pct"/>
            <w:shd w:val="clear" w:color="auto" w:fill="E2EFD9" w:themeFill="accent6" w:themeFillTint="33"/>
          </w:tcPr>
          <w:p w14:paraId="2E6858C7" w14:textId="231571A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Officer for programme delivery in place, due to be developed after EV Strategy. </w:t>
            </w:r>
          </w:p>
        </w:tc>
        <w:tc>
          <w:tcPr>
            <w:tcW w:w="489" w:type="pct"/>
            <w:shd w:val="clear" w:color="auto" w:fill="E2EFD9" w:themeFill="accent6" w:themeFillTint="33"/>
          </w:tcPr>
          <w:p w14:paraId="7422943F" w14:textId="03B7EB2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Barriers may include location availability, development conflicts </w:t>
            </w:r>
          </w:p>
        </w:tc>
      </w:tr>
      <w:tr w:rsidR="008B27B6" w:rsidRPr="00E3664B" w14:paraId="139DB0F2"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536F140F" w14:textId="6349B6DE" w:rsidR="002A6774" w:rsidRDefault="002A6774" w:rsidP="002A6774">
            <w:pPr>
              <w:suppressAutoHyphens/>
              <w:spacing w:line="240" w:lineRule="auto"/>
              <w:rPr>
                <w:rFonts w:cs="Arial"/>
                <w:color w:val="FF0000"/>
                <w:sz w:val="18"/>
                <w:szCs w:val="18"/>
              </w:rPr>
            </w:pPr>
            <w:r>
              <w:rPr>
                <w:rFonts w:cs="Arial"/>
                <w:sz w:val="18"/>
                <w:szCs w:val="18"/>
              </w:rPr>
              <w:t>7 (EM11)</w:t>
            </w:r>
          </w:p>
        </w:tc>
        <w:tc>
          <w:tcPr>
            <w:tcW w:w="293" w:type="pct"/>
            <w:shd w:val="clear" w:color="auto" w:fill="E2EFD9" w:themeFill="accent6" w:themeFillTint="33"/>
          </w:tcPr>
          <w:p w14:paraId="67616AA0" w14:textId="7D6A1AE4"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Deliver Defra funded taxi demo project</w:t>
            </w:r>
          </w:p>
        </w:tc>
        <w:tc>
          <w:tcPr>
            <w:tcW w:w="268" w:type="pct"/>
            <w:shd w:val="clear" w:color="auto" w:fill="E2EFD9" w:themeFill="accent6" w:themeFillTint="33"/>
          </w:tcPr>
          <w:p w14:paraId="1F446600" w14:textId="6A96898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1E09DABB" w14:textId="2C27AF4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Taxi emission incentives</w:t>
            </w:r>
          </w:p>
        </w:tc>
        <w:tc>
          <w:tcPr>
            <w:tcW w:w="268" w:type="pct"/>
            <w:shd w:val="clear" w:color="auto" w:fill="E2EFD9" w:themeFill="accent6" w:themeFillTint="33"/>
          </w:tcPr>
          <w:p w14:paraId="7B18EB68" w14:textId="097C147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060BECD2" w14:textId="782981E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E2EFD9" w:themeFill="accent6" w:themeFillTint="33"/>
          </w:tcPr>
          <w:p w14:paraId="1288E778" w14:textId="6B6A4E7E"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Team, Taxi Licensing Team, taxi trade </w:t>
            </w:r>
          </w:p>
        </w:tc>
        <w:tc>
          <w:tcPr>
            <w:tcW w:w="268" w:type="pct"/>
            <w:shd w:val="clear" w:color="auto" w:fill="E2EFD9" w:themeFill="accent6" w:themeFillTint="33"/>
          </w:tcPr>
          <w:p w14:paraId="29249C65" w14:textId="6852191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Defra </w:t>
            </w:r>
          </w:p>
        </w:tc>
        <w:tc>
          <w:tcPr>
            <w:tcW w:w="244" w:type="pct"/>
            <w:shd w:val="clear" w:color="auto" w:fill="E2EFD9" w:themeFill="accent6" w:themeFillTint="33"/>
          </w:tcPr>
          <w:p w14:paraId="7C909233" w14:textId="3099F8D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Yes</w:t>
            </w:r>
          </w:p>
        </w:tc>
        <w:tc>
          <w:tcPr>
            <w:tcW w:w="244" w:type="pct"/>
            <w:shd w:val="clear" w:color="auto" w:fill="E2EFD9" w:themeFill="accent6" w:themeFillTint="33"/>
          </w:tcPr>
          <w:p w14:paraId="5145A19E" w14:textId="1DEC871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7756043C" w14:textId="1606F9D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£100k-£500k</w:t>
            </w:r>
          </w:p>
        </w:tc>
        <w:tc>
          <w:tcPr>
            <w:tcW w:w="244" w:type="pct"/>
            <w:shd w:val="clear" w:color="auto" w:fill="E2EFD9" w:themeFill="accent6" w:themeFillTint="33"/>
          </w:tcPr>
          <w:p w14:paraId="39ED69D5" w14:textId="24AB4BF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6401E9EB" w14:textId="6D420B91"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Reduced emissions from taxis. Measure contributes to the following pollutant reductions:</w:t>
            </w:r>
            <w:r w:rsidRPr="007B7676">
              <w:rPr>
                <w:rFonts w:cs="Arial"/>
                <w:sz w:val="18"/>
                <w:szCs w:val="18"/>
              </w:rPr>
              <w:br/>
              <w:t>NO</w:t>
            </w:r>
            <w:r w:rsidRPr="007B7676">
              <w:rPr>
                <w:rFonts w:cs="Arial"/>
                <w:sz w:val="18"/>
                <w:szCs w:val="18"/>
                <w:vertAlign w:val="subscript"/>
              </w:rPr>
              <w:t>2</w:t>
            </w:r>
            <w:r w:rsidRPr="007B7676">
              <w:rPr>
                <w:rFonts w:cs="Arial"/>
                <w:sz w:val="18"/>
                <w:szCs w:val="18"/>
              </w:rPr>
              <w:t>: 2.61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0.21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0.18</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143 Kt (18.7%)</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3877B889" w14:textId="2938A2E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electric vehicle taxi registrations</w:t>
            </w:r>
          </w:p>
        </w:tc>
        <w:tc>
          <w:tcPr>
            <w:tcW w:w="463" w:type="pct"/>
            <w:shd w:val="clear" w:color="auto" w:fill="E2EFD9" w:themeFill="accent6" w:themeFillTint="33"/>
          </w:tcPr>
          <w:p w14:paraId="63EF2347" w14:textId="7CCF5EB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 progress to date. Intending to recommence project planning Q4 2024  </w:t>
            </w:r>
          </w:p>
        </w:tc>
        <w:tc>
          <w:tcPr>
            <w:tcW w:w="489" w:type="pct"/>
            <w:shd w:val="clear" w:color="auto" w:fill="E2EFD9" w:themeFill="accent6" w:themeFillTint="33"/>
          </w:tcPr>
          <w:p w14:paraId="68294DE1" w14:textId="3A72C0D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Potential barrier may be low interest / uptake due to perceived costs of electric vehicles</w:t>
            </w:r>
          </w:p>
        </w:tc>
      </w:tr>
      <w:tr w:rsidR="008B27B6" w:rsidRPr="00E3664B" w14:paraId="73A4C30D"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02C7F97F" w14:textId="31271C52" w:rsidR="002A6774" w:rsidRDefault="002A6774" w:rsidP="002A6774">
            <w:pPr>
              <w:suppressAutoHyphens/>
              <w:spacing w:line="240" w:lineRule="auto"/>
              <w:rPr>
                <w:rFonts w:cs="Arial"/>
                <w:color w:val="FF0000"/>
                <w:sz w:val="18"/>
                <w:szCs w:val="18"/>
              </w:rPr>
            </w:pPr>
            <w:r>
              <w:rPr>
                <w:rFonts w:cs="Arial"/>
                <w:sz w:val="18"/>
                <w:szCs w:val="18"/>
              </w:rPr>
              <w:t>8 (EM12)</w:t>
            </w:r>
          </w:p>
        </w:tc>
        <w:tc>
          <w:tcPr>
            <w:tcW w:w="293" w:type="pct"/>
            <w:shd w:val="clear" w:color="auto" w:fill="E2EFD9" w:themeFill="accent6" w:themeFillTint="33"/>
          </w:tcPr>
          <w:p w14:paraId="4CBB1E54" w14:textId="0A525FBB"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Install a network of rapid charging facilities to support plug-in taxis</w:t>
            </w:r>
          </w:p>
        </w:tc>
        <w:tc>
          <w:tcPr>
            <w:tcW w:w="268" w:type="pct"/>
            <w:shd w:val="clear" w:color="auto" w:fill="E2EFD9" w:themeFill="accent6" w:themeFillTint="33"/>
          </w:tcPr>
          <w:p w14:paraId="41876844" w14:textId="152F4EB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02B7CAD4" w14:textId="52EABA4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Procuring alternative Refuelling infrastructure to promote Low Emission Vehicles, EV recharging, Gas fuel recharging</w:t>
            </w:r>
          </w:p>
        </w:tc>
        <w:tc>
          <w:tcPr>
            <w:tcW w:w="268" w:type="pct"/>
            <w:shd w:val="clear" w:color="auto" w:fill="E2EFD9" w:themeFill="accent6" w:themeFillTint="33"/>
          </w:tcPr>
          <w:p w14:paraId="5FECDD7D" w14:textId="11F86DA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1CF9E047" w14:textId="0292E32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2027</w:t>
            </w:r>
          </w:p>
        </w:tc>
        <w:tc>
          <w:tcPr>
            <w:tcW w:w="317" w:type="pct"/>
            <w:shd w:val="clear" w:color="auto" w:fill="E2EFD9" w:themeFill="accent6" w:themeFillTint="33"/>
          </w:tcPr>
          <w:p w14:paraId="391DC26F" w14:textId="58202574"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Team, commercial delivery partner</w:t>
            </w:r>
          </w:p>
        </w:tc>
        <w:tc>
          <w:tcPr>
            <w:tcW w:w="268" w:type="pct"/>
            <w:shd w:val="clear" w:color="auto" w:fill="E2EFD9" w:themeFill="accent6" w:themeFillTint="33"/>
          </w:tcPr>
          <w:p w14:paraId="45B8F078" w14:textId="6449C36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Office for Zero Emission Vehicles (OZEV), Section 106</w:t>
            </w:r>
          </w:p>
        </w:tc>
        <w:tc>
          <w:tcPr>
            <w:tcW w:w="244" w:type="pct"/>
            <w:shd w:val="clear" w:color="auto" w:fill="E2EFD9" w:themeFill="accent6" w:themeFillTint="33"/>
          </w:tcPr>
          <w:p w14:paraId="62EE04C2" w14:textId="7CD97B3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60396629" w14:textId="3E57D28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15110B03" w14:textId="4A355DA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49E03CF1" w14:textId="7C561E1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3A8ED500" w14:textId="5D2B4C73"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Reduced emissions from taxis. Measure contributes to the following pollutant reductions:</w:t>
            </w:r>
            <w:r w:rsidRPr="007B7676">
              <w:rPr>
                <w:rFonts w:cs="Arial"/>
                <w:sz w:val="18"/>
                <w:szCs w:val="18"/>
              </w:rPr>
              <w:br/>
              <w:t>NO</w:t>
            </w:r>
            <w:r w:rsidRPr="007B7676">
              <w:rPr>
                <w:rFonts w:cs="Arial"/>
                <w:sz w:val="18"/>
                <w:szCs w:val="18"/>
                <w:vertAlign w:val="subscript"/>
              </w:rPr>
              <w:t>2</w:t>
            </w:r>
            <w:r w:rsidRPr="007B7676">
              <w:rPr>
                <w:rFonts w:cs="Arial"/>
                <w:sz w:val="18"/>
                <w:szCs w:val="18"/>
              </w:rPr>
              <w:t>: 2.61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0.21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0.18</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143 Kt (18.7%)</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148E269D" w14:textId="4D22D77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charging points installed, number of charges per charging point</w:t>
            </w:r>
          </w:p>
        </w:tc>
        <w:tc>
          <w:tcPr>
            <w:tcW w:w="463" w:type="pct"/>
            <w:shd w:val="clear" w:color="auto" w:fill="E2EFD9" w:themeFill="accent6" w:themeFillTint="33"/>
          </w:tcPr>
          <w:p w14:paraId="2C6BFEB2" w14:textId="4CB1F1A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E2EFD9" w:themeFill="accent6" w:themeFillTint="33"/>
          </w:tcPr>
          <w:p w14:paraId="4616CC34" w14:textId="5686BA8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r w:rsidR="00BD5D09">
              <w:rPr>
                <w:rFonts w:cs="Arial"/>
                <w:sz w:val="18"/>
                <w:szCs w:val="18"/>
              </w:rPr>
              <w:t>Main constraint currently is officer resource. Project will recommence once resource is available.</w:t>
            </w:r>
          </w:p>
        </w:tc>
      </w:tr>
      <w:tr w:rsidR="008B27B6" w:rsidRPr="00E3664B" w14:paraId="5B149F3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11B116E5" w14:textId="2B552DDE" w:rsidR="002A6774" w:rsidRDefault="002A6774" w:rsidP="002A6774">
            <w:pPr>
              <w:suppressAutoHyphens/>
              <w:spacing w:line="240" w:lineRule="auto"/>
              <w:rPr>
                <w:rFonts w:cs="Arial"/>
                <w:color w:val="FF0000"/>
                <w:sz w:val="18"/>
                <w:szCs w:val="18"/>
              </w:rPr>
            </w:pPr>
            <w:r>
              <w:rPr>
                <w:rFonts w:cs="Arial"/>
                <w:sz w:val="18"/>
                <w:szCs w:val="18"/>
              </w:rPr>
              <w:t>9 (EM14)</w:t>
            </w:r>
          </w:p>
        </w:tc>
        <w:tc>
          <w:tcPr>
            <w:tcW w:w="293" w:type="pct"/>
            <w:shd w:val="clear" w:color="auto" w:fill="DEEAF6" w:themeFill="accent5" w:themeFillTint="33"/>
          </w:tcPr>
          <w:p w14:paraId="51C80A02" w14:textId="4B854994"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Support delivery of government funded retrofit projects (e.g. HUG2)</w:t>
            </w:r>
          </w:p>
        </w:tc>
        <w:tc>
          <w:tcPr>
            <w:tcW w:w="268" w:type="pct"/>
            <w:shd w:val="clear" w:color="auto" w:fill="DEEAF6" w:themeFill="accent5" w:themeFillTint="33"/>
          </w:tcPr>
          <w:p w14:paraId="0234DF20" w14:textId="5364856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Policy guidance and development control</w:t>
            </w:r>
          </w:p>
        </w:tc>
        <w:tc>
          <w:tcPr>
            <w:tcW w:w="317" w:type="pct"/>
            <w:shd w:val="clear" w:color="auto" w:fill="DEEAF6" w:themeFill="accent5" w:themeFillTint="33"/>
          </w:tcPr>
          <w:p w14:paraId="41606D6C" w14:textId="525EF46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Other</w:t>
            </w:r>
          </w:p>
        </w:tc>
        <w:tc>
          <w:tcPr>
            <w:tcW w:w="268" w:type="pct"/>
            <w:shd w:val="clear" w:color="auto" w:fill="DEEAF6" w:themeFill="accent5" w:themeFillTint="33"/>
          </w:tcPr>
          <w:p w14:paraId="2B5294D1" w14:textId="1FD2AC1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DEEAF6" w:themeFill="accent5" w:themeFillTint="33"/>
          </w:tcPr>
          <w:p w14:paraId="1A23D278" w14:textId="701FFF2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DEEAF6" w:themeFill="accent5" w:themeFillTint="33"/>
          </w:tcPr>
          <w:p w14:paraId="6B4E1670" w14:textId="168CB2D2"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Community Engagement and Housing Teams, GSENZH, Agility ECO</w:t>
            </w:r>
          </w:p>
        </w:tc>
        <w:tc>
          <w:tcPr>
            <w:tcW w:w="268" w:type="pct"/>
            <w:shd w:val="clear" w:color="auto" w:fill="DEEAF6" w:themeFill="accent5" w:themeFillTint="33"/>
          </w:tcPr>
          <w:p w14:paraId="2DBFC684" w14:textId="2EB4DD8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Department for Energy Security and Net Zero (DESNZ)</w:t>
            </w:r>
          </w:p>
        </w:tc>
        <w:tc>
          <w:tcPr>
            <w:tcW w:w="244" w:type="pct"/>
            <w:shd w:val="clear" w:color="auto" w:fill="DEEAF6" w:themeFill="accent5" w:themeFillTint="33"/>
          </w:tcPr>
          <w:p w14:paraId="312F8B4C" w14:textId="6BA4846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07FFB82E" w14:textId="21791C6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DEEAF6" w:themeFill="accent5" w:themeFillTint="33"/>
          </w:tcPr>
          <w:p w14:paraId="784980D1" w14:textId="3E431D9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£500k-£1m</w:t>
            </w:r>
          </w:p>
        </w:tc>
        <w:tc>
          <w:tcPr>
            <w:tcW w:w="244" w:type="pct"/>
            <w:shd w:val="clear" w:color="auto" w:fill="DEEAF6" w:themeFill="accent5" w:themeFillTint="33"/>
          </w:tcPr>
          <w:p w14:paraId="36DFD666" w14:textId="2FD30DF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DEEAF6" w:themeFill="accent5" w:themeFillTint="33"/>
          </w:tcPr>
          <w:p w14:paraId="4430E64A" w14:textId="4ECB639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emissions from buildings due to better heat retention (not modelled)</w:t>
            </w:r>
          </w:p>
        </w:tc>
        <w:tc>
          <w:tcPr>
            <w:tcW w:w="342" w:type="pct"/>
            <w:shd w:val="clear" w:color="auto" w:fill="DEEAF6" w:themeFill="accent5" w:themeFillTint="33"/>
          </w:tcPr>
          <w:p w14:paraId="22FF798E" w14:textId="6BB988A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referrals made and installs completed</w:t>
            </w:r>
          </w:p>
        </w:tc>
        <w:tc>
          <w:tcPr>
            <w:tcW w:w="463" w:type="pct"/>
            <w:shd w:val="clear" w:color="auto" w:fill="DEEAF6" w:themeFill="accent5" w:themeFillTint="33"/>
          </w:tcPr>
          <w:p w14:paraId="3DE6F9CE" w14:textId="47BC49D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Referrals for scheme have begun, will be supported by internal promotion</w:t>
            </w:r>
          </w:p>
        </w:tc>
        <w:tc>
          <w:tcPr>
            <w:tcW w:w="489" w:type="pct"/>
            <w:shd w:val="clear" w:color="auto" w:fill="DEEAF6" w:themeFill="accent5" w:themeFillTint="33"/>
          </w:tcPr>
          <w:p w14:paraId="610A16AC" w14:textId="40F94B2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r w:rsidR="00BD5D09">
              <w:rPr>
                <w:rFonts w:cs="Arial"/>
                <w:sz w:val="18"/>
                <w:szCs w:val="18"/>
              </w:rPr>
              <w:t xml:space="preserve">Currently devising targeting plan to communicate effectively with residents </w:t>
            </w:r>
          </w:p>
        </w:tc>
      </w:tr>
      <w:tr w:rsidR="008B27B6" w:rsidRPr="00E3664B" w14:paraId="2C9F19C5"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35B5FAA6" w14:textId="5A4A43AE" w:rsidR="002A6774" w:rsidRDefault="002A6774" w:rsidP="002A6774">
            <w:pPr>
              <w:suppressAutoHyphens/>
              <w:spacing w:line="240" w:lineRule="auto"/>
              <w:rPr>
                <w:rFonts w:cs="Arial"/>
                <w:color w:val="FF0000"/>
                <w:sz w:val="18"/>
                <w:szCs w:val="18"/>
              </w:rPr>
            </w:pPr>
            <w:r>
              <w:rPr>
                <w:rFonts w:cs="Arial"/>
                <w:sz w:val="18"/>
                <w:szCs w:val="18"/>
              </w:rPr>
              <w:t>10 (EM15)</w:t>
            </w:r>
          </w:p>
        </w:tc>
        <w:tc>
          <w:tcPr>
            <w:tcW w:w="293" w:type="pct"/>
            <w:shd w:val="clear" w:color="auto" w:fill="DEEAF6" w:themeFill="accent5" w:themeFillTint="33"/>
          </w:tcPr>
          <w:p w14:paraId="215D81F5" w14:textId="7418190A"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Support implementation of District Heating plans </w:t>
            </w:r>
          </w:p>
        </w:tc>
        <w:tc>
          <w:tcPr>
            <w:tcW w:w="268" w:type="pct"/>
            <w:shd w:val="clear" w:color="auto" w:fill="DEEAF6" w:themeFill="accent5" w:themeFillTint="33"/>
          </w:tcPr>
          <w:p w14:paraId="1B4F4AB4" w14:textId="5B8582B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low emission plant</w:t>
            </w:r>
          </w:p>
        </w:tc>
        <w:tc>
          <w:tcPr>
            <w:tcW w:w="317" w:type="pct"/>
            <w:shd w:val="clear" w:color="auto" w:fill="DEEAF6" w:themeFill="accent5" w:themeFillTint="33"/>
          </w:tcPr>
          <w:p w14:paraId="4BF1A5CB" w14:textId="2BF406C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Other</w:t>
            </w:r>
          </w:p>
        </w:tc>
        <w:tc>
          <w:tcPr>
            <w:tcW w:w="268" w:type="pct"/>
            <w:shd w:val="clear" w:color="auto" w:fill="DEEAF6" w:themeFill="accent5" w:themeFillTint="33"/>
          </w:tcPr>
          <w:p w14:paraId="107244C0" w14:textId="4BB52D3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DEEAF6" w:themeFill="accent5" w:themeFillTint="33"/>
          </w:tcPr>
          <w:p w14:paraId="0AC431BA" w14:textId="0094EC9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2028</w:t>
            </w:r>
          </w:p>
        </w:tc>
        <w:tc>
          <w:tcPr>
            <w:tcW w:w="317" w:type="pct"/>
            <w:shd w:val="clear" w:color="auto" w:fill="DEEAF6" w:themeFill="accent5" w:themeFillTint="33"/>
          </w:tcPr>
          <w:p w14:paraId="23B453FC" w14:textId="6C45A450"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Development Management, Planning Policy and  Carbon &amp; Sustainability teams, developers, commercial delivery partner </w:t>
            </w:r>
          </w:p>
        </w:tc>
        <w:tc>
          <w:tcPr>
            <w:tcW w:w="268" w:type="pct"/>
            <w:shd w:val="clear" w:color="auto" w:fill="DEEAF6" w:themeFill="accent5" w:themeFillTint="33"/>
          </w:tcPr>
          <w:p w14:paraId="5806B2DA" w14:textId="46BD7F2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Commercially led</w:t>
            </w:r>
          </w:p>
        </w:tc>
        <w:tc>
          <w:tcPr>
            <w:tcW w:w="244" w:type="pct"/>
            <w:shd w:val="clear" w:color="auto" w:fill="DEEAF6" w:themeFill="accent5" w:themeFillTint="33"/>
          </w:tcPr>
          <w:p w14:paraId="140839E7" w14:textId="6EC31A4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1AA20B31" w14:textId="4DD441A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DEEAF6" w:themeFill="accent5" w:themeFillTint="33"/>
          </w:tcPr>
          <w:p w14:paraId="55941A16" w14:textId="62E87E0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DEEAF6" w:themeFill="accent5" w:themeFillTint="33"/>
          </w:tcPr>
          <w:p w14:paraId="2DB99C2E" w14:textId="0C38FB1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DEEAF6" w:themeFill="accent5" w:themeFillTint="33"/>
          </w:tcPr>
          <w:p w14:paraId="44A9508D" w14:textId="01055B9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Reduced emissions from buildings as removes need for gas boilers (not modelled)</w:t>
            </w:r>
          </w:p>
        </w:tc>
        <w:tc>
          <w:tcPr>
            <w:tcW w:w="342" w:type="pct"/>
            <w:shd w:val="clear" w:color="auto" w:fill="DEEAF6" w:themeFill="accent5" w:themeFillTint="33"/>
          </w:tcPr>
          <w:p w14:paraId="2E8401C6" w14:textId="4596F56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Developer engagement, business cases produced</w:t>
            </w:r>
          </w:p>
        </w:tc>
        <w:tc>
          <w:tcPr>
            <w:tcW w:w="463" w:type="pct"/>
            <w:shd w:val="clear" w:color="auto" w:fill="DEEAF6" w:themeFill="accent5" w:themeFillTint="33"/>
          </w:tcPr>
          <w:p w14:paraId="1944C686" w14:textId="4B51A34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Proposals being developed, will need developer support to implement </w:t>
            </w:r>
          </w:p>
        </w:tc>
        <w:tc>
          <w:tcPr>
            <w:tcW w:w="489" w:type="pct"/>
            <w:shd w:val="clear" w:color="auto" w:fill="DEEAF6" w:themeFill="accent5" w:themeFillTint="33"/>
          </w:tcPr>
          <w:p w14:paraId="7E80C1FE" w14:textId="15F1897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p>
        </w:tc>
      </w:tr>
      <w:tr w:rsidR="006E6D92" w:rsidRPr="00E3664B" w14:paraId="077A8C1F"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4DDF3E46" w14:textId="5366B90C" w:rsidR="002A6774" w:rsidRDefault="002A6774" w:rsidP="002A6774">
            <w:pPr>
              <w:suppressAutoHyphens/>
              <w:spacing w:line="240" w:lineRule="auto"/>
              <w:rPr>
                <w:rFonts w:cs="Arial"/>
                <w:color w:val="FF0000"/>
                <w:sz w:val="18"/>
                <w:szCs w:val="18"/>
              </w:rPr>
            </w:pPr>
            <w:r>
              <w:rPr>
                <w:rFonts w:cs="Arial"/>
                <w:sz w:val="18"/>
                <w:szCs w:val="18"/>
              </w:rPr>
              <w:t>11 (EM19)</w:t>
            </w:r>
          </w:p>
        </w:tc>
        <w:tc>
          <w:tcPr>
            <w:tcW w:w="293" w:type="pct"/>
            <w:shd w:val="clear" w:color="auto" w:fill="E2EFD9" w:themeFill="accent6" w:themeFillTint="33"/>
          </w:tcPr>
          <w:p w14:paraId="0864ED28" w14:textId="75B44048" w:rsidR="002A6774" w:rsidRPr="00734DC2"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Re-introduce minimum emission standards for taxis</w:t>
            </w:r>
          </w:p>
        </w:tc>
        <w:tc>
          <w:tcPr>
            <w:tcW w:w="268" w:type="pct"/>
            <w:shd w:val="clear" w:color="auto" w:fill="E2EFD9" w:themeFill="accent6" w:themeFillTint="33"/>
          </w:tcPr>
          <w:p w14:paraId="22EAD653" w14:textId="1F1306C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Promoting low emission transport </w:t>
            </w:r>
          </w:p>
        </w:tc>
        <w:tc>
          <w:tcPr>
            <w:tcW w:w="317" w:type="pct"/>
            <w:shd w:val="clear" w:color="auto" w:fill="E2EFD9" w:themeFill="accent6" w:themeFillTint="33"/>
          </w:tcPr>
          <w:p w14:paraId="262CE9DF" w14:textId="37F7436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Taxi licensing conditions</w:t>
            </w:r>
          </w:p>
        </w:tc>
        <w:tc>
          <w:tcPr>
            <w:tcW w:w="268" w:type="pct"/>
            <w:shd w:val="clear" w:color="auto" w:fill="E2EFD9" w:themeFill="accent6" w:themeFillTint="33"/>
          </w:tcPr>
          <w:p w14:paraId="2414E0F0" w14:textId="23E0A03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293" w:type="pct"/>
            <w:shd w:val="clear" w:color="auto" w:fill="E2EFD9" w:themeFill="accent6" w:themeFillTint="33"/>
          </w:tcPr>
          <w:p w14:paraId="50061142" w14:textId="7B6FAF8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2027</w:t>
            </w:r>
          </w:p>
        </w:tc>
        <w:tc>
          <w:tcPr>
            <w:tcW w:w="317" w:type="pct"/>
            <w:shd w:val="clear" w:color="auto" w:fill="E2EFD9" w:themeFill="accent6" w:themeFillTint="33"/>
          </w:tcPr>
          <w:p w14:paraId="13D0E20D" w14:textId="06AEB64D"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and Taxi Licensing teams, taxi trade </w:t>
            </w:r>
          </w:p>
        </w:tc>
        <w:tc>
          <w:tcPr>
            <w:tcW w:w="268" w:type="pct"/>
            <w:shd w:val="clear" w:color="auto" w:fill="E2EFD9" w:themeFill="accent6" w:themeFillTint="33"/>
          </w:tcPr>
          <w:p w14:paraId="4F7CD4BA" w14:textId="7794680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E2EFD9" w:themeFill="accent6" w:themeFillTint="33"/>
          </w:tcPr>
          <w:p w14:paraId="02F9D2C5" w14:textId="136806B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451771F5" w14:textId="18D6BEF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E2EFD9" w:themeFill="accent6" w:themeFillTint="33"/>
          </w:tcPr>
          <w:p w14:paraId="2F7BAC28" w14:textId="01683EA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£10k-£50k</w:t>
            </w:r>
          </w:p>
        </w:tc>
        <w:tc>
          <w:tcPr>
            <w:tcW w:w="244" w:type="pct"/>
            <w:shd w:val="clear" w:color="auto" w:fill="E2EFD9" w:themeFill="accent6" w:themeFillTint="33"/>
          </w:tcPr>
          <w:p w14:paraId="36885771" w14:textId="1738665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278F6CE2" w14:textId="42BA38FD"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Reduced emissions from taxis. Measure contributes to the following pollutant reductions:</w:t>
            </w:r>
            <w:r w:rsidRPr="007B7676">
              <w:rPr>
                <w:rFonts w:cs="Arial"/>
                <w:sz w:val="18"/>
                <w:szCs w:val="18"/>
              </w:rPr>
              <w:br/>
              <w:t>NO</w:t>
            </w:r>
            <w:r w:rsidRPr="007B7676">
              <w:rPr>
                <w:rFonts w:cs="Arial"/>
                <w:sz w:val="18"/>
                <w:szCs w:val="18"/>
                <w:vertAlign w:val="subscript"/>
              </w:rPr>
              <w:t>2</w:t>
            </w:r>
            <w:r w:rsidRPr="007B7676">
              <w:rPr>
                <w:rFonts w:cs="Arial"/>
                <w:sz w:val="18"/>
                <w:szCs w:val="18"/>
              </w:rPr>
              <w:t>: 2.61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0.21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r>
            <w:r w:rsidRPr="007B7676">
              <w:rPr>
                <w:rFonts w:cs="Arial"/>
                <w:sz w:val="18"/>
                <w:szCs w:val="18"/>
              </w:rPr>
              <w:lastRenderedPageBreak/>
              <w:t>PM</w:t>
            </w:r>
            <w:r w:rsidRPr="007B7676">
              <w:rPr>
                <w:rFonts w:cs="Arial"/>
                <w:sz w:val="18"/>
                <w:szCs w:val="18"/>
                <w:vertAlign w:val="subscript"/>
              </w:rPr>
              <w:t>2.5</w:t>
            </w:r>
            <w:r w:rsidRPr="007B7676">
              <w:rPr>
                <w:rFonts w:cs="Arial"/>
                <w:sz w:val="18"/>
                <w:szCs w:val="18"/>
              </w:rPr>
              <w:t>: 0.18</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143 Kt (18.7%)</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4450E3FB" w14:textId="5D3C3AA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lastRenderedPageBreak/>
              <w:t>Number of low emission taxi registrations</w:t>
            </w:r>
          </w:p>
        </w:tc>
        <w:tc>
          <w:tcPr>
            <w:tcW w:w="463" w:type="pct"/>
            <w:shd w:val="clear" w:color="auto" w:fill="E2EFD9" w:themeFill="accent6" w:themeFillTint="33"/>
          </w:tcPr>
          <w:p w14:paraId="6E46F1C4" w14:textId="6AA367E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 progress to date. Re-introduction will be considered after successful delivery of Defra funded taxi project </w:t>
            </w:r>
          </w:p>
        </w:tc>
        <w:tc>
          <w:tcPr>
            <w:tcW w:w="489" w:type="pct"/>
            <w:shd w:val="clear" w:color="auto" w:fill="E2EFD9" w:themeFill="accent6" w:themeFillTint="33"/>
          </w:tcPr>
          <w:p w14:paraId="32B5E763" w14:textId="19D68C3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w:t>
            </w:r>
          </w:p>
        </w:tc>
      </w:tr>
      <w:tr w:rsidR="008B27B6" w:rsidRPr="00E3664B" w14:paraId="732C74A2"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6820F0D7" w14:textId="621675DF" w:rsidR="002A6774" w:rsidRDefault="002A6774" w:rsidP="002A6774">
            <w:pPr>
              <w:suppressAutoHyphens/>
              <w:spacing w:line="240" w:lineRule="auto"/>
              <w:rPr>
                <w:rFonts w:cs="Arial"/>
                <w:color w:val="FF0000"/>
                <w:sz w:val="18"/>
                <w:szCs w:val="18"/>
              </w:rPr>
            </w:pPr>
            <w:r>
              <w:rPr>
                <w:rFonts w:cs="Arial"/>
                <w:sz w:val="18"/>
                <w:szCs w:val="18"/>
              </w:rPr>
              <w:t>12 (TM1)</w:t>
            </w:r>
          </w:p>
        </w:tc>
        <w:tc>
          <w:tcPr>
            <w:tcW w:w="293" w:type="pct"/>
            <w:shd w:val="clear" w:color="auto" w:fill="E2EFD9" w:themeFill="accent6" w:themeFillTint="33"/>
          </w:tcPr>
          <w:p w14:paraId="0A88C081" w14:textId="79474912" w:rsidR="00F15FEC"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Implement Slough </w:t>
            </w:r>
            <w:r w:rsidR="00F15FEC">
              <w:rPr>
                <w:rFonts w:cs="Arial"/>
                <w:sz w:val="18"/>
                <w:szCs w:val="18"/>
              </w:rPr>
              <w:t>Electric C</w:t>
            </w:r>
            <w:r>
              <w:rPr>
                <w:rFonts w:cs="Arial"/>
                <w:sz w:val="18"/>
                <w:szCs w:val="18"/>
              </w:rPr>
              <w:t xml:space="preserve">ycle and </w:t>
            </w:r>
          </w:p>
          <w:p w14:paraId="52C44611" w14:textId="121E28B1" w:rsidR="002A6774" w:rsidRPr="00734DC2"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Pr>
                <w:rFonts w:cs="Arial"/>
                <w:sz w:val="18"/>
                <w:szCs w:val="18"/>
              </w:rPr>
              <w:t>Scooter Infrastructure and Hire programme</w:t>
            </w:r>
          </w:p>
        </w:tc>
        <w:tc>
          <w:tcPr>
            <w:tcW w:w="268" w:type="pct"/>
            <w:shd w:val="clear" w:color="auto" w:fill="E2EFD9" w:themeFill="accent6" w:themeFillTint="33"/>
          </w:tcPr>
          <w:p w14:paraId="4EC0CB79" w14:textId="745488F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Transport Planning and Infrastructure</w:t>
            </w:r>
          </w:p>
        </w:tc>
        <w:tc>
          <w:tcPr>
            <w:tcW w:w="317" w:type="pct"/>
            <w:shd w:val="clear" w:color="auto" w:fill="E2EFD9" w:themeFill="accent6" w:themeFillTint="33"/>
          </w:tcPr>
          <w:p w14:paraId="554ABDDE" w14:textId="6A17AA9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Public cycle hire scheme</w:t>
            </w:r>
          </w:p>
        </w:tc>
        <w:tc>
          <w:tcPr>
            <w:tcW w:w="268" w:type="pct"/>
            <w:shd w:val="clear" w:color="auto" w:fill="E2EFD9" w:themeFill="accent6" w:themeFillTint="33"/>
          </w:tcPr>
          <w:p w14:paraId="2F62D07B" w14:textId="28F7957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7CE4C88F" w14:textId="3D2D6AF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Ongoing</w:t>
            </w:r>
          </w:p>
        </w:tc>
        <w:tc>
          <w:tcPr>
            <w:tcW w:w="317" w:type="pct"/>
            <w:shd w:val="clear" w:color="auto" w:fill="E2EFD9" w:themeFill="accent6" w:themeFillTint="33"/>
          </w:tcPr>
          <w:p w14:paraId="6FEF19E5" w14:textId="126E62AD"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Sustainable Transport and Transport Planning and commercial partner</w:t>
            </w:r>
          </w:p>
        </w:tc>
        <w:tc>
          <w:tcPr>
            <w:tcW w:w="268" w:type="pct"/>
            <w:shd w:val="clear" w:color="auto" w:fill="E2EFD9" w:themeFill="accent6" w:themeFillTint="33"/>
          </w:tcPr>
          <w:p w14:paraId="42C16173" w14:textId="2FCC368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Commercially led</w:t>
            </w:r>
          </w:p>
        </w:tc>
        <w:tc>
          <w:tcPr>
            <w:tcW w:w="244" w:type="pct"/>
            <w:shd w:val="clear" w:color="auto" w:fill="E2EFD9" w:themeFill="accent6" w:themeFillTint="33"/>
          </w:tcPr>
          <w:p w14:paraId="0FC44AFA" w14:textId="4853BA6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787D1642" w14:textId="4F23869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E2EFD9" w:themeFill="accent6" w:themeFillTint="33"/>
          </w:tcPr>
          <w:p w14:paraId="71CBE014" w14:textId="20F03CE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35605414" w14:textId="3B5C69A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E2EFD9" w:themeFill="accent6" w:themeFillTint="33"/>
          </w:tcPr>
          <w:p w14:paraId="4B8663FF" w14:textId="2A8DE3C8"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DB71A94" w14:textId="3224E27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hire events and distance travelled </w:t>
            </w:r>
          </w:p>
        </w:tc>
        <w:tc>
          <w:tcPr>
            <w:tcW w:w="463" w:type="pct"/>
            <w:shd w:val="clear" w:color="auto" w:fill="E2EFD9" w:themeFill="accent6" w:themeFillTint="33"/>
          </w:tcPr>
          <w:p w14:paraId="7483A403" w14:textId="77EFC07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 progress. Procurement for delivery partner has initiated, due for launch in April 2024</w:t>
            </w:r>
          </w:p>
        </w:tc>
        <w:tc>
          <w:tcPr>
            <w:tcW w:w="489" w:type="pct"/>
            <w:shd w:val="clear" w:color="auto" w:fill="E2EFD9" w:themeFill="accent6" w:themeFillTint="33"/>
          </w:tcPr>
          <w:p w14:paraId="7937F7DB" w14:textId="480AB2E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Provided by Zipp Mobility. Scheme includes docking for e-bikes and e-scooters. Delivery will be phased, starting with train stations, and look to expand following evaluation</w:t>
            </w:r>
          </w:p>
        </w:tc>
      </w:tr>
      <w:tr w:rsidR="008B27B6" w:rsidRPr="00E3664B" w14:paraId="539EED2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7D63752C" w14:textId="79D14490" w:rsidR="002A6774" w:rsidRDefault="002A6774" w:rsidP="002A6774">
            <w:pPr>
              <w:suppressAutoHyphens/>
              <w:spacing w:line="240" w:lineRule="auto"/>
              <w:rPr>
                <w:rFonts w:cs="Arial"/>
                <w:color w:val="FF0000"/>
                <w:sz w:val="18"/>
                <w:szCs w:val="18"/>
              </w:rPr>
            </w:pPr>
            <w:r>
              <w:rPr>
                <w:rFonts w:cs="Arial"/>
                <w:sz w:val="18"/>
                <w:szCs w:val="18"/>
              </w:rPr>
              <w:t>13 (TM4)</w:t>
            </w:r>
          </w:p>
        </w:tc>
        <w:tc>
          <w:tcPr>
            <w:tcW w:w="293" w:type="pct"/>
            <w:shd w:val="clear" w:color="auto" w:fill="E2EFD9" w:themeFill="accent6" w:themeFillTint="33"/>
          </w:tcPr>
          <w:p w14:paraId="6B93046E" w14:textId="78F70406"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Cycle scheme from Burnham Station to A4 via Station Road </w:t>
            </w:r>
          </w:p>
        </w:tc>
        <w:tc>
          <w:tcPr>
            <w:tcW w:w="268" w:type="pct"/>
            <w:shd w:val="clear" w:color="auto" w:fill="E2EFD9" w:themeFill="accent6" w:themeFillTint="33"/>
          </w:tcPr>
          <w:p w14:paraId="021DDC16" w14:textId="37625E6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Transport Planning and Infrastructure</w:t>
            </w:r>
          </w:p>
        </w:tc>
        <w:tc>
          <w:tcPr>
            <w:tcW w:w="317" w:type="pct"/>
            <w:shd w:val="clear" w:color="auto" w:fill="E2EFD9" w:themeFill="accent6" w:themeFillTint="33"/>
          </w:tcPr>
          <w:p w14:paraId="4E90EFAA" w14:textId="53CD6C5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Cycle network</w:t>
            </w:r>
          </w:p>
        </w:tc>
        <w:tc>
          <w:tcPr>
            <w:tcW w:w="268" w:type="pct"/>
            <w:shd w:val="clear" w:color="auto" w:fill="E2EFD9" w:themeFill="accent6" w:themeFillTint="33"/>
          </w:tcPr>
          <w:p w14:paraId="29472507" w14:textId="0AC313C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296446F9" w14:textId="78DAE45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E2EFD9" w:themeFill="accent6" w:themeFillTint="33"/>
          </w:tcPr>
          <w:p w14:paraId="07039899" w14:textId="007744D7"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Sustainable Transport and Transport Planning teams</w:t>
            </w:r>
          </w:p>
        </w:tc>
        <w:tc>
          <w:tcPr>
            <w:tcW w:w="268" w:type="pct"/>
            <w:shd w:val="clear" w:color="auto" w:fill="E2EFD9" w:themeFill="accent6" w:themeFillTint="33"/>
          </w:tcPr>
          <w:p w14:paraId="3001ECC4" w14:textId="7A988E3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Active Travel England  </w:t>
            </w:r>
          </w:p>
        </w:tc>
        <w:tc>
          <w:tcPr>
            <w:tcW w:w="244" w:type="pct"/>
            <w:shd w:val="clear" w:color="auto" w:fill="E2EFD9" w:themeFill="accent6" w:themeFillTint="33"/>
          </w:tcPr>
          <w:p w14:paraId="54E4E41B" w14:textId="499406C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6C0FD5E5" w14:textId="4ED5EEC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368D9639" w14:textId="0035BE8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70C8CF10" w14:textId="28DC0FE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E2EFD9" w:themeFill="accent6" w:themeFillTint="33"/>
          </w:tcPr>
          <w:p w14:paraId="62BC8827" w14:textId="58408831"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5C03D5F" w14:textId="3CC0272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cyclists </w:t>
            </w:r>
          </w:p>
        </w:tc>
        <w:tc>
          <w:tcPr>
            <w:tcW w:w="463" w:type="pct"/>
            <w:shd w:val="clear" w:color="auto" w:fill="E2EFD9" w:themeFill="accent6" w:themeFillTint="33"/>
          </w:tcPr>
          <w:p w14:paraId="6AFF535B" w14:textId="32ABB03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 progress, due to be delivered 2024</w:t>
            </w:r>
          </w:p>
        </w:tc>
        <w:tc>
          <w:tcPr>
            <w:tcW w:w="489" w:type="pct"/>
            <w:shd w:val="clear" w:color="auto" w:fill="E2EFD9" w:themeFill="accent6" w:themeFillTint="33"/>
          </w:tcPr>
          <w:p w14:paraId="602DAEFC" w14:textId="7F949AD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Includes full segregated cycle lane and traffic signals for cyclists </w:t>
            </w:r>
          </w:p>
        </w:tc>
      </w:tr>
      <w:tr w:rsidR="008B27B6" w:rsidRPr="00E3664B" w14:paraId="12F551F2"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699281BC" w14:textId="622A483C" w:rsidR="002A6774" w:rsidRDefault="002A6774" w:rsidP="002A6774">
            <w:pPr>
              <w:suppressAutoHyphens/>
              <w:spacing w:line="240" w:lineRule="auto"/>
              <w:rPr>
                <w:rFonts w:cs="Arial"/>
                <w:color w:val="FF0000"/>
                <w:sz w:val="18"/>
                <w:szCs w:val="18"/>
              </w:rPr>
            </w:pPr>
            <w:r>
              <w:rPr>
                <w:rFonts w:cs="Arial"/>
                <w:sz w:val="18"/>
                <w:szCs w:val="18"/>
              </w:rPr>
              <w:t>14 (TM5)</w:t>
            </w:r>
          </w:p>
        </w:tc>
        <w:tc>
          <w:tcPr>
            <w:tcW w:w="293" w:type="pct"/>
            <w:shd w:val="clear" w:color="auto" w:fill="E2EFD9" w:themeFill="accent6" w:themeFillTint="33"/>
          </w:tcPr>
          <w:p w14:paraId="3487FFE9" w14:textId="3746E01E"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Foxborough Cycle Lane between Langley High Street and Junction 5 Footbridge </w:t>
            </w:r>
          </w:p>
        </w:tc>
        <w:tc>
          <w:tcPr>
            <w:tcW w:w="268" w:type="pct"/>
            <w:shd w:val="clear" w:color="auto" w:fill="E2EFD9" w:themeFill="accent6" w:themeFillTint="33"/>
          </w:tcPr>
          <w:p w14:paraId="607155B9" w14:textId="3510A92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Transport Planning and Infrastructure</w:t>
            </w:r>
          </w:p>
        </w:tc>
        <w:tc>
          <w:tcPr>
            <w:tcW w:w="317" w:type="pct"/>
            <w:shd w:val="clear" w:color="auto" w:fill="E2EFD9" w:themeFill="accent6" w:themeFillTint="33"/>
          </w:tcPr>
          <w:p w14:paraId="76F2905E" w14:textId="5B36173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Cycle network</w:t>
            </w:r>
          </w:p>
        </w:tc>
        <w:tc>
          <w:tcPr>
            <w:tcW w:w="268" w:type="pct"/>
            <w:shd w:val="clear" w:color="auto" w:fill="E2EFD9" w:themeFill="accent6" w:themeFillTint="33"/>
          </w:tcPr>
          <w:p w14:paraId="52995125" w14:textId="4526190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5ECAE0F7" w14:textId="619A551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317" w:type="pct"/>
            <w:shd w:val="clear" w:color="auto" w:fill="E2EFD9" w:themeFill="accent6" w:themeFillTint="33"/>
          </w:tcPr>
          <w:p w14:paraId="28254C7B" w14:textId="78C02F3F"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Sustainable Transport and Transport Planning teams</w:t>
            </w:r>
          </w:p>
        </w:tc>
        <w:tc>
          <w:tcPr>
            <w:tcW w:w="268" w:type="pct"/>
            <w:shd w:val="clear" w:color="auto" w:fill="E2EFD9" w:themeFill="accent6" w:themeFillTint="33"/>
          </w:tcPr>
          <w:p w14:paraId="39F3E1FA" w14:textId="3EFA8361" w:rsidR="002A6774" w:rsidRPr="005D760F" w:rsidRDefault="007E73EA"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E73EA">
              <w:rPr>
                <w:rFonts w:cs="Arial"/>
                <w:sz w:val="18"/>
                <w:szCs w:val="18"/>
              </w:rPr>
              <w:t xml:space="preserve">Berkshire Local Transport Body </w:t>
            </w:r>
            <w:r w:rsidR="002A6774">
              <w:rPr>
                <w:rFonts w:cs="Arial"/>
                <w:sz w:val="18"/>
                <w:szCs w:val="18"/>
              </w:rPr>
              <w:t xml:space="preserve"> </w:t>
            </w:r>
          </w:p>
        </w:tc>
        <w:tc>
          <w:tcPr>
            <w:tcW w:w="244" w:type="pct"/>
            <w:shd w:val="clear" w:color="auto" w:fill="E2EFD9" w:themeFill="accent6" w:themeFillTint="33"/>
          </w:tcPr>
          <w:p w14:paraId="5C30FEBF" w14:textId="05E382B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5EA9D7CD" w14:textId="041AE7B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34C8BB53" w14:textId="173868F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£1m-£10m</w:t>
            </w:r>
          </w:p>
        </w:tc>
        <w:tc>
          <w:tcPr>
            <w:tcW w:w="244" w:type="pct"/>
            <w:shd w:val="clear" w:color="auto" w:fill="E2EFD9" w:themeFill="accent6" w:themeFillTint="33"/>
          </w:tcPr>
          <w:p w14:paraId="13C72F8E" w14:textId="6A20A85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E2EFD9" w:themeFill="accent6" w:themeFillTint="33"/>
          </w:tcPr>
          <w:p w14:paraId="5B780A3D" w14:textId="59EAA232"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272DB415" w14:textId="41E108D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cyclists </w:t>
            </w:r>
          </w:p>
        </w:tc>
        <w:tc>
          <w:tcPr>
            <w:tcW w:w="463" w:type="pct"/>
            <w:shd w:val="clear" w:color="auto" w:fill="E2EFD9" w:themeFill="accent6" w:themeFillTint="33"/>
          </w:tcPr>
          <w:p w14:paraId="1F624F04" w14:textId="711DA3C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Widening in progress and due to be completed February 2024</w:t>
            </w:r>
          </w:p>
        </w:tc>
        <w:tc>
          <w:tcPr>
            <w:tcW w:w="489" w:type="pct"/>
            <w:shd w:val="clear" w:color="auto" w:fill="E2EFD9" w:themeFill="accent6" w:themeFillTint="33"/>
          </w:tcPr>
          <w:p w14:paraId="197E0793" w14:textId="19221C6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 progress, no expected barriers</w:t>
            </w:r>
          </w:p>
        </w:tc>
      </w:tr>
      <w:tr w:rsidR="008B27B6" w:rsidRPr="00E3664B" w14:paraId="139A3453"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736812FF" w14:textId="7CB4656E" w:rsidR="002A6774" w:rsidRDefault="002A6774" w:rsidP="002A6774">
            <w:pPr>
              <w:suppressAutoHyphens/>
              <w:spacing w:line="240" w:lineRule="auto"/>
              <w:rPr>
                <w:rFonts w:cs="Arial"/>
                <w:color w:val="FF0000"/>
                <w:sz w:val="18"/>
                <w:szCs w:val="18"/>
              </w:rPr>
            </w:pPr>
            <w:r>
              <w:rPr>
                <w:rFonts w:cs="Arial"/>
                <w:sz w:val="18"/>
                <w:szCs w:val="18"/>
              </w:rPr>
              <w:t>15 (TM6)</w:t>
            </w:r>
          </w:p>
        </w:tc>
        <w:tc>
          <w:tcPr>
            <w:tcW w:w="293" w:type="pct"/>
            <w:shd w:val="clear" w:color="auto" w:fill="E2EFD9" w:themeFill="accent6" w:themeFillTint="33"/>
          </w:tcPr>
          <w:p w14:paraId="7AADAD94" w14:textId="45ADD54D"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Introduce segregated A4 cycle highway (including provision of cycle docking)</w:t>
            </w:r>
          </w:p>
        </w:tc>
        <w:tc>
          <w:tcPr>
            <w:tcW w:w="268" w:type="pct"/>
            <w:shd w:val="clear" w:color="auto" w:fill="E2EFD9" w:themeFill="accent6" w:themeFillTint="33"/>
          </w:tcPr>
          <w:p w14:paraId="73E90B29" w14:textId="38DCCB2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Transport Planning and Infrastructure</w:t>
            </w:r>
          </w:p>
        </w:tc>
        <w:tc>
          <w:tcPr>
            <w:tcW w:w="317" w:type="pct"/>
            <w:shd w:val="clear" w:color="auto" w:fill="E2EFD9" w:themeFill="accent6" w:themeFillTint="33"/>
          </w:tcPr>
          <w:p w14:paraId="4E5E2299" w14:textId="096B863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Cycle network</w:t>
            </w:r>
          </w:p>
        </w:tc>
        <w:tc>
          <w:tcPr>
            <w:tcW w:w="268" w:type="pct"/>
            <w:shd w:val="clear" w:color="auto" w:fill="E2EFD9" w:themeFill="accent6" w:themeFillTint="33"/>
          </w:tcPr>
          <w:p w14:paraId="0C62276B" w14:textId="7D09CCE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2C8EF390" w14:textId="7C0634E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E2EFD9" w:themeFill="accent6" w:themeFillTint="33"/>
          </w:tcPr>
          <w:p w14:paraId="03229DEE" w14:textId="15282EF4"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Sustainable Transport and Transport Planning teams</w:t>
            </w:r>
          </w:p>
        </w:tc>
        <w:tc>
          <w:tcPr>
            <w:tcW w:w="268" w:type="pct"/>
            <w:shd w:val="clear" w:color="auto" w:fill="E2EFD9" w:themeFill="accent6" w:themeFillTint="33"/>
          </w:tcPr>
          <w:p w14:paraId="621152EE" w14:textId="419E008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w:t>
            </w:r>
          </w:p>
        </w:tc>
        <w:tc>
          <w:tcPr>
            <w:tcW w:w="244" w:type="pct"/>
            <w:shd w:val="clear" w:color="auto" w:fill="E2EFD9" w:themeFill="accent6" w:themeFillTint="33"/>
          </w:tcPr>
          <w:p w14:paraId="4DA75964" w14:textId="6588577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281D3582" w14:textId="3A8FA70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039A9073" w14:textId="34077FA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&gt;£10m</w:t>
            </w:r>
          </w:p>
        </w:tc>
        <w:tc>
          <w:tcPr>
            <w:tcW w:w="244" w:type="pct"/>
            <w:shd w:val="clear" w:color="auto" w:fill="E2EFD9" w:themeFill="accent6" w:themeFillTint="33"/>
          </w:tcPr>
          <w:p w14:paraId="5BA4458C" w14:textId="1EB7ECE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E2EFD9" w:themeFill="accent6" w:themeFillTint="33"/>
          </w:tcPr>
          <w:p w14:paraId="480CE76C" w14:textId="275FA185"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3216F2BA" w14:textId="2207627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cyclists, number of accidents</w:t>
            </w:r>
          </w:p>
        </w:tc>
        <w:tc>
          <w:tcPr>
            <w:tcW w:w="463" w:type="pct"/>
            <w:shd w:val="clear" w:color="auto" w:fill="E2EFD9" w:themeFill="accent6" w:themeFillTint="33"/>
          </w:tcPr>
          <w:p w14:paraId="356A90E7" w14:textId="10590B4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Consultation complete in September 2023, planning phase underway. Due to commence April 2024.</w:t>
            </w:r>
          </w:p>
        </w:tc>
        <w:tc>
          <w:tcPr>
            <w:tcW w:w="489" w:type="pct"/>
            <w:shd w:val="clear" w:color="auto" w:fill="E2EFD9" w:themeFill="accent6" w:themeFillTint="33"/>
          </w:tcPr>
          <w:p w14:paraId="5445C4C2" w14:textId="431193E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Safer A4 Scheme being implemented simultaneously with A4 cycle scheme. Includes speed cameras, removing guard rails and adding traffic signals (due April 2024).</w:t>
            </w:r>
          </w:p>
        </w:tc>
      </w:tr>
      <w:tr w:rsidR="008B27B6" w:rsidRPr="00E3664B" w14:paraId="6936D77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156483F1" w14:textId="59E941AB" w:rsidR="002A6774" w:rsidRDefault="002A6774" w:rsidP="002A6774">
            <w:pPr>
              <w:suppressAutoHyphens/>
              <w:spacing w:line="240" w:lineRule="auto"/>
              <w:rPr>
                <w:rFonts w:cs="Arial"/>
                <w:color w:val="FF0000"/>
                <w:sz w:val="18"/>
                <w:szCs w:val="18"/>
              </w:rPr>
            </w:pPr>
            <w:r>
              <w:rPr>
                <w:rFonts w:cs="Arial"/>
                <w:sz w:val="18"/>
                <w:szCs w:val="18"/>
              </w:rPr>
              <w:t>16 (TM7)</w:t>
            </w:r>
          </w:p>
        </w:tc>
        <w:tc>
          <w:tcPr>
            <w:tcW w:w="293" w:type="pct"/>
            <w:shd w:val="clear" w:color="auto" w:fill="E2EFD9" w:themeFill="accent6" w:themeFillTint="33"/>
          </w:tcPr>
          <w:p w14:paraId="4C2683D3" w14:textId="7C5C34DA"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Implement Destination Farnham Road scheme </w:t>
            </w:r>
          </w:p>
        </w:tc>
        <w:tc>
          <w:tcPr>
            <w:tcW w:w="268" w:type="pct"/>
            <w:shd w:val="clear" w:color="auto" w:fill="E2EFD9" w:themeFill="accent6" w:themeFillTint="33"/>
          </w:tcPr>
          <w:p w14:paraId="7C9C163B" w14:textId="78648B9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0B0DDACF" w14:textId="444B745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Intensive active travel campaign &amp; infrastructure</w:t>
            </w:r>
          </w:p>
        </w:tc>
        <w:tc>
          <w:tcPr>
            <w:tcW w:w="268" w:type="pct"/>
            <w:shd w:val="clear" w:color="auto" w:fill="E2EFD9" w:themeFill="accent6" w:themeFillTint="33"/>
          </w:tcPr>
          <w:p w14:paraId="2D8FF6F7" w14:textId="1DBA599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E2EFD9" w:themeFill="accent6" w:themeFillTint="33"/>
          </w:tcPr>
          <w:p w14:paraId="07022B50" w14:textId="110C9E2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E2EFD9" w:themeFill="accent6" w:themeFillTint="33"/>
          </w:tcPr>
          <w:p w14:paraId="79445DC5" w14:textId="2C1AED0B"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Sustainable Transport and Transport Planning teams</w:t>
            </w:r>
          </w:p>
        </w:tc>
        <w:tc>
          <w:tcPr>
            <w:tcW w:w="268" w:type="pct"/>
            <w:shd w:val="clear" w:color="auto" w:fill="E2EFD9" w:themeFill="accent6" w:themeFillTint="33"/>
          </w:tcPr>
          <w:p w14:paraId="4ECE5A3B" w14:textId="20049A6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Department for Levelling Up, Housing and Communities </w:t>
            </w:r>
          </w:p>
        </w:tc>
        <w:tc>
          <w:tcPr>
            <w:tcW w:w="244" w:type="pct"/>
            <w:shd w:val="clear" w:color="auto" w:fill="E2EFD9" w:themeFill="accent6" w:themeFillTint="33"/>
          </w:tcPr>
          <w:p w14:paraId="5D687973" w14:textId="6BA478B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0C081FD3" w14:textId="1FB73A9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2EB99C79" w14:textId="534FFC3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&gt;£10m</w:t>
            </w:r>
          </w:p>
        </w:tc>
        <w:tc>
          <w:tcPr>
            <w:tcW w:w="244" w:type="pct"/>
            <w:shd w:val="clear" w:color="auto" w:fill="E2EFD9" w:themeFill="accent6" w:themeFillTint="33"/>
          </w:tcPr>
          <w:p w14:paraId="21B497FD" w14:textId="3E8A99E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Implementation</w:t>
            </w:r>
          </w:p>
        </w:tc>
        <w:tc>
          <w:tcPr>
            <w:tcW w:w="512" w:type="pct"/>
            <w:shd w:val="clear" w:color="auto" w:fill="E2EFD9" w:themeFill="accent6" w:themeFillTint="33"/>
          </w:tcPr>
          <w:p w14:paraId="28378A12" w14:textId="74143E6E"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5B8A11D" w14:textId="16EE38C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cyclists </w:t>
            </w:r>
          </w:p>
        </w:tc>
        <w:tc>
          <w:tcPr>
            <w:tcW w:w="463" w:type="pct"/>
            <w:shd w:val="clear" w:color="auto" w:fill="E2EFD9" w:themeFill="accent6" w:themeFillTint="33"/>
          </w:tcPr>
          <w:p w14:paraId="4709C7CD" w14:textId="4C059F1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Cabinet report due in May 2024, for scheme commencement in July. </w:t>
            </w:r>
          </w:p>
        </w:tc>
        <w:tc>
          <w:tcPr>
            <w:tcW w:w="489" w:type="pct"/>
            <w:shd w:val="clear" w:color="auto" w:fill="E2EFD9" w:themeFill="accent6" w:themeFillTint="33"/>
          </w:tcPr>
          <w:p w14:paraId="5D42DD76" w14:textId="0EB4D29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Consultation concluded Feb 2024 - over 400 responses received. Changes following consultation currently being considered. </w:t>
            </w:r>
          </w:p>
        </w:tc>
      </w:tr>
      <w:tr w:rsidR="008B27B6" w:rsidRPr="00E3664B" w14:paraId="737207D6"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1EF5112C" w14:textId="61FEC395" w:rsidR="002A6774" w:rsidRDefault="002A6774" w:rsidP="002A6774">
            <w:pPr>
              <w:suppressAutoHyphens/>
              <w:spacing w:line="240" w:lineRule="auto"/>
              <w:rPr>
                <w:rFonts w:cs="Arial"/>
                <w:color w:val="FF0000"/>
                <w:sz w:val="18"/>
                <w:szCs w:val="18"/>
              </w:rPr>
            </w:pPr>
            <w:r>
              <w:rPr>
                <w:rFonts w:cs="Arial"/>
                <w:sz w:val="18"/>
                <w:szCs w:val="18"/>
              </w:rPr>
              <w:t>17 (TM9)</w:t>
            </w:r>
          </w:p>
        </w:tc>
        <w:tc>
          <w:tcPr>
            <w:tcW w:w="293" w:type="pct"/>
            <w:shd w:val="clear" w:color="auto" w:fill="DEEAF6" w:themeFill="accent5" w:themeFillTint="33"/>
          </w:tcPr>
          <w:p w14:paraId="3AA08EB7" w14:textId="383A3B00"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Review parking controls and policies in regards to new developments</w:t>
            </w:r>
          </w:p>
        </w:tc>
        <w:tc>
          <w:tcPr>
            <w:tcW w:w="268" w:type="pct"/>
            <w:shd w:val="clear" w:color="auto" w:fill="DEEAF6" w:themeFill="accent5" w:themeFillTint="33"/>
          </w:tcPr>
          <w:p w14:paraId="3C8FD221" w14:textId="2CF64EF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Policy guidance and development control</w:t>
            </w:r>
          </w:p>
        </w:tc>
        <w:tc>
          <w:tcPr>
            <w:tcW w:w="317" w:type="pct"/>
            <w:shd w:val="clear" w:color="auto" w:fill="DEEAF6" w:themeFill="accent5" w:themeFillTint="33"/>
          </w:tcPr>
          <w:p w14:paraId="747D190C" w14:textId="0040E72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Other policy </w:t>
            </w:r>
          </w:p>
        </w:tc>
        <w:tc>
          <w:tcPr>
            <w:tcW w:w="268" w:type="pct"/>
            <w:shd w:val="clear" w:color="auto" w:fill="DEEAF6" w:themeFill="accent5" w:themeFillTint="33"/>
          </w:tcPr>
          <w:p w14:paraId="7E36D21F" w14:textId="54F163B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DEEAF6" w:themeFill="accent5" w:themeFillTint="33"/>
          </w:tcPr>
          <w:p w14:paraId="1827FDB4" w14:textId="4B8B506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DEEAF6" w:themeFill="accent5" w:themeFillTint="33"/>
          </w:tcPr>
          <w:p w14:paraId="513CA168" w14:textId="3A9951DF"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Parking team</w:t>
            </w:r>
          </w:p>
        </w:tc>
        <w:tc>
          <w:tcPr>
            <w:tcW w:w="268" w:type="pct"/>
            <w:shd w:val="clear" w:color="auto" w:fill="DEEAF6" w:themeFill="accent5" w:themeFillTint="33"/>
          </w:tcPr>
          <w:p w14:paraId="1E08E368" w14:textId="26E69D8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DEEAF6" w:themeFill="accent5" w:themeFillTint="33"/>
          </w:tcPr>
          <w:p w14:paraId="5608D157" w14:textId="7836CCE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2B53D82A" w14:textId="69600AA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DEEAF6" w:themeFill="accent5" w:themeFillTint="33"/>
          </w:tcPr>
          <w:p w14:paraId="4A9889C4" w14:textId="24861E0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DEEAF6" w:themeFill="accent5" w:themeFillTint="33"/>
          </w:tcPr>
          <w:p w14:paraId="58E9FB1E" w14:textId="483BFA6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DEEAF6" w:themeFill="accent5" w:themeFillTint="33"/>
          </w:tcPr>
          <w:p w14:paraId="2353A2B7" w14:textId="4002B3F6"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Reduces number of vehicles, may assist in modal shift (measure not modelled specifically)</w:t>
            </w:r>
          </w:p>
        </w:tc>
        <w:tc>
          <w:tcPr>
            <w:tcW w:w="342" w:type="pct"/>
            <w:shd w:val="clear" w:color="auto" w:fill="DEEAF6" w:themeFill="accent5" w:themeFillTint="33"/>
          </w:tcPr>
          <w:p w14:paraId="5A9600C6" w14:textId="32248F6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parking spaces, </w:t>
            </w:r>
            <w:r w:rsidR="008B43FE">
              <w:rPr>
                <w:rFonts w:cs="Arial"/>
                <w:sz w:val="18"/>
                <w:szCs w:val="18"/>
              </w:rPr>
              <w:t>PCN</w:t>
            </w:r>
            <w:r>
              <w:rPr>
                <w:rFonts w:cs="Arial"/>
                <w:sz w:val="18"/>
                <w:szCs w:val="18"/>
              </w:rPr>
              <w:t xml:space="preserve">s for parking enforcement </w:t>
            </w:r>
          </w:p>
        </w:tc>
        <w:tc>
          <w:tcPr>
            <w:tcW w:w="463" w:type="pct"/>
            <w:shd w:val="clear" w:color="auto" w:fill="DEEAF6" w:themeFill="accent5" w:themeFillTint="33"/>
          </w:tcPr>
          <w:p w14:paraId="47A891E8" w14:textId="2A68AAD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DEEAF6" w:themeFill="accent5" w:themeFillTint="33"/>
          </w:tcPr>
          <w:p w14:paraId="28F2534A" w14:textId="57D058A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Potential barrier may be </w:t>
            </w:r>
            <w:r w:rsidR="004103E0">
              <w:rPr>
                <w:rFonts w:cs="Arial"/>
                <w:sz w:val="18"/>
                <w:szCs w:val="18"/>
              </w:rPr>
              <w:t>capacity</w:t>
            </w:r>
            <w:r>
              <w:rPr>
                <w:rFonts w:cs="Arial"/>
                <w:sz w:val="18"/>
                <w:szCs w:val="18"/>
              </w:rPr>
              <w:t xml:space="preserve"> issues with parking, conflicts between need to reduce parking and issues with pavement parking due to lack of provision </w:t>
            </w:r>
          </w:p>
        </w:tc>
      </w:tr>
      <w:tr w:rsidR="008B27B6" w:rsidRPr="00E3664B" w14:paraId="48CD491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2FDCA068" w14:textId="52484C6E" w:rsidR="002A6774" w:rsidRDefault="002A6774" w:rsidP="002A6774">
            <w:pPr>
              <w:suppressAutoHyphens/>
              <w:spacing w:line="240" w:lineRule="auto"/>
              <w:rPr>
                <w:rFonts w:cs="Arial"/>
                <w:color w:val="FF0000"/>
                <w:sz w:val="18"/>
                <w:szCs w:val="18"/>
              </w:rPr>
            </w:pPr>
            <w:r>
              <w:rPr>
                <w:rFonts w:cs="Arial"/>
                <w:sz w:val="18"/>
                <w:szCs w:val="18"/>
              </w:rPr>
              <w:t>18 (TM10)</w:t>
            </w:r>
          </w:p>
        </w:tc>
        <w:tc>
          <w:tcPr>
            <w:tcW w:w="293" w:type="pct"/>
            <w:shd w:val="clear" w:color="auto" w:fill="DEEAF6" w:themeFill="accent5" w:themeFillTint="33"/>
          </w:tcPr>
          <w:p w14:paraId="3E0281C2" w14:textId="0250691C"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Investigate the feasibility of introducing anti-idling controls in hotspot areas</w:t>
            </w:r>
          </w:p>
        </w:tc>
        <w:tc>
          <w:tcPr>
            <w:tcW w:w="268" w:type="pct"/>
            <w:shd w:val="clear" w:color="auto" w:fill="DEEAF6" w:themeFill="accent5" w:themeFillTint="33"/>
          </w:tcPr>
          <w:p w14:paraId="0138D05D" w14:textId="61DD00E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Traffic management </w:t>
            </w:r>
          </w:p>
        </w:tc>
        <w:tc>
          <w:tcPr>
            <w:tcW w:w="317" w:type="pct"/>
            <w:shd w:val="clear" w:color="auto" w:fill="DEEAF6" w:themeFill="accent5" w:themeFillTint="33"/>
          </w:tcPr>
          <w:p w14:paraId="7B9E2DF0" w14:textId="7678A4C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Anti-idling enforcement </w:t>
            </w:r>
          </w:p>
        </w:tc>
        <w:tc>
          <w:tcPr>
            <w:tcW w:w="268" w:type="pct"/>
            <w:shd w:val="clear" w:color="auto" w:fill="DEEAF6" w:themeFill="accent5" w:themeFillTint="33"/>
          </w:tcPr>
          <w:p w14:paraId="7E554C31" w14:textId="0D56C86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DEEAF6" w:themeFill="accent5" w:themeFillTint="33"/>
          </w:tcPr>
          <w:p w14:paraId="2958F0DC" w14:textId="5553DEE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DEEAF6" w:themeFill="accent5" w:themeFillTint="33"/>
          </w:tcPr>
          <w:p w14:paraId="541CE18A" w14:textId="0D9C286E"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Parking team</w:t>
            </w:r>
          </w:p>
        </w:tc>
        <w:tc>
          <w:tcPr>
            <w:tcW w:w="268" w:type="pct"/>
            <w:shd w:val="clear" w:color="auto" w:fill="DEEAF6" w:themeFill="accent5" w:themeFillTint="33"/>
          </w:tcPr>
          <w:p w14:paraId="73055F1E" w14:textId="3AC7C0E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DEEAF6" w:themeFill="accent5" w:themeFillTint="33"/>
          </w:tcPr>
          <w:p w14:paraId="301F08FF" w14:textId="1C3F451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31A8E54C" w14:textId="4249620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DEEAF6" w:themeFill="accent5" w:themeFillTint="33"/>
          </w:tcPr>
          <w:p w14:paraId="3771531A" w14:textId="1442CA5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£50k-£100k</w:t>
            </w:r>
          </w:p>
        </w:tc>
        <w:tc>
          <w:tcPr>
            <w:tcW w:w="244" w:type="pct"/>
            <w:shd w:val="clear" w:color="auto" w:fill="DEEAF6" w:themeFill="accent5" w:themeFillTint="33"/>
          </w:tcPr>
          <w:p w14:paraId="118DD2A8" w14:textId="615921A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DEEAF6" w:themeFill="accent5" w:themeFillTint="33"/>
          </w:tcPr>
          <w:p w14:paraId="08D73214" w14:textId="336BF5E8"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Reduces emissions from idling vehicles, may be particularly effective at taxi ranks and schools (measure not modelled specifically)</w:t>
            </w:r>
          </w:p>
        </w:tc>
        <w:tc>
          <w:tcPr>
            <w:tcW w:w="342" w:type="pct"/>
            <w:shd w:val="clear" w:color="auto" w:fill="DEEAF6" w:themeFill="accent5" w:themeFillTint="33"/>
          </w:tcPr>
          <w:p w14:paraId="42A8E1D6" w14:textId="4FC585A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Discussions held with relevant stakeholders; decision made on measure implementation</w:t>
            </w:r>
          </w:p>
        </w:tc>
        <w:tc>
          <w:tcPr>
            <w:tcW w:w="463" w:type="pct"/>
            <w:shd w:val="clear" w:color="auto" w:fill="DEEAF6" w:themeFill="accent5" w:themeFillTint="33"/>
          </w:tcPr>
          <w:p w14:paraId="63ECADE6" w14:textId="67A4E5E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DEEAF6" w:themeFill="accent5" w:themeFillTint="33"/>
          </w:tcPr>
          <w:p w14:paraId="09D8449F" w14:textId="3C14BC6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Local authorities outside of London have limited enforcement powers, so may be difficult to enforce</w:t>
            </w:r>
          </w:p>
        </w:tc>
      </w:tr>
      <w:tr w:rsidR="008B27B6" w:rsidRPr="00E3664B" w14:paraId="3FC3A740"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319B9E9F" w14:textId="5172A68C" w:rsidR="002A6774" w:rsidRDefault="002A6774" w:rsidP="002A6774">
            <w:pPr>
              <w:suppressAutoHyphens/>
              <w:spacing w:line="240" w:lineRule="auto"/>
              <w:rPr>
                <w:rFonts w:cs="Arial"/>
                <w:color w:val="FF0000"/>
                <w:sz w:val="18"/>
                <w:szCs w:val="18"/>
              </w:rPr>
            </w:pPr>
            <w:r>
              <w:rPr>
                <w:rFonts w:cs="Arial"/>
                <w:sz w:val="18"/>
                <w:szCs w:val="18"/>
              </w:rPr>
              <w:t>19 (TM11)</w:t>
            </w:r>
          </w:p>
        </w:tc>
        <w:tc>
          <w:tcPr>
            <w:tcW w:w="293" w:type="pct"/>
            <w:shd w:val="clear" w:color="auto" w:fill="DEEAF6" w:themeFill="accent5" w:themeFillTint="33"/>
          </w:tcPr>
          <w:p w14:paraId="3A210AAF" w14:textId="28F440C6" w:rsidR="002A6774" w:rsidRPr="00734DC2" w:rsidRDefault="00C415FA"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E32B12">
              <w:rPr>
                <w:rFonts w:cs="Arial"/>
                <w:sz w:val="18"/>
                <w:szCs w:val="18"/>
                <w:lang w:eastAsia="en-GB"/>
              </w:rPr>
              <w:t xml:space="preserve">Investigate the feasibility of implementing charging or </w:t>
            </w:r>
            <w:r>
              <w:rPr>
                <w:rFonts w:cs="Arial"/>
                <w:sz w:val="18"/>
                <w:szCs w:val="18"/>
                <w:lang w:eastAsia="en-GB"/>
              </w:rPr>
              <w:t>banding levels</w:t>
            </w:r>
            <w:r w:rsidRPr="00E32B12">
              <w:rPr>
                <w:rFonts w:cs="Arial"/>
                <w:sz w:val="18"/>
                <w:szCs w:val="18"/>
                <w:lang w:eastAsia="en-GB"/>
              </w:rPr>
              <w:t xml:space="preserve"> for car parking, parking permits (residents, businesses etc) and season tickets based on CO</w:t>
            </w:r>
            <w:r w:rsidRPr="00CC1A1E">
              <w:rPr>
                <w:rFonts w:cs="Arial"/>
                <w:sz w:val="18"/>
                <w:szCs w:val="18"/>
                <w:vertAlign w:val="subscript"/>
                <w:lang w:eastAsia="en-GB"/>
              </w:rPr>
              <w:t>2</w:t>
            </w:r>
            <w:r w:rsidRPr="00E32B12">
              <w:rPr>
                <w:rFonts w:cs="Arial"/>
                <w:sz w:val="18"/>
                <w:szCs w:val="18"/>
                <w:lang w:eastAsia="en-GB"/>
              </w:rPr>
              <w:t xml:space="preserve"> emissions from vehicles</w:t>
            </w:r>
            <w:r w:rsidR="002A6774">
              <w:rPr>
                <w:rFonts w:cs="Arial"/>
                <w:sz w:val="18"/>
                <w:szCs w:val="18"/>
              </w:rPr>
              <w:t xml:space="preserve"> </w:t>
            </w:r>
          </w:p>
        </w:tc>
        <w:tc>
          <w:tcPr>
            <w:tcW w:w="268" w:type="pct"/>
            <w:shd w:val="clear" w:color="auto" w:fill="DEEAF6" w:themeFill="accent5" w:themeFillTint="33"/>
          </w:tcPr>
          <w:p w14:paraId="20A3BC02" w14:textId="3A619A6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Traffic management </w:t>
            </w:r>
          </w:p>
        </w:tc>
        <w:tc>
          <w:tcPr>
            <w:tcW w:w="317" w:type="pct"/>
            <w:shd w:val="clear" w:color="auto" w:fill="DEEAF6" w:themeFill="accent5" w:themeFillTint="33"/>
          </w:tcPr>
          <w:p w14:paraId="447069CD" w14:textId="4D6CC82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Emission based parking or permit charges </w:t>
            </w:r>
          </w:p>
        </w:tc>
        <w:tc>
          <w:tcPr>
            <w:tcW w:w="268" w:type="pct"/>
            <w:shd w:val="clear" w:color="auto" w:fill="DEEAF6" w:themeFill="accent5" w:themeFillTint="33"/>
          </w:tcPr>
          <w:p w14:paraId="2797A57B" w14:textId="6147EB4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DEEAF6" w:themeFill="accent5" w:themeFillTint="33"/>
          </w:tcPr>
          <w:p w14:paraId="7FB42883" w14:textId="1F1A75A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DEEAF6" w:themeFill="accent5" w:themeFillTint="33"/>
          </w:tcPr>
          <w:p w14:paraId="3D8318B5" w14:textId="551FBC70"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Parking team</w:t>
            </w:r>
          </w:p>
        </w:tc>
        <w:tc>
          <w:tcPr>
            <w:tcW w:w="268" w:type="pct"/>
            <w:shd w:val="clear" w:color="auto" w:fill="DEEAF6" w:themeFill="accent5" w:themeFillTint="33"/>
          </w:tcPr>
          <w:p w14:paraId="6957BFFA" w14:textId="3D8D06C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General fund </w:t>
            </w:r>
          </w:p>
        </w:tc>
        <w:tc>
          <w:tcPr>
            <w:tcW w:w="244" w:type="pct"/>
            <w:shd w:val="clear" w:color="auto" w:fill="DEEAF6" w:themeFill="accent5" w:themeFillTint="33"/>
          </w:tcPr>
          <w:p w14:paraId="666CCD0F" w14:textId="664AD8D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7703A039" w14:textId="606C847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DEEAF6" w:themeFill="accent5" w:themeFillTint="33"/>
          </w:tcPr>
          <w:p w14:paraId="61269A80" w14:textId="3E21DDE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DEEAF6" w:themeFill="accent5" w:themeFillTint="33"/>
          </w:tcPr>
          <w:p w14:paraId="2101FAA4" w14:textId="344BEF7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DEEAF6" w:themeFill="accent5" w:themeFillTint="33"/>
          </w:tcPr>
          <w:p w14:paraId="63F92CC2" w14:textId="602E99AC"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Reduces emissions from private vehicles (not modelled)</w:t>
            </w:r>
          </w:p>
        </w:tc>
        <w:tc>
          <w:tcPr>
            <w:tcW w:w="342" w:type="pct"/>
            <w:shd w:val="clear" w:color="auto" w:fill="DEEAF6" w:themeFill="accent5" w:themeFillTint="33"/>
          </w:tcPr>
          <w:p w14:paraId="6936FDBE" w14:textId="76CA357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Discussions held with relevant stakeholders; decision made on measure implementation</w:t>
            </w:r>
          </w:p>
        </w:tc>
        <w:tc>
          <w:tcPr>
            <w:tcW w:w="463" w:type="pct"/>
            <w:shd w:val="clear" w:color="auto" w:fill="DEEAF6" w:themeFill="accent5" w:themeFillTint="33"/>
          </w:tcPr>
          <w:p w14:paraId="7DB1581B" w14:textId="4672429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DEEAF6" w:themeFill="accent5" w:themeFillTint="33"/>
          </w:tcPr>
          <w:p w14:paraId="178E0E34" w14:textId="287085D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Currently being considered by the Parking team</w:t>
            </w:r>
          </w:p>
        </w:tc>
      </w:tr>
      <w:tr w:rsidR="008B27B6" w:rsidRPr="00E3664B" w14:paraId="57F95B03"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DEEAF6" w:themeFill="accent5" w:themeFillTint="33"/>
          </w:tcPr>
          <w:p w14:paraId="745B6EC1" w14:textId="1FFFEB33" w:rsidR="002A6774" w:rsidRDefault="002A6774" w:rsidP="002A6774">
            <w:pPr>
              <w:suppressAutoHyphens/>
              <w:spacing w:line="240" w:lineRule="auto"/>
              <w:rPr>
                <w:rFonts w:cs="Arial"/>
                <w:color w:val="FF0000"/>
                <w:sz w:val="18"/>
                <w:szCs w:val="18"/>
              </w:rPr>
            </w:pPr>
            <w:r>
              <w:rPr>
                <w:rFonts w:cs="Arial"/>
                <w:sz w:val="18"/>
                <w:szCs w:val="18"/>
              </w:rPr>
              <w:t>20 (TM15)</w:t>
            </w:r>
          </w:p>
        </w:tc>
        <w:tc>
          <w:tcPr>
            <w:tcW w:w="293" w:type="pct"/>
            <w:shd w:val="clear" w:color="auto" w:fill="DEEAF6" w:themeFill="accent5" w:themeFillTint="33"/>
          </w:tcPr>
          <w:p w14:paraId="72B4DA38" w14:textId="5F310D87" w:rsidR="002A6774" w:rsidRPr="00734DC2"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Explore use of traffic calming measures within Air Quality Management Areas </w:t>
            </w:r>
          </w:p>
        </w:tc>
        <w:tc>
          <w:tcPr>
            <w:tcW w:w="268" w:type="pct"/>
            <w:shd w:val="clear" w:color="auto" w:fill="DEEAF6" w:themeFill="accent5" w:themeFillTint="33"/>
          </w:tcPr>
          <w:p w14:paraId="1F249D24" w14:textId="77E0EDF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Traffic management </w:t>
            </w:r>
          </w:p>
        </w:tc>
        <w:tc>
          <w:tcPr>
            <w:tcW w:w="317" w:type="pct"/>
            <w:shd w:val="clear" w:color="auto" w:fill="DEEAF6" w:themeFill="accent5" w:themeFillTint="33"/>
          </w:tcPr>
          <w:p w14:paraId="5AAD3F39" w14:textId="0B15716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Reduction of speed limits, 20mph zones / other</w:t>
            </w:r>
          </w:p>
        </w:tc>
        <w:tc>
          <w:tcPr>
            <w:tcW w:w="268" w:type="pct"/>
            <w:shd w:val="clear" w:color="auto" w:fill="DEEAF6" w:themeFill="accent5" w:themeFillTint="33"/>
          </w:tcPr>
          <w:p w14:paraId="435F630B" w14:textId="50AD16A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2024</w:t>
            </w:r>
          </w:p>
        </w:tc>
        <w:tc>
          <w:tcPr>
            <w:tcW w:w="293" w:type="pct"/>
            <w:shd w:val="clear" w:color="auto" w:fill="DEEAF6" w:themeFill="accent5" w:themeFillTint="33"/>
          </w:tcPr>
          <w:p w14:paraId="3D678812" w14:textId="1B4BA78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2028</w:t>
            </w:r>
          </w:p>
        </w:tc>
        <w:tc>
          <w:tcPr>
            <w:tcW w:w="317" w:type="pct"/>
            <w:shd w:val="clear" w:color="auto" w:fill="DEEAF6" w:themeFill="accent5" w:themeFillTint="33"/>
          </w:tcPr>
          <w:p w14:paraId="47DBE3AB" w14:textId="406737EB"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Transport Planning teams</w:t>
            </w:r>
          </w:p>
        </w:tc>
        <w:tc>
          <w:tcPr>
            <w:tcW w:w="268" w:type="pct"/>
            <w:shd w:val="clear" w:color="auto" w:fill="DEEAF6" w:themeFill="accent5" w:themeFillTint="33"/>
          </w:tcPr>
          <w:p w14:paraId="59B9FBC0" w14:textId="717B1B2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currently funded. Requires grant support</w:t>
            </w:r>
          </w:p>
        </w:tc>
        <w:tc>
          <w:tcPr>
            <w:tcW w:w="244" w:type="pct"/>
            <w:shd w:val="clear" w:color="auto" w:fill="DEEAF6" w:themeFill="accent5" w:themeFillTint="33"/>
          </w:tcPr>
          <w:p w14:paraId="4EFBCC6A" w14:textId="6A6BB42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DEEAF6" w:themeFill="accent5" w:themeFillTint="33"/>
          </w:tcPr>
          <w:p w14:paraId="2CDDEC47" w14:textId="40EB6FD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DEEAF6" w:themeFill="accent5" w:themeFillTint="33"/>
          </w:tcPr>
          <w:p w14:paraId="58BE3D9A" w14:textId="232EA15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£10k-£50k</w:t>
            </w:r>
          </w:p>
        </w:tc>
        <w:tc>
          <w:tcPr>
            <w:tcW w:w="244" w:type="pct"/>
            <w:shd w:val="clear" w:color="auto" w:fill="DEEAF6" w:themeFill="accent5" w:themeFillTint="33"/>
          </w:tcPr>
          <w:p w14:paraId="154E26AC" w14:textId="4EF0415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DEEAF6" w:themeFill="accent5" w:themeFillTint="33"/>
          </w:tcPr>
          <w:p w14:paraId="722E5346" w14:textId="7207DCC1"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Reduces emissions from vehicles travelling on major roads (not modelled specifically)</w:t>
            </w:r>
          </w:p>
        </w:tc>
        <w:tc>
          <w:tcPr>
            <w:tcW w:w="342" w:type="pct"/>
            <w:shd w:val="clear" w:color="auto" w:fill="DEEAF6" w:themeFill="accent5" w:themeFillTint="33"/>
          </w:tcPr>
          <w:p w14:paraId="763D8682" w14:textId="32ACC7C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Measured impact on NO2 concentrations</w:t>
            </w:r>
          </w:p>
        </w:tc>
        <w:tc>
          <w:tcPr>
            <w:tcW w:w="463" w:type="pct"/>
            <w:shd w:val="clear" w:color="auto" w:fill="DEEAF6" w:themeFill="accent5" w:themeFillTint="33"/>
          </w:tcPr>
          <w:p w14:paraId="315E2097" w14:textId="297829D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Some traffic calming (speed reduction) is being introduced on the A4 as part of Safer A4 scheme. Exploration of traffic calming measures for other AQMAs not started </w:t>
            </w:r>
          </w:p>
        </w:tc>
        <w:tc>
          <w:tcPr>
            <w:tcW w:w="489" w:type="pct"/>
            <w:shd w:val="clear" w:color="auto" w:fill="DEEAF6" w:themeFill="accent5" w:themeFillTint="33"/>
          </w:tcPr>
          <w:p w14:paraId="031501F9" w14:textId="01E9876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Some AQMAS (AQMA 3 for example) already have 30mph speed limit imposed, so limited options to reduce further. Enforcement challenges exist</w:t>
            </w:r>
          </w:p>
        </w:tc>
      </w:tr>
      <w:tr w:rsidR="008B27B6" w:rsidRPr="00E3664B" w14:paraId="17D6E2FA"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205BDA56" w14:textId="22D833B0" w:rsidR="002A6774" w:rsidRDefault="002A6774" w:rsidP="002A6774">
            <w:pPr>
              <w:suppressAutoHyphens/>
              <w:spacing w:line="240" w:lineRule="auto"/>
              <w:rPr>
                <w:rFonts w:cs="Arial"/>
                <w:color w:val="FF0000"/>
                <w:sz w:val="18"/>
                <w:szCs w:val="18"/>
              </w:rPr>
            </w:pPr>
            <w:r>
              <w:rPr>
                <w:rFonts w:cs="Arial"/>
                <w:sz w:val="18"/>
                <w:szCs w:val="18"/>
              </w:rPr>
              <w:t>21 (HEA1a)</w:t>
            </w:r>
          </w:p>
        </w:tc>
        <w:tc>
          <w:tcPr>
            <w:tcW w:w="293" w:type="pct"/>
            <w:shd w:val="clear" w:color="auto" w:fill="E2EFD9" w:themeFill="accent6" w:themeFillTint="33"/>
          </w:tcPr>
          <w:p w14:paraId="7ED3C6EB" w14:textId="4FE2F400"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Redevelop and relaunch Smarter Travel Programme </w:t>
            </w:r>
          </w:p>
        </w:tc>
        <w:tc>
          <w:tcPr>
            <w:tcW w:w="268" w:type="pct"/>
            <w:shd w:val="clear" w:color="auto" w:fill="E2EFD9" w:themeFill="accent6" w:themeFillTint="33"/>
          </w:tcPr>
          <w:p w14:paraId="1D830F9F" w14:textId="50B789A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47FB101E" w14:textId="2C299E5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Other </w:t>
            </w:r>
          </w:p>
        </w:tc>
        <w:tc>
          <w:tcPr>
            <w:tcW w:w="268" w:type="pct"/>
            <w:shd w:val="clear" w:color="auto" w:fill="E2EFD9" w:themeFill="accent6" w:themeFillTint="33"/>
          </w:tcPr>
          <w:p w14:paraId="05A62213" w14:textId="53AC706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5175D7D7" w14:textId="196128D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E2EFD9" w:themeFill="accent6" w:themeFillTint="33"/>
          </w:tcPr>
          <w:p w14:paraId="30E64200" w14:textId="3F687887"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Transport, Sustainable Transport and Public Health teams </w:t>
            </w:r>
          </w:p>
        </w:tc>
        <w:tc>
          <w:tcPr>
            <w:tcW w:w="268" w:type="pct"/>
            <w:shd w:val="clear" w:color="auto" w:fill="E2EFD9" w:themeFill="accent6" w:themeFillTint="33"/>
          </w:tcPr>
          <w:p w14:paraId="0C7ECD40" w14:textId="25E4A44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7794BC28" w14:textId="4F7E9AA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2003354E" w14:textId="46FF92E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3620C508" w14:textId="55B324B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£10k-£50k</w:t>
            </w:r>
          </w:p>
        </w:tc>
        <w:tc>
          <w:tcPr>
            <w:tcW w:w="244" w:type="pct"/>
            <w:shd w:val="clear" w:color="auto" w:fill="E2EFD9" w:themeFill="accent6" w:themeFillTint="33"/>
          </w:tcPr>
          <w:p w14:paraId="223399A0" w14:textId="5493A1C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3099612C" w14:textId="28A307A2"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0731AADB" w14:textId="4AB7388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participants </w:t>
            </w:r>
          </w:p>
        </w:tc>
        <w:tc>
          <w:tcPr>
            <w:tcW w:w="463" w:type="pct"/>
            <w:shd w:val="clear" w:color="auto" w:fill="E2EFD9" w:themeFill="accent6" w:themeFillTint="33"/>
          </w:tcPr>
          <w:p w14:paraId="17744D2E" w14:textId="72016BC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E2EFD9" w:themeFill="accent6" w:themeFillTint="33"/>
          </w:tcPr>
          <w:p w14:paraId="63C1AB56" w14:textId="0884CDC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Programme existed under the Access Fund / Capability Fund, however lack of officer resource has affected delivery. Partnership working  across departments has been </w:t>
            </w:r>
            <w:r w:rsidR="004103E0">
              <w:rPr>
                <w:rFonts w:cs="Arial"/>
                <w:sz w:val="18"/>
                <w:szCs w:val="18"/>
              </w:rPr>
              <w:t>initiated</w:t>
            </w:r>
            <w:r>
              <w:rPr>
                <w:rFonts w:cs="Arial"/>
                <w:sz w:val="18"/>
                <w:szCs w:val="18"/>
              </w:rPr>
              <w:t xml:space="preserve"> to support this programme </w:t>
            </w:r>
          </w:p>
        </w:tc>
      </w:tr>
      <w:tr w:rsidR="008B27B6" w:rsidRPr="00E3664B" w14:paraId="01D42A51"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0BEAE9F8" w14:textId="0FA7BDD4" w:rsidR="002A6774" w:rsidRDefault="002A6774" w:rsidP="002A6774">
            <w:pPr>
              <w:suppressAutoHyphens/>
              <w:spacing w:line="240" w:lineRule="auto"/>
              <w:rPr>
                <w:rFonts w:cs="Arial"/>
                <w:color w:val="FF0000"/>
                <w:sz w:val="18"/>
                <w:szCs w:val="18"/>
              </w:rPr>
            </w:pPr>
            <w:r>
              <w:rPr>
                <w:rFonts w:cs="Arial"/>
                <w:sz w:val="18"/>
                <w:szCs w:val="18"/>
              </w:rPr>
              <w:lastRenderedPageBreak/>
              <w:t>22 (HEA1b)</w:t>
            </w:r>
          </w:p>
        </w:tc>
        <w:tc>
          <w:tcPr>
            <w:tcW w:w="293" w:type="pct"/>
            <w:shd w:val="clear" w:color="auto" w:fill="E2EFD9" w:themeFill="accent6" w:themeFillTint="33"/>
          </w:tcPr>
          <w:p w14:paraId="4E1E77A1" w14:textId="3A47D9F1"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Develop travel plan toolkit for businesses, schools, healthcare establishments and local communities</w:t>
            </w:r>
          </w:p>
        </w:tc>
        <w:tc>
          <w:tcPr>
            <w:tcW w:w="268" w:type="pct"/>
            <w:shd w:val="clear" w:color="auto" w:fill="E2EFD9" w:themeFill="accent6" w:themeFillTint="33"/>
          </w:tcPr>
          <w:p w14:paraId="01E03F99" w14:textId="7180D7C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12F47779" w14:textId="76E2D65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Personalised travel planning</w:t>
            </w:r>
          </w:p>
        </w:tc>
        <w:tc>
          <w:tcPr>
            <w:tcW w:w="268" w:type="pct"/>
            <w:shd w:val="clear" w:color="auto" w:fill="E2EFD9" w:themeFill="accent6" w:themeFillTint="33"/>
          </w:tcPr>
          <w:p w14:paraId="47981ADA" w14:textId="7745BAE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314AE906" w14:textId="4920B831"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317" w:type="pct"/>
            <w:shd w:val="clear" w:color="auto" w:fill="E2EFD9" w:themeFill="accent6" w:themeFillTint="33"/>
          </w:tcPr>
          <w:p w14:paraId="21DA5E21" w14:textId="0746FC28"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Transport, Sustainable Transport and Public Health teams </w:t>
            </w:r>
          </w:p>
        </w:tc>
        <w:tc>
          <w:tcPr>
            <w:tcW w:w="268" w:type="pct"/>
            <w:shd w:val="clear" w:color="auto" w:fill="E2EFD9" w:themeFill="accent6" w:themeFillTint="33"/>
          </w:tcPr>
          <w:p w14:paraId="5159CE63" w14:textId="4944418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7D4F80DB" w14:textId="5A92BE5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6E0F4A0A" w14:textId="4A9C274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5B9864D5" w14:textId="639CBB2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£10k-£50k</w:t>
            </w:r>
          </w:p>
        </w:tc>
        <w:tc>
          <w:tcPr>
            <w:tcW w:w="244" w:type="pct"/>
            <w:shd w:val="clear" w:color="auto" w:fill="E2EFD9" w:themeFill="accent6" w:themeFillTint="33"/>
          </w:tcPr>
          <w:p w14:paraId="00611B52" w14:textId="0EC546A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2861C765" w14:textId="7508B411"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4A2B46C8" w14:textId="2DB7FDB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website hits, number of plans developed</w:t>
            </w:r>
          </w:p>
        </w:tc>
        <w:tc>
          <w:tcPr>
            <w:tcW w:w="463" w:type="pct"/>
            <w:shd w:val="clear" w:color="auto" w:fill="E2EFD9" w:themeFill="accent6" w:themeFillTint="33"/>
          </w:tcPr>
          <w:p w14:paraId="79474DC1" w14:textId="068CA0F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E2EFD9" w:themeFill="accent6" w:themeFillTint="33"/>
          </w:tcPr>
          <w:p w14:paraId="3F7EE2EB" w14:textId="5C07A42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Potential barrier may be capacity issues - will be addressed by joint steering group</w:t>
            </w:r>
          </w:p>
        </w:tc>
      </w:tr>
      <w:tr w:rsidR="008B27B6" w:rsidRPr="00E3664B" w14:paraId="3FE980F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0FE53857" w14:textId="2219F6F3" w:rsidR="002A6774" w:rsidRDefault="002A6774" w:rsidP="002A6774">
            <w:pPr>
              <w:suppressAutoHyphens/>
              <w:spacing w:line="240" w:lineRule="auto"/>
              <w:rPr>
                <w:rFonts w:cs="Arial"/>
                <w:color w:val="FF0000"/>
                <w:sz w:val="18"/>
                <w:szCs w:val="18"/>
              </w:rPr>
            </w:pPr>
            <w:r>
              <w:rPr>
                <w:rFonts w:cs="Arial"/>
                <w:sz w:val="18"/>
                <w:szCs w:val="18"/>
              </w:rPr>
              <w:t>23 (HEA1c)</w:t>
            </w:r>
          </w:p>
        </w:tc>
        <w:tc>
          <w:tcPr>
            <w:tcW w:w="293" w:type="pct"/>
            <w:shd w:val="clear" w:color="auto" w:fill="E2EFD9" w:themeFill="accent6" w:themeFillTint="33"/>
          </w:tcPr>
          <w:p w14:paraId="67AF1A79" w14:textId="419469AE"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Launch a road safety education and training programme for businesses, schools, healthcare establishments and local communities </w:t>
            </w:r>
          </w:p>
        </w:tc>
        <w:tc>
          <w:tcPr>
            <w:tcW w:w="268" w:type="pct"/>
            <w:shd w:val="clear" w:color="auto" w:fill="E2EFD9" w:themeFill="accent6" w:themeFillTint="33"/>
          </w:tcPr>
          <w:p w14:paraId="43978EFD" w14:textId="75A721C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2855637E" w14:textId="27C7F33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Other </w:t>
            </w:r>
          </w:p>
        </w:tc>
        <w:tc>
          <w:tcPr>
            <w:tcW w:w="268" w:type="pct"/>
            <w:shd w:val="clear" w:color="auto" w:fill="E2EFD9" w:themeFill="accent6" w:themeFillTint="33"/>
          </w:tcPr>
          <w:p w14:paraId="6ED69B9B" w14:textId="3CCB2F1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3A1C8A69" w14:textId="59DB886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Ongoing</w:t>
            </w:r>
          </w:p>
        </w:tc>
        <w:tc>
          <w:tcPr>
            <w:tcW w:w="317" w:type="pct"/>
            <w:shd w:val="clear" w:color="auto" w:fill="E2EFD9" w:themeFill="accent6" w:themeFillTint="33"/>
          </w:tcPr>
          <w:p w14:paraId="73F6B6C8" w14:textId="560DF1CD"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Transport, Sustainable Transport and Public Health teams </w:t>
            </w:r>
          </w:p>
        </w:tc>
        <w:tc>
          <w:tcPr>
            <w:tcW w:w="268" w:type="pct"/>
            <w:shd w:val="clear" w:color="auto" w:fill="E2EFD9" w:themeFill="accent6" w:themeFillTint="33"/>
          </w:tcPr>
          <w:p w14:paraId="5ACF1249" w14:textId="7002196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54FD6FA2" w14:textId="1B94FBF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19B07006" w14:textId="3D92856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20C64550" w14:textId="39147804"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£10k-£50k</w:t>
            </w:r>
          </w:p>
        </w:tc>
        <w:tc>
          <w:tcPr>
            <w:tcW w:w="244" w:type="pct"/>
            <w:shd w:val="clear" w:color="auto" w:fill="E2EFD9" w:themeFill="accent6" w:themeFillTint="33"/>
          </w:tcPr>
          <w:p w14:paraId="715DCB34" w14:textId="614D02C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36496C1F" w14:textId="5C2B606F"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39C5C032" w14:textId="6542A23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Number of participants, number of cyclists on main cycle routes  </w:t>
            </w:r>
          </w:p>
        </w:tc>
        <w:tc>
          <w:tcPr>
            <w:tcW w:w="463" w:type="pct"/>
            <w:shd w:val="clear" w:color="auto" w:fill="E2EFD9" w:themeFill="accent6" w:themeFillTint="33"/>
          </w:tcPr>
          <w:p w14:paraId="726B1D52" w14:textId="485654F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E2EFD9" w:themeFill="accent6" w:themeFillTint="33"/>
          </w:tcPr>
          <w:p w14:paraId="1250C6DB" w14:textId="3305CBD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Potential barrier may be capacity issues - will be addressed by joint steering group</w:t>
            </w:r>
          </w:p>
        </w:tc>
      </w:tr>
      <w:tr w:rsidR="008B27B6" w:rsidRPr="00E3664B" w14:paraId="4B59BC41"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0A35B656" w14:textId="183F80F7" w:rsidR="002A6774" w:rsidRDefault="002A6774" w:rsidP="002A6774">
            <w:pPr>
              <w:suppressAutoHyphens/>
              <w:spacing w:line="240" w:lineRule="auto"/>
              <w:rPr>
                <w:rFonts w:cs="Arial"/>
                <w:color w:val="FF0000"/>
                <w:sz w:val="18"/>
                <w:szCs w:val="18"/>
              </w:rPr>
            </w:pPr>
            <w:r>
              <w:rPr>
                <w:rFonts w:cs="Arial"/>
                <w:sz w:val="18"/>
                <w:szCs w:val="18"/>
              </w:rPr>
              <w:t>24 (HEA1d)</w:t>
            </w:r>
          </w:p>
        </w:tc>
        <w:tc>
          <w:tcPr>
            <w:tcW w:w="293" w:type="pct"/>
            <w:shd w:val="clear" w:color="auto" w:fill="E2EFD9" w:themeFill="accent6" w:themeFillTint="33"/>
          </w:tcPr>
          <w:p w14:paraId="49A0C188" w14:textId="49BADD24" w:rsidR="002A6774" w:rsidRPr="00734DC2" w:rsidRDefault="002A6774" w:rsidP="002A6774">
            <w:pPr>
              <w:suppressAutoHyphens/>
              <w:spacing w:line="240" w:lineRule="auto"/>
              <w:ind w:hanging="27"/>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Develop an events delivery plan for businesses, schools, healthcare and communities </w:t>
            </w:r>
          </w:p>
        </w:tc>
        <w:tc>
          <w:tcPr>
            <w:tcW w:w="268" w:type="pct"/>
            <w:shd w:val="clear" w:color="auto" w:fill="E2EFD9" w:themeFill="accent6" w:themeFillTint="33"/>
          </w:tcPr>
          <w:p w14:paraId="372D5267" w14:textId="20C28E4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60BF04A5" w14:textId="62D9690C"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Other</w:t>
            </w:r>
          </w:p>
        </w:tc>
        <w:tc>
          <w:tcPr>
            <w:tcW w:w="268" w:type="pct"/>
            <w:shd w:val="clear" w:color="auto" w:fill="E2EFD9" w:themeFill="accent6" w:themeFillTint="33"/>
          </w:tcPr>
          <w:p w14:paraId="1B2215DF" w14:textId="499FEC1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05ADBD05" w14:textId="17311C6E"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Ongoing</w:t>
            </w:r>
          </w:p>
        </w:tc>
        <w:tc>
          <w:tcPr>
            <w:tcW w:w="317" w:type="pct"/>
            <w:shd w:val="clear" w:color="auto" w:fill="E2EFD9" w:themeFill="accent6" w:themeFillTint="33"/>
          </w:tcPr>
          <w:p w14:paraId="75391459" w14:textId="521C54EB"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 xml:space="preserve">Carbon &amp; Sustainability, Transport, Sustainable Transport and Public Health teams </w:t>
            </w:r>
          </w:p>
        </w:tc>
        <w:tc>
          <w:tcPr>
            <w:tcW w:w="268" w:type="pct"/>
            <w:shd w:val="clear" w:color="auto" w:fill="E2EFD9" w:themeFill="accent6" w:themeFillTint="33"/>
          </w:tcPr>
          <w:p w14:paraId="29CE88A1" w14:textId="23F2949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735C4A59" w14:textId="2C3C0B5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369D2B93" w14:textId="168B432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469D67F7" w14:textId="779BD40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E2EFD9" w:themeFill="accent6" w:themeFillTint="33"/>
          </w:tcPr>
          <w:p w14:paraId="1FAA4619" w14:textId="30221ED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624FFEFA" w14:textId="5AC615EB"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31F5AB1E" w14:textId="7C2A592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participants engaging and taking part in events</w:t>
            </w:r>
          </w:p>
        </w:tc>
        <w:tc>
          <w:tcPr>
            <w:tcW w:w="463" w:type="pct"/>
            <w:shd w:val="clear" w:color="auto" w:fill="E2EFD9" w:themeFill="accent6" w:themeFillTint="33"/>
          </w:tcPr>
          <w:p w14:paraId="38B25FC3" w14:textId="7FAB175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started</w:t>
            </w:r>
          </w:p>
        </w:tc>
        <w:tc>
          <w:tcPr>
            <w:tcW w:w="489" w:type="pct"/>
            <w:shd w:val="clear" w:color="auto" w:fill="E2EFD9" w:themeFill="accent6" w:themeFillTint="33"/>
          </w:tcPr>
          <w:p w14:paraId="2E1088B8" w14:textId="61AB4D47"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 barriers expected as measure focuses on partnership working</w:t>
            </w:r>
          </w:p>
        </w:tc>
      </w:tr>
      <w:tr w:rsidR="008B27B6" w:rsidRPr="00E3664B" w14:paraId="3BFFB635"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65689CB2" w14:textId="0DE9849B" w:rsidR="002A6774" w:rsidRDefault="002A6774" w:rsidP="002A6774">
            <w:pPr>
              <w:suppressAutoHyphens/>
              <w:spacing w:line="240" w:lineRule="auto"/>
              <w:rPr>
                <w:rFonts w:cs="Arial"/>
                <w:color w:val="FF0000"/>
                <w:sz w:val="18"/>
                <w:szCs w:val="18"/>
              </w:rPr>
            </w:pPr>
            <w:r>
              <w:rPr>
                <w:rFonts w:cs="Arial"/>
                <w:sz w:val="18"/>
                <w:szCs w:val="18"/>
              </w:rPr>
              <w:t>25 (HEA1e)</w:t>
            </w:r>
          </w:p>
        </w:tc>
        <w:tc>
          <w:tcPr>
            <w:tcW w:w="293" w:type="pct"/>
            <w:shd w:val="clear" w:color="auto" w:fill="E2EFD9" w:themeFill="accent6" w:themeFillTint="33"/>
          </w:tcPr>
          <w:p w14:paraId="79504681" w14:textId="1E350B09" w:rsidR="002A6774" w:rsidRPr="00734DC2"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Establish a school partnership to increase physical activity through active travel initiatives and raising air quality awareness through the school system</w:t>
            </w:r>
          </w:p>
        </w:tc>
        <w:tc>
          <w:tcPr>
            <w:tcW w:w="268" w:type="pct"/>
            <w:shd w:val="clear" w:color="auto" w:fill="E2EFD9" w:themeFill="accent6" w:themeFillTint="33"/>
          </w:tcPr>
          <w:p w14:paraId="17ADCE02" w14:textId="73F5136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01C4E20C" w14:textId="1BF5A2D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Other</w:t>
            </w:r>
          </w:p>
        </w:tc>
        <w:tc>
          <w:tcPr>
            <w:tcW w:w="268" w:type="pct"/>
            <w:shd w:val="clear" w:color="auto" w:fill="E2EFD9" w:themeFill="accent6" w:themeFillTint="33"/>
          </w:tcPr>
          <w:p w14:paraId="79208620" w14:textId="3975F9B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6FC67A6D" w14:textId="7DF8A30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Ongoing</w:t>
            </w:r>
          </w:p>
        </w:tc>
        <w:tc>
          <w:tcPr>
            <w:tcW w:w="317" w:type="pct"/>
            <w:shd w:val="clear" w:color="auto" w:fill="E2EFD9" w:themeFill="accent6" w:themeFillTint="33"/>
          </w:tcPr>
          <w:p w14:paraId="2C53A1A8" w14:textId="46928E45"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Transport, Sustainable Transport and Public Health teams and schools</w:t>
            </w:r>
          </w:p>
        </w:tc>
        <w:tc>
          <w:tcPr>
            <w:tcW w:w="268" w:type="pct"/>
            <w:shd w:val="clear" w:color="auto" w:fill="E2EFD9" w:themeFill="accent6" w:themeFillTint="33"/>
          </w:tcPr>
          <w:p w14:paraId="1F6D7FD4" w14:textId="7F68C15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46CD9AAB" w14:textId="70CECD8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58B363DE" w14:textId="48AF651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Funded</w:t>
            </w:r>
          </w:p>
        </w:tc>
        <w:tc>
          <w:tcPr>
            <w:tcW w:w="268" w:type="pct"/>
            <w:shd w:val="clear" w:color="auto" w:fill="E2EFD9" w:themeFill="accent6" w:themeFillTint="33"/>
          </w:tcPr>
          <w:p w14:paraId="750B1C01" w14:textId="0BC72F3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E2EFD9" w:themeFill="accent6" w:themeFillTint="33"/>
          </w:tcPr>
          <w:p w14:paraId="463E42D5" w14:textId="736AA8A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5D96B194" w14:textId="4D3AE63A"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7927708D" w14:textId="647FB9B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Number of participants in school active travel initiatives</w:t>
            </w:r>
          </w:p>
        </w:tc>
        <w:tc>
          <w:tcPr>
            <w:tcW w:w="463" w:type="pct"/>
            <w:shd w:val="clear" w:color="auto" w:fill="E2EFD9" w:themeFill="accent6" w:themeFillTint="33"/>
          </w:tcPr>
          <w:p w14:paraId="7915BFBD" w14:textId="1305D15F"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Not started </w:t>
            </w:r>
          </w:p>
        </w:tc>
        <w:tc>
          <w:tcPr>
            <w:tcW w:w="489" w:type="pct"/>
            <w:shd w:val="clear" w:color="auto" w:fill="E2EFD9" w:themeFill="accent6" w:themeFillTint="33"/>
          </w:tcPr>
          <w:p w14:paraId="5269B2DD" w14:textId="613DDC16"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 xml:space="preserve">Potential barrier may be capacity issues, and lack of school interest </w:t>
            </w:r>
          </w:p>
        </w:tc>
      </w:tr>
      <w:tr w:rsidR="008B27B6" w:rsidRPr="00E3664B" w14:paraId="31A34929" w14:textId="77777777" w:rsidTr="008B27B6">
        <w:trPr>
          <w:trHeight w:val="552"/>
        </w:trPr>
        <w:tc>
          <w:tcPr>
            <w:cnfStyle w:val="001000000000" w:firstRow="0" w:lastRow="0" w:firstColumn="1" w:lastColumn="0" w:oddVBand="0" w:evenVBand="0" w:oddHBand="0" w:evenHBand="0" w:firstRowFirstColumn="0" w:firstRowLastColumn="0" w:lastRowFirstColumn="0" w:lastRowLastColumn="0"/>
            <w:tcW w:w="170" w:type="pct"/>
            <w:shd w:val="clear" w:color="auto" w:fill="E2EFD9" w:themeFill="accent6" w:themeFillTint="33"/>
          </w:tcPr>
          <w:p w14:paraId="697D584A" w14:textId="0203E1D6" w:rsidR="002A6774" w:rsidRDefault="002A6774" w:rsidP="002A6774">
            <w:pPr>
              <w:suppressAutoHyphens/>
              <w:spacing w:line="240" w:lineRule="auto"/>
              <w:rPr>
                <w:rFonts w:cs="Arial"/>
                <w:color w:val="FF0000"/>
                <w:sz w:val="18"/>
                <w:szCs w:val="18"/>
              </w:rPr>
            </w:pPr>
            <w:r>
              <w:rPr>
                <w:rFonts w:cs="Arial"/>
                <w:sz w:val="18"/>
                <w:szCs w:val="18"/>
              </w:rPr>
              <w:t>26 (HEA1f)</w:t>
            </w:r>
          </w:p>
        </w:tc>
        <w:tc>
          <w:tcPr>
            <w:tcW w:w="293" w:type="pct"/>
            <w:shd w:val="clear" w:color="auto" w:fill="E2EFD9" w:themeFill="accent6" w:themeFillTint="33"/>
          </w:tcPr>
          <w:p w14:paraId="08B0FD55" w14:textId="6E556BD2" w:rsidR="002A6774" w:rsidRPr="00734DC2" w:rsidRDefault="002A6774" w:rsidP="002A6774">
            <w:pPr>
              <w:suppressAutoHyphens/>
              <w:spacing w:line="240" w:lineRule="auto"/>
              <w:ind w:left="58"/>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Deliver a campaign focusing on roadside emissions including emission and exposure reduction solutions</w:t>
            </w:r>
          </w:p>
        </w:tc>
        <w:tc>
          <w:tcPr>
            <w:tcW w:w="268" w:type="pct"/>
            <w:shd w:val="clear" w:color="auto" w:fill="E2EFD9" w:themeFill="accent6" w:themeFillTint="33"/>
          </w:tcPr>
          <w:p w14:paraId="08F34F51" w14:textId="5E164B5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Promoting travel alternatives</w:t>
            </w:r>
          </w:p>
        </w:tc>
        <w:tc>
          <w:tcPr>
            <w:tcW w:w="317" w:type="pct"/>
            <w:shd w:val="clear" w:color="auto" w:fill="E2EFD9" w:themeFill="accent6" w:themeFillTint="33"/>
          </w:tcPr>
          <w:p w14:paraId="79369B0F" w14:textId="1855A379"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Intensive active travel campaign &amp; infrastructure</w:t>
            </w:r>
          </w:p>
        </w:tc>
        <w:tc>
          <w:tcPr>
            <w:tcW w:w="268" w:type="pct"/>
            <w:shd w:val="clear" w:color="auto" w:fill="E2EFD9" w:themeFill="accent6" w:themeFillTint="33"/>
          </w:tcPr>
          <w:p w14:paraId="3EE776F9" w14:textId="286D226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2025</w:t>
            </w:r>
          </w:p>
        </w:tc>
        <w:tc>
          <w:tcPr>
            <w:tcW w:w="293" w:type="pct"/>
            <w:shd w:val="clear" w:color="auto" w:fill="E2EFD9" w:themeFill="accent6" w:themeFillTint="33"/>
          </w:tcPr>
          <w:p w14:paraId="50CC1748" w14:textId="7DCD0A1A"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2026</w:t>
            </w:r>
          </w:p>
        </w:tc>
        <w:tc>
          <w:tcPr>
            <w:tcW w:w="317" w:type="pct"/>
            <w:shd w:val="clear" w:color="auto" w:fill="E2EFD9" w:themeFill="accent6" w:themeFillTint="33"/>
          </w:tcPr>
          <w:p w14:paraId="40A6036B" w14:textId="3E0974FE" w:rsidR="002A6774" w:rsidRPr="005D760F" w:rsidRDefault="002A6774" w:rsidP="002A677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color w:val="FF0000"/>
                <w:sz w:val="18"/>
                <w:szCs w:val="18"/>
              </w:rPr>
            </w:pPr>
            <w:r>
              <w:rPr>
                <w:rFonts w:cs="Arial"/>
                <w:sz w:val="18"/>
                <w:szCs w:val="18"/>
              </w:rPr>
              <w:t>Carbon &amp; Sustainability, Transport, Sustainable Transport and Public Health teams and schools</w:t>
            </w:r>
          </w:p>
        </w:tc>
        <w:tc>
          <w:tcPr>
            <w:tcW w:w="268" w:type="pct"/>
            <w:shd w:val="clear" w:color="auto" w:fill="E2EFD9" w:themeFill="accent6" w:themeFillTint="33"/>
          </w:tcPr>
          <w:p w14:paraId="3BDDE6AE" w14:textId="0BD9FD55"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Active Travel England, General fund</w:t>
            </w:r>
          </w:p>
        </w:tc>
        <w:tc>
          <w:tcPr>
            <w:tcW w:w="244" w:type="pct"/>
            <w:shd w:val="clear" w:color="auto" w:fill="E2EFD9" w:themeFill="accent6" w:themeFillTint="33"/>
          </w:tcPr>
          <w:p w14:paraId="4AE76DA3" w14:textId="44D85D2D"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w:t>
            </w:r>
          </w:p>
        </w:tc>
        <w:tc>
          <w:tcPr>
            <w:tcW w:w="244" w:type="pct"/>
            <w:shd w:val="clear" w:color="auto" w:fill="E2EFD9" w:themeFill="accent6" w:themeFillTint="33"/>
          </w:tcPr>
          <w:p w14:paraId="2B65EA8C" w14:textId="3B7B632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Funded</w:t>
            </w:r>
          </w:p>
        </w:tc>
        <w:tc>
          <w:tcPr>
            <w:tcW w:w="268" w:type="pct"/>
            <w:shd w:val="clear" w:color="auto" w:fill="E2EFD9" w:themeFill="accent6" w:themeFillTint="33"/>
          </w:tcPr>
          <w:p w14:paraId="7FE3B8A6" w14:textId="0796FCC0"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&lt;£10k</w:t>
            </w:r>
          </w:p>
        </w:tc>
        <w:tc>
          <w:tcPr>
            <w:tcW w:w="244" w:type="pct"/>
            <w:shd w:val="clear" w:color="auto" w:fill="E2EFD9" w:themeFill="accent6" w:themeFillTint="33"/>
          </w:tcPr>
          <w:p w14:paraId="5E2FB68F" w14:textId="466B0CB8"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Planning</w:t>
            </w:r>
          </w:p>
        </w:tc>
        <w:tc>
          <w:tcPr>
            <w:tcW w:w="512" w:type="pct"/>
            <w:shd w:val="clear" w:color="auto" w:fill="E2EFD9" w:themeFill="accent6" w:themeFillTint="33"/>
          </w:tcPr>
          <w:p w14:paraId="677B6855" w14:textId="5E5A6B01" w:rsidR="002A6774" w:rsidRPr="007B7676"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7B7676">
              <w:rPr>
                <w:rFonts w:cs="Arial"/>
                <w:sz w:val="18"/>
                <w:szCs w:val="18"/>
              </w:rPr>
              <w:t xml:space="preserve">Reduced emissions from private vehicles. Measure contributes to following pollutant reductions: </w:t>
            </w:r>
            <w:r w:rsidRPr="007B7676">
              <w:rPr>
                <w:rFonts w:cs="Arial"/>
                <w:sz w:val="18"/>
                <w:szCs w:val="18"/>
              </w:rPr>
              <w:br/>
              <w:t>NO</w:t>
            </w:r>
            <w:r w:rsidRPr="007B7676">
              <w:rPr>
                <w:rFonts w:cs="Arial"/>
                <w:sz w:val="18"/>
                <w:szCs w:val="18"/>
                <w:vertAlign w:val="subscript"/>
              </w:rPr>
              <w:t>2</w:t>
            </w:r>
            <w:r w:rsidRPr="007B7676">
              <w:rPr>
                <w:rFonts w:cs="Arial"/>
                <w:sz w:val="18"/>
                <w:szCs w:val="18"/>
              </w:rPr>
              <w:t>: 1.61</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10</w:t>
            </w:r>
            <w:r w:rsidRPr="007B7676">
              <w:rPr>
                <w:rFonts w:cs="Arial"/>
                <w:sz w:val="18"/>
                <w:szCs w:val="18"/>
              </w:rPr>
              <w:t>: 0.19</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PM</w:t>
            </w:r>
            <w:r w:rsidRPr="007B7676">
              <w:rPr>
                <w:rFonts w:cs="Arial"/>
                <w:sz w:val="18"/>
                <w:szCs w:val="18"/>
                <w:vertAlign w:val="subscript"/>
              </w:rPr>
              <w:t>2.5</w:t>
            </w:r>
            <w:r w:rsidRPr="007B7676">
              <w:rPr>
                <w:rFonts w:cs="Arial"/>
                <w:sz w:val="18"/>
                <w:szCs w:val="18"/>
              </w:rPr>
              <w:t>: 0.12</w:t>
            </w:r>
            <w:r w:rsidR="007B7676" w:rsidRPr="007B7676">
              <w:rPr>
                <w:rFonts w:cs="Arial"/>
                <w:color w:val="0B0C0C"/>
                <w:sz w:val="18"/>
                <w:szCs w:val="18"/>
              </w:rPr>
              <w:t>µ</w:t>
            </w:r>
            <w:r w:rsidRPr="007B7676">
              <w:rPr>
                <w:rFonts w:cs="Arial"/>
                <w:sz w:val="18"/>
                <w:szCs w:val="18"/>
              </w:rPr>
              <w:t>g/m</w:t>
            </w:r>
            <w:r w:rsidRPr="007B7676">
              <w:rPr>
                <w:rFonts w:cs="Arial"/>
                <w:sz w:val="18"/>
                <w:szCs w:val="18"/>
                <w:vertAlign w:val="superscript"/>
              </w:rPr>
              <w:t>3</w:t>
            </w:r>
            <w:r w:rsidRPr="007B7676">
              <w:rPr>
                <w:rFonts w:cs="Arial"/>
                <w:sz w:val="18"/>
                <w:szCs w:val="18"/>
              </w:rPr>
              <w:br/>
              <w:t>CO</w:t>
            </w:r>
            <w:r w:rsidRPr="007B7676">
              <w:rPr>
                <w:rFonts w:cs="Arial"/>
                <w:sz w:val="18"/>
                <w:szCs w:val="18"/>
                <w:vertAlign w:val="subscript"/>
              </w:rPr>
              <w:t>2</w:t>
            </w:r>
            <w:r w:rsidRPr="007B7676">
              <w:rPr>
                <w:rFonts w:cs="Arial"/>
                <w:sz w:val="18"/>
                <w:szCs w:val="18"/>
              </w:rPr>
              <w:t>: 102 kt (12.6%)</w:t>
            </w:r>
            <w:r w:rsidRPr="007B7676">
              <w:rPr>
                <w:rFonts w:cs="Arial"/>
                <w:sz w:val="18"/>
                <w:szCs w:val="18"/>
              </w:rPr>
              <w:br/>
            </w:r>
            <w:r w:rsidR="00E34B3D" w:rsidRPr="007B7676">
              <w:rPr>
                <w:rFonts w:cs="Arial"/>
                <w:sz w:val="18"/>
                <w:szCs w:val="18"/>
              </w:rPr>
              <w:t xml:space="preserve">(see </w:t>
            </w:r>
            <w:r w:rsidR="00E34B3D">
              <w:rPr>
                <w:rFonts w:cs="Arial"/>
                <w:sz w:val="18"/>
                <w:szCs w:val="18"/>
              </w:rPr>
              <w:t>Appendix D)</w:t>
            </w:r>
          </w:p>
        </w:tc>
        <w:tc>
          <w:tcPr>
            <w:tcW w:w="342" w:type="pct"/>
            <w:shd w:val="clear" w:color="auto" w:fill="E2EFD9" w:themeFill="accent6" w:themeFillTint="33"/>
          </w:tcPr>
          <w:p w14:paraId="045E83A9" w14:textId="3E7ED67B"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Hands up survey monitoring travel mode change</w:t>
            </w:r>
          </w:p>
        </w:tc>
        <w:tc>
          <w:tcPr>
            <w:tcW w:w="463" w:type="pct"/>
            <w:shd w:val="clear" w:color="auto" w:fill="E2EFD9" w:themeFill="accent6" w:themeFillTint="33"/>
          </w:tcPr>
          <w:p w14:paraId="38EDAAC2" w14:textId="22F6FA03"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Not started</w:t>
            </w:r>
          </w:p>
        </w:tc>
        <w:tc>
          <w:tcPr>
            <w:tcW w:w="489" w:type="pct"/>
            <w:shd w:val="clear" w:color="auto" w:fill="E2EFD9" w:themeFill="accent6" w:themeFillTint="33"/>
          </w:tcPr>
          <w:p w14:paraId="10BCAF71" w14:textId="77E209F2" w:rsidR="002A6774" w:rsidRPr="005D760F" w:rsidRDefault="002A6774" w:rsidP="002A6774">
            <w:pPr>
              <w:suppressAutoHyphens/>
              <w:spacing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Pr>
                <w:rFonts w:cs="Arial"/>
                <w:sz w:val="18"/>
                <w:szCs w:val="18"/>
              </w:rPr>
              <w:t>Delivery is dependent on funding availability</w:t>
            </w:r>
          </w:p>
        </w:tc>
      </w:tr>
      <w:bookmarkEnd w:id="153"/>
    </w:tbl>
    <w:p w14:paraId="33A36C39" w14:textId="77777777" w:rsidR="008B3788" w:rsidRDefault="008B3788" w:rsidP="008B3788">
      <w:pPr>
        <w:spacing w:before="0" w:after="0" w:line="240" w:lineRule="auto"/>
      </w:pPr>
    </w:p>
    <w:p w14:paraId="2004CC14" w14:textId="6F48BD76" w:rsidR="000C75ED" w:rsidRDefault="008B27B6" w:rsidP="008B3788">
      <w:r>
        <w:t>Colouring code key: l</w:t>
      </w:r>
      <w:r w:rsidR="000C75ED">
        <w:t xml:space="preserve">ight green = </w:t>
      </w:r>
      <w:r>
        <w:t>high air quality impact; y</w:t>
      </w:r>
      <w:r w:rsidR="000C75ED">
        <w:t xml:space="preserve">ellow = </w:t>
      </w:r>
      <w:r>
        <w:t>medium air quality impact; b</w:t>
      </w:r>
      <w:r w:rsidR="000C75ED">
        <w:t xml:space="preserve">lue = </w:t>
      </w:r>
      <w:r>
        <w:t>impact not modelled.</w:t>
      </w:r>
    </w:p>
    <w:p w14:paraId="01B11AC1" w14:textId="77777777" w:rsidR="000C75ED" w:rsidRDefault="000C75ED" w:rsidP="008B3788"/>
    <w:p w14:paraId="2EB5376D" w14:textId="77777777" w:rsidR="000C75ED" w:rsidRPr="008B3788" w:rsidRDefault="000C75ED" w:rsidP="008B3788"/>
    <w:p w14:paraId="5674389E" w14:textId="77777777" w:rsidR="008B3788" w:rsidRDefault="008B3788" w:rsidP="008B3788"/>
    <w:p w14:paraId="5BAF94E2" w14:textId="77777777" w:rsidR="008B3788" w:rsidRDefault="008B3788" w:rsidP="008B3788"/>
    <w:p w14:paraId="3310ABCF" w14:textId="77777777" w:rsidR="008B3788" w:rsidRDefault="008B3788" w:rsidP="008B3788"/>
    <w:p w14:paraId="1D6EF871" w14:textId="4D9AA881" w:rsidR="008B3788" w:rsidRPr="008B3788" w:rsidRDefault="008B3788" w:rsidP="008B3788">
      <w:pPr>
        <w:sectPr w:rsidR="008B3788" w:rsidRPr="008B3788" w:rsidSect="00863273">
          <w:footerReference w:type="default" r:id="rId22"/>
          <w:pgSz w:w="31678" w:h="23808" w:orient="landscape" w:code="8"/>
          <w:pgMar w:top="1418" w:right="1474" w:bottom="1418" w:left="1134" w:header="964" w:footer="454" w:gutter="0"/>
          <w:cols w:space="708"/>
          <w:docGrid w:linePitch="360"/>
        </w:sectPr>
      </w:pPr>
    </w:p>
    <w:p w14:paraId="453DCDB5" w14:textId="31E9DABF" w:rsidR="003671ED" w:rsidRPr="008B3788" w:rsidRDefault="003671ED" w:rsidP="00F77171">
      <w:pPr>
        <w:pStyle w:val="Heading1"/>
      </w:pPr>
      <w:bookmarkStart w:id="154" w:name="_Toc88486005"/>
      <w:bookmarkStart w:id="155" w:name="_Ref88488212"/>
      <w:bookmarkStart w:id="156" w:name="_Toc160129582"/>
      <w:r w:rsidRPr="00E3664B">
        <w:lastRenderedPageBreak/>
        <w:t>Appendix A</w:t>
      </w:r>
      <w:r w:rsidR="007512B5">
        <w:t>:</w:t>
      </w:r>
      <w:r w:rsidRPr="00E3664B">
        <w:t xml:space="preserve"> Response to Consultation</w:t>
      </w:r>
      <w:bookmarkEnd w:id="151"/>
      <w:bookmarkEnd w:id="152"/>
      <w:bookmarkEnd w:id="154"/>
      <w:bookmarkEnd w:id="155"/>
      <w:bookmarkEnd w:id="156"/>
    </w:p>
    <w:p w14:paraId="6F097D9B" w14:textId="787B9A1C" w:rsidR="003671ED" w:rsidRPr="00E3664B" w:rsidRDefault="003671ED" w:rsidP="0046508E">
      <w:pPr>
        <w:pStyle w:val="Caption"/>
      </w:pPr>
      <w:bookmarkStart w:id="157" w:name="_Toc418595852"/>
      <w:r w:rsidRPr="00E3664B">
        <w:t xml:space="preserve">Table A.1 </w:t>
      </w:r>
      <w:r w:rsidR="00BE428E" w:rsidRPr="00BE428E">
        <w:t>‒</w:t>
      </w:r>
      <w:r w:rsidRPr="00E3664B">
        <w:t xml:space="preserve"> Summary of Responses to Consultation and Stakeholder Engagement on the AQAP</w:t>
      </w:r>
      <w:bookmarkEnd w:id="157"/>
    </w:p>
    <w:tbl>
      <w:tblPr>
        <w:tblStyle w:val="LAQMReporting"/>
        <w:tblW w:w="0" w:type="auto"/>
        <w:tblLook w:val="04A0" w:firstRow="1" w:lastRow="0" w:firstColumn="1" w:lastColumn="0" w:noHBand="0" w:noVBand="1"/>
      </w:tblPr>
      <w:tblGrid>
        <w:gridCol w:w="2942"/>
        <w:gridCol w:w="2945"/>
        <w:gridCol w:w="8333"/>
      </w:tblGrid>
      <w:tr w:rsidR="003671ED" w:rsidRPr="00E3664B" w14:paraId="2FC819ED" w14:textId="77777777" w:rsidTr="004423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5" w:type="dxa"/>
          </w:tcPr>
          <w:p w14:paraId="5A248FE1" w14:textId="77777777" w:rsidR="003671ED" w:rsidRPr="00442353" w:rsidRDefault="003671ED" w:rsidP="00442353">
            <w:pPr>
              <w:rPr>
                <w:bCs/>
              </w:rPr>
            </w:pPr>
            <w:r w:rsidRPr="00442353">
              <w:rPr>
                <w:bCs/>
              </w:rPr>
              <w:t>Consultee</w:t>
            </w:r>
          </w:p>
        </w:tc>
        <w:tc>
          <w:tcPr>
            <w:tcW w:w="2948" w:type="dxa"/>
          </w:tcPr>
          <w:p w14:paraId="47B08C38" w14:textId="77777777" w:rsidR="003671ED" w:rsidRPr="00442353" w:rsidRDefault="003671ED" w:rsidP="00442353">
            <w:pPr>
              <w:cnfStyle w:val="100000000000" w:firstRow="1" w:lastRow="0" w:firstColumn="0" w:lastColumn="0" w:oddVBand="0" w:evenVBand="0" w:oddHBand="0" w:evenHBand="0" w:firstRowFirstColumn="0" w:firstRowLastColumn="0" w:lastRowFirstColumn="0" w:lastRowLastColumn="0"/>
              <w:rPr>
                <w:bCs/>
              </w:rPr>
            </w:pPr>
            <w:r w:rsidRPr="00442353">
              <w:rPr>
                <w:bCs/>
              </w:rPr>
              <w:t>Category</w:t>
            </w:r>
          </w:p>
        </w:tc>
        <w:tc>
          <w:tcPr>
            <w:tcW w:w="8347" w:type="dxa"/>
          </w:tcPr>
          <w:p w14:paraId="5B00263F" w14:textId="77777777" w:rsidR="003671ED" w:rsidRPr="00442353" w:rsidRDefault="003671ED" w:rsidP="00442353">
            <w:pPr>
              <w:cnfStyle w:val="100000000000" w:firstRow="1" w:lastRow="0" w:firstColumn="0" w:lastColumn="0" w:oddVBand="0" w:evenVBand="0" w:oddHBand="0" w:evenHBand="0" w:firstRowFirstColumn="0" w:firstRowLastColumn="0" w:lastRowFirstColumn="0" w:lastRowLastColumn="0"/>
              <w:rPr>
                <w:bCs/>
              </w:rPr>
            </w:pPr>
            <w:r w:rsidRPr="00442353">
              <w:rPr>
                <w:bCs/>
              </w:rPr>
              <w:t>Response</w:t>
            </w:r>
          </w:p>
        </w:tc>
      </w:tr>
      <w:tr w:rsidR="003671ED" w:rsidRPr="00E3664B" w14:paraId="72F0CA73" w14:textId="77777777" w:rsidTr="00442353">
        <w:tc>
          <w:tcPr>
            <w:cnfStyle w:val="001000000000" w:firstRow="0" w:lastRow="0" w:firstColumn="1" w:lastColumn="0" w:oddVBand="0" w:evenVBand="0" w:oddHBand="0" w:evenHBand="0" w:firstRowFirstColumn="0" w:firstRowLastColumn="0" w:lastRowFirstColumn="0" w:lastRowLastColumn="0"/>
            <w:tcW w:w="2945" w:type="dxa"/>
          </w:tcPr>
          <w:p w14:paraId="2A97672D" w14:textId="16D264FB" w:rsidR="003671ED" w:rsidRPr="00E3664B" w:rsidRDefault="003671ED" w:rsidP="0046508E">
            <w:pPr>
              <w:spacing w:before="60" w:after="60"/>
              <w:rPr>
                <w:color w:val="FF0000"/>
              </w:rPr>
            </w:pPr>
          </w:p>
        </w:tc>
        <w:tc>
          <w:tcPr>
            <w:tcW w:w="2948" w:type="dxa"/>
          </w:tcPr>
          <w:p w14:paraId="0D5DE72B" w14:textId="6078D6B9" w:rsidR="003671ED" w:rsidRPr="00E3664B" w:rsidRDefault="003671ED" w:rsidP="0046508E">
            <w:pPr>
              <w:spacing w:before="60" w:after="60"/>
              <w:cnfStyle w:val="000000000000" w:firstRow="0" w:lastRow="0" w:firstColumn="0" w:lastColumn="0" w:oddVBand="0" w:evenVBand="0" w:oddHBand="0" w:evenHBand="0" w:firstRowFirstColumn="0" w:firstRowLastColumn="0" w:lastRowFirstColumn="0" w:lastRowLastColumn="0"/>
              <w:rPr>
                <w:color w:val="FF0000"/>
              </w:rPr>
            </w:pPr>
          </w:p>
        </w:tc>
        <w:tc>
          <w:tcPr>
            <w:tcW w:w="8347" w:type="dxa"/>
          </w:tcPr>
          <w:p w14:paraId="667A0A7A" w14:textId="34BA0C5B" w:rsidR="003671ED" w:rsidRPr="00E3664B" w:rsidRDefault="003671ED" w:rsidP="0046508E">
            <w:pPr>
              <w:spacing w:before="60" w:after="60"/>
              <w:cnfStyle w:val="000000000000" w:firstRow="0" w:lastRow="0" w:firstColumn="0" w:lastColumn="0" w:oddVBand="0" w:evenVBand="0" w:oddHBand="0" w:evenHBand="0" w:firstRowFirstColumn="0" w:firstRowLastColumn="0" w:lastRowFirstColumn="0" w:lastRowLastColumn="0"/>
              <w:rPr>
                <w:color w:val="FF0000"/>
              </w:rPr>
            </w:pPr>
          </w:p>
        </w:tc>
      </w:tr>
      <w:tr w:rsidR="003671ED" w:rsidRPr="00E3664B" w14:paraId="50C471F2" w14:textId="77777777" w:rsidTr="00442353">
        <w:tc>
          <w:tcPr>
            <w:cnfStyle w:val="001000000000" w:firstRow="0" w:lastRow="0" w:firstColumn="1" w:lastColumn="0" w:oddVBand="0" w:evenVBand="0" w:oddHBand="0" w:evenHBand="0" w:firstRowFirstColumn="0" w:firstRowLastColumn="0" w:lastRowFirstColumn="0" w:lastRowLastColumn="0"/>
            <w:tcW w:w="2945" w:type="dxa"/>
          </w:tcPr>
          <w:p w14:paraId="1A939FB5" w14:textId="77777777" w:rsidR="003671ED" w:rsidRPr="00E3664B" w:rsidRDefault="003671ED" w:rsidP="0046508E">
            <w:pPr>
              <w:spacing w:before="60" w:after="60"/>
            </w:pPr>
          </w:p>
        </w:tc>
        <w:tc>
          <w:tcPr>
            <w:tcW w:w="2948" w:type="dxa"/>
          </w:tcPr>
          <w:p w14:paraId="2C629508" w14:textId="77777777" w:rsidR="003671ED" w:rsidRPr="00E3664B" w:rsidRDefault="003671ED" w:rsidP="0046508E">
            <w:pPr>
              <w:spacing w:before="60" w:after="60"/>
              <w:cnfStyle w:val="000000000000" w:firstRow="0" w:lastRow="0" w:firstColumn="0" w:lastColumn="0" w:oddVBand="0" w:evenVBand="0" w:oddHBand="0" w:evenHBand="0" w:firstRowFirstColumn="0" w:firstRowLastColumn="0" w:lastRowFirstColumn="0" w:lastRowLastColumn="0"/>
            </w:pPr>
          </w:p>
        </w:tc>
        <w:tc>
          <w:tcPr>
            <w:tcW w:w="8347" w:type="dxa"/>
          </w:tcPr>
          <w:p w14:paraId="5CFC292C" w14:textId="77777777" w:rsidR="003671ED" w:rsidRPr="00E3664B" w:rsidRDefault="003671ED" w:rsidP="0046508E">
            <w:pPr>
              <w:spacing w:before="60" w:after="60"/>
              <w:cnfStyle w:val="000000000000" w:firstRow="0" w:lastRow="0" w:firstColumn="0" w:lastColumn="0" w:oddVBand="0" w:evenVBand="0" w:oddHBand="0" w:evenHBand="0" w:firstRowFirstColumn="0" w:firstRowLastColumn="0" w:lastRowFirstColumn="0" w:lastRowLastColumn="0"/>
            </w:pPr>
          </w:p>
        </w:tc>
      </w:tr>
      <w:tr w:rsidR="00486017" w:rsidRPr="00E3664B" w14:paraId="7AE7F56D" w14:textId="77777777" w:rsidTr="00442353">
        <w:tc>
          <w:tcPr>
            <w:cnfStyle w:val="001000000000" w:firstRow="0" w:lastRow="0" w:firstColumn="1" w:lastColumn="0" w:oddVBand="0" w:evenVBand="0" w:oddHBand="0" w:evenHBand="0" w:firstRowFirstColumn="0" w:firstRowLastColumn="0" w:lastRowFirstColumn="0" w:lastRowLastColumn="0"/>
            <w:tcW w:w="2945" w:type="dxa"/>
          </w:tcPr>
          <w:p w14:paraId="43869770" w14:textId="77777777" w:rsidR="00486017" w:rsidRPr="00E3664B" w:rsidRDefault="00486017" w:rsidP="00486017">
            <w:pPr>
              <w:spacing w:before="60" w:after="60"/>
              <w:ind w:left="0"/>
              <w:jc w:val="left"/>
            </w:pPr>
          </w:p>
        </w:tc>
        <w:tc>
          <w:tcPr>
            <w:tcW w:w="2948" w:type="dxa"/>
          </w:tcPr>
          <w:p w14:paraId="1D6C7909" w14:textId="77777777" w:rsidR="00486017" w:rsidRPr="00E3664B" w:rsidRDefault="00486017" w:rsidP="0046508E">
            <w:pPr>
              <w:spacing w:before="60" w:after="60"/>
              <w:cnfStyle w:val="000000000000" w:firstRow="0" w:lastRow="0" w:firstColumn="0" w:lastColumn="0" w:oddVBand="0" w:evenVBand="0" w:oddHBand="0" w:evenHBand="0" w:firstRowFirstColumn="0" w:firstRowLastColumn="0" w:lastRowFirstColumn="0" w:lastRowLastColumn="0"/>
            </w:pPr>
          </w:p>
        </w:tc>
        <w:tc>
          <w:tcPr>
            <w:tcW w:w="8347" w:type="dxa"/>
          </w:tcPr>
          <w:p w14:paraId="656BFD79" w14:textId="77777777" w:rsidR="00486017" w:rsidRPr="00E3664B" w:rsidRDefault="00486017" w:rsidP="0046508E">
            <w:pPr>
              <w:spacing w:before="60" w:after="60"/>
              <w:cnfStyle w:val="000000000000" w:firstRow="0" w:lastRow="0" w:firstColumn="0" w:lastColumn="0" w:oddVBand="0" w:evenVBand="0" w:oddHBand="0" w:evenHBand="0" w:firstRowFirstColumn="0" w:firstRowLastColumn="0" w:lastRowFirstColumn="0" w:lastRowLastColumn="0"/>
            </w:pPr>
          </w:p>
        </w:tc>
      </w:tr>
    </w:tbl>
    <w:p w14:paraId="09669B19" w14:textId="43274D4F" w:rsidR="00486017" w:rsidRPr="004103E0" w:rsidRDefault="00486017" w:rsidP="00486017">
      <w:pPr>
        <w:rPr>
          <w:color w:val="FF0000"/>
        </w:rPr>
      </w:pPr>
      <w:r w:rsidRPr="00AC7A3A">
        <w:rPr>
          <w:color w:val="FF0000"/>
        </w:rPr>
        <w:t>[To be completed following consultation].</w:t>
      </w:r>
    </w:p>
    <w:p w14:paraId="0F94F5E0" w14:textId="77777777" w:rsidR="00486017" w:rsidRDefault="00486017" w:rsidP="00AC7A3A">
      <w:pPr>
        <w:spacing w:line="240" w:lineRule="auto"/>
      </w:pPr>
    </w:p>
    <w:p w14:paraId="7CA6A22F" w14:textId="77777777" w:rsidR="00AC7A3A" w:rsidRDefault="00AC7A3A" w:rsidP="00AC7A3A">
      <w:pPr>
        <w:pStyle w:val="AQAPText"/>
      </w:pPr>
      <w:bookmarkStart w:id="158" w:name="_Toc418595849"/>
      <w:bookmarkStart w:id="159" w:name="_Toc88486006"/>
      <w:bookmarkStart w:id="160" w:name="_Toc160129583"/>
    </w:p>
    <w:p w14:paraId="534D235E" w14:textId="77777777" w:rsidR="00AC7A3A" w:rsidRDefault="00AC7A3A" w:rsidP="00AC7A3A">
      <w:pPr>
        <w:pStyle w:val="AQAPText"/>
      </w:pPr>
    </w:p>
    <w:p w14:paraId="1CDAE748" w14:textId="77777777" w:rsidR="00AC7A3A" w:rsidRDefault="00AC7A3A" w:rsidP="00AC7A3A">
      <w:pPr>
        <w:pStyle w:val="AQAPText"/>
      </w:pPr>
    </w:p>
    <w:p w14:paraId="4310BDD7" w14:textId="54174C67" w:rsidR="003671ED" w:rsidRPr="00E3664B" w:rsidRDefault="003671ED" w:rsidP="00F77171">
      <w:pPr>
        <w:pStyle w:val="Heading1"/>
      </w:pPr>
      <w:r w:rsidRPr="00E3664B">
        <w:lastRenderedPageBreak/>
        <w:t>Appendix B</w:t>
      </w:r>
      <w:r w:rsidR="007512B5">
        <w:t>:</w:t>
      </w:r>
      <w:r w:rsidRPr="00E3664B">
        <w:t xml:space="preserve"> Reasons for Not Pursuing Action Plan Measures</w:t>
      </w:r>
      <w:bookmarkEnd w:id="158"/>
      <w:bookmarkEnd w:id="159"/>
      <w:bookmarkEnd w:id="160"/>
    </w:p>
    <w:p w14:paraId="744FA8BC" w14:textId="1899CDF1" w:rsidR="003671ED" w:rsidRPr="00E3664B" w:rsidRDefault="003671ED" w:rsidP="0046508E">
      <w:pPr>
        <w:pStyle w:val="Caption"/>
      </w:pPr>
      <w:bookmarkStart w:id="161" w:name="_Toc418595853"/>
      <w:r w:rsidRPr="00E3664B">
        <w:t xml:space="preserve">Table B.1 </w:t>
      </w:r>
      <w:r w:rsidR="00BE428E" w:rsidRPr="00BE428E">
        <w:t>‒</w:t>
      </w:r>
      <w:r w:rsidRPr="00E3664B">
        <w:t xml:space="preserve"> Action Plan Measures Not Pursued and the Reasons for that Decision</w:t>
      </w:r>
      <w:bookmarkStart w:id="162" w:name="_Toc149629790"/>
      <w:bookmarkStart w:id="163" w:name="_Toc149633777"/>
      <w:bookmarkStart w:id="164" w:name="_Toc72901079"/>
      <w:bookmarkEnd w:id="161"/>
    </w:p>
    <w:tbl>
      <w:tblPr>
        <w:tblStyle w:val="LAQMReporting"/>
        <w:tblW w:w="5000" w:type="pct"/>
        <w:tblLayout w:type="fixed"/>
        <w:tblLook w:val="04A0" w:firstRow="1" w:lastRow="0" w:firstColumn="1" w:lastColumn="0" w:noHBand="0" w:noVBand="1"/>
      </w:tblPr>
      <w:tblGrid>
        <w:gridCol w:w="3397"/>
        <w:gridCol w:w="851"/>
        <w:gridCol w:w="7087"/>
        <w:gridCol w:w="2885"/>
      </w:tblGrid>
      <w:tr w:rsidR="00AF0517" w:rsidRPr="00E3664B" w14:paraId="547D477E" w14:textId="77777777" w:rsidTr="00AC7A3A">
        <w:trPr>
          <w:cnfStyle w:val="100000000000" w:firstRow="1" w:lastRow="0" w:firstColumn="0" w:lastColumn="0" w:oddVBand="0" w:evenVBand="0" w:oddHBand="0" w:evenHBand="0" w:firstRowFirstColumn="0" w:firstRowLastColumn="0" w:lastRowFirstColumn="0" w:lastRowLastColumn="0"/>
          <w:trHeight w:val="1077"/>
          <w:tblHeader/>
        </w:trPr>
        <w:tc>
          <w:tcPr>
            <w:cnfStyle w:val="001000000000" w:firstRow="0" w:lastRow="0" w:firstColumn="1" w:lastColumn="0" w:oddVBand="0" w:evenVBand="0" w:oddHBand="0" w:evenHBand="0" w:firstRowFirstColumn="0" w:firstRowLastColumn="0" w:lastRowFirstColumn="0" w:lastRowLastColumn="0"/>
            <w:tcW w:w="3397" w:type="dxa"/>
          </w:tcPr>
          <w:p w14:paraId="2F092703" w14:textId="77777777" w:rsidR="00AF0517" w:rsidRPr="00AF0517" w:rsidRDefault="00AF0517" w:rsidP="0046508E">
            <w:pPr>
              <w:ind w:left="-57" w:right="-57"/>
              <w:rPr>
                <w:bCs/>
                <w:sz w:val="18"/>
                <w:szCs w:val="18"/>
              </w:rPr>
            </w:pPr>
            <w:r w:rsidRPr="00AF0517">
              <w:rPr>
                <w:bCs/>
                <w:sz w:val="18"/>
                <w:szCs w:val="18"/>
              </w:rPr>
              <w:t>Action category</w:t>
            </w:r>
          </w:p>
        </w:tc>
        <w:tc>
          <w:tcPr>
            <w:tcW w:w="851" w:type="dxa"/>
          </w:tcPr>
          <w:p w14:paraId="6401ED34" w14:textId="08610BEA" w:rsidR="00AF0517" w:rsidRPr="00AF0517" w:rsidRDefault="00AF0517" w:rsidP="0046508E">
            <w:pPr>
              <w:ind w:left="-57" w:right="-57"/>
              <w:cnfStyle w:val="100000000000" w:firstRow="1" w:lastRow="0" w:firstColumn="0" w:lastColumn="0" w:oddVBand="0" w:evenVBand="0" w:oddHBand="0" w:evenHBand="0" w:firstRowFirstColumn="0" w:firstRowLastColumn="0" w:lastRowFirstColumn="0" w:lastRowLastColumn="0"/>
              <w:rPr>
                <w:bCs/>
                <w:sz w:val="18"/>
                <w:szCs w:val="18"/>
              </w:rPr>
            </w:pPr>
            <w:r w:rsidRPr="00AF0517">
              <w:rPr>
                <w:bCs/>
                <w:sz w:val="18"/>
                <w:szCs w:val="18"/>
              </w:rPr>
              <w:t xml:space="preserve">Measure ID </w:t>
            </w:r>
          </w:p>
        </w:tc>
        <w:tc>
          <w:tcPr>
            <w:tcW w:w="7087" w:type="dxa"/>
          </w:tcPr>
          <w:p w14:paraId="0D2A7B87" w14:textId="4D76DCD0" w:rsidR="00AF0517" w:rsidRPr="00AF0517" w:rsidRDefault="00AF0517" w:rsidP="0046508E">
            <w:pPr>
              <w:ind w:left="-57" w:right="-57"/>
              <w:cnfStyle w:val="100000000000" w:firstRow="1" w:lastRow="0" w:firstColumn="0" w:lastColumn="0" w:oddVBand="0" w:evenVBand="0" w:oddHBand="0" w:evenHBand="0" w:firstRowFirstColumn="0" w:firstRowLastColumn="0" w:lastRowFirstColumn="0" w:lastRowLastColumn="0"/>
              <w:rPr>
                <w:bCs/>
                <w:sz w:val="18"/>
                <w:szCs w:val="18"/>
              </w:rPr>
            </w:pPr>
            <w:r w:rsidRPr="00AF0517">
              <w:rPr>
                <w:bCs/>
                <w:sz w:val="18"/>
                <w:szCs w:val="18"/>
              </w:rPr>
              <w:t>Action description</w:t>
            </w:r>
          </w:p>
        </w:tc>
        <w:tc>
          <w:tcPr>
            <w:tcW w:w="2885" w:type="dxa"/>
          </w:tcPr>
          <w:p w14:paraId="31D1B0ED" w14:textId="77777777" w:rsidR="00AF0517" w:rsidRPr="00AF0517" w:rsidRDefault="00AF0517" w:rsidP="003577E7">
            <w:pPr>
              <w:ind w:left="149" w:right="-57"/>
              <w:cnfStyle w:val="100000000000" w:firstRow="1" w:lastRow="0" w:firstColumn="0" w:lastColumn="0" w:oddVBand="0" w:evenVBand="0" w:oddHBand="0" w:evenHBand="0" w:firstRowFirstColumn="0" w:firstRowLastColumn="0" w:lastRowFirstColumn="0" w:lastRowLastColumn="0"/>
              <w:rPr>
                <w:bCs/>
                <w:sz w:val="18"/>
                <w:szCs w:val="18"/>
              </w:rPr>
            </w:pPr>
            <w:r w:rsidRPr="00AF0517">
              <w:rPr>
                <w:bCs/>
                <w:sz w:val="18"/>
                <w:szCs w:val="18"/>
              </w:rPr>
              <w:t>Reason action is not being pursued (including Stakeholder views)</w:t>
            </w:r>
          </w:p>
        </w:tc>
      </w:tr>
      <w:tr w:rsidR="00AF0517" w:rsidRPr="00E3664B" w14:paraId="00F4260E"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652C8CFB" w14:textId="0BAC346E" w:rsidR="00AF0517" w:rsidRPr="006138DF" w:rsidRDefault="00966FCA" w:rsidP="008B771E">
            <w:pPr>
              <w:spacing w:before="60" w:after="60"/>
              <w:ind w:left="142" w:right="136"/>
              <w:rPr>
                <w:sz w:val="18"/>
                <w:szCs w:val="18"/>
              </w:rPr>
            </w:pPr>
            <w:r w:rsidRPr="006138DF">
              <w:rPr>
                <w:rFonts w:cs="Arial"/>
                <w:sz w:val="18"/>
                <w:szCs w:val="18"/>
              </w:rPr>
              <w:t>Policy Guidance and Development Control</w:t>
            </w:r>
          </w:p>
        </w:tc>
        <w:tc>
          <w:tcPr>
            <w:tcW w:w="851" w:type="dxa"/>
          </w:tcPr>
          <w:p w14:paraId="4A05F7DE" w14:textId="771EAD85" w:rsidR="00AF0517" w:rsidRPr="006138DF" w:rsidRDefault="00AF051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EM1</w:t>
            </w:r>
          </w:p>
        </w:tc>
        <w:tc>
          <w:tcPr>
            <w:tcW w:w="7087" w:type="dxa"/>
          </w:tcPr>
          <w:p w14:paraId="79295BB6" w14:textId="3B4E25FD" w:rsidR="00AF0517" w:rsidRPr="006138DF" w:rsidRDefault="00D30908" w:rsidP="00966FCA">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Take all opportunities during refurbishment works to install the most energy efficient plant and building operation methods, include energy efficiency into asset management plans and develop a sustainable energy model/plan (CMP priority 1)</w:t>
            </w:r>
          </w:p>
        </w:tc>
        <w:tc>
          <w:tcPr>
            <w:tcW w:w="2885" w:type="dxa"/>
          </w:tcPr>
          <w:p w14:paraId="42B04FDA" w14:textId="0F99B317" w:rsidR="00AF0517" w:rsidRPr="006138DF" w:rsidRDefault="00966FCA" w:rsidP="00966FCA">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sidR="00215C63">
              <w:rPr>
                <w:sz w:val="18"/>
                <w:szCs w:val="18"/>
              </w:rPr>
              <w:t>Appendix C</w:t>
            </w:r>
            <w:r w:rsidR="00AE2E6C">
              <w:rPr>
                <w:sz w:val="18"/>
                <w:szCs w:val="18"/>
              </w:rPr>
              <w:t>.1</w:t>
            </w:r>
            <w:r w:rsidRPr="006138DF">
              <w:rPr>
                <w:sz w:val="18"/>
                <w:szCs w:val="18"/>
              </w:rPr>
              <w:t>)</w:t>
            </w:r>
          </w:p>
        </w:tc>
      </w:tr>
      <w:tr w:rsidR="00AE2E6C" w:rsidRPr="00E3664B" w14:paraId="52D100AC"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3164A1FB" w14:textId="6792FB80" w:rsidR="00AE2E6C" w:rsidRPr="006138DF" w:rsidRDefault="00AE2E6C" w:rsidP="00AE2E6C">
            <w:pPr>
              <w:spacing w:before="60" w:after="60"/>
              <w:ind w:left="142" w:right="136"/>
              <w:rPr>
                <w:sz w:val="18"/>
                <w:szCs w:val="18"/>
              </w:rPr>
            </w:pPr>
            <w:r w:rsidRPr="006138DF">
              <w:rPr>
                <w:rFonts w:cs="Arial"/>
                <w:sz w:val="18"/>
                <w:szCs w:val="18"/>
              </w:rPr>
              <w:t>Policy Guidance and Development Control</w:t>
            </w:r>
          </w:p>
        </w:tc>
        <w:tc>
          <w:tcPr>
            <w:tcW w:w="851" w:type="dxa"/>
          </w:tcPr>
          <w:p w14:paraId="233BB820" w14:textId="47885AF2"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EM2</w:t>
            </w:r>
          </w:p>
        </w:tc>
        <w:tc>
          <w:tcPr>
            <w:tcW w:w="7087" w:type="dxa"/>
          </w:tcPr>
          <w:p w14:paraId="7CA6EB2E" w14:textId="0EA1AC07"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Continue implementation of RE:FIT Programme (Energy efficiency and renewable energy refurbishment scheme) to improve the energy efficiency of Council corporate building estate.</w:t>
            </w:r>
          </w:p>
        </w:tc>
        <w:tc>
          <w:tcPr>
            <w:tcW w:w="2885" w:type="dxa"/>
          </w:tcPr>
          <w:p w14:paraId="2A99369D" w14:textId="1D9FEEFE"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51766942"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0A71EFFE" w14:textId="68E127F4" w:rsidR="00AE2E6C" w:rsidRPr="006138DF" w:rsidRDefault="00AE2E6C" w:rsidP="00AE2E6C">
            <w:pPr>
              <w:spacing w:before="60" w:after="60"/>
              <w:ind w:left="142" w:right="136"/>
              <w:rPr>
                <w:sz w:val="18"/>
                <w:szCs w:val="18"/>
              </w:rPr>
            </w:pPr>
            <w:r w:rsidRPr="006138DF">
              <w:rPr>
                <w:sz w:val="18"/>
                <w:szCs w:val="18"/>
              </w:rPr>
              <w:t>Promoting Low Emission Transport</w:t>
            </w:r>
          </w:p>
        </w:tc>
        <w:tc>
          <w:tcPr>
            <w:tcW w:w="851" w:type="dxa"/>
          </w:tcPr>
          <w:p w14:paraId="50108969" w14:textId="536BD3AA"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EM4</w:t>
            </w:r>
          </w:p>
        </w:tc>
        <w:tc>
          <w:tcPr>
            <w:tcW w:w="7087" w:type="dxa"/>
          </w:tcPr>
          <w:p w14:paraId="25746C72" w14:textId="2D182B75"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Improve emissions from the council's operational fleet, including waste and recycling, light commercial and community service fleet</w:t>
            </w:r>
          </w:p>
        </w:tc>
        <w:tc>
          <w:tcPr>
            <w:tcW w:w="2885" w:type="dxa"/>
          </w:tcPr>
          <w:p w14:paraId="7E710915" w14:textId="71ACA49D"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4ED2304E"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1AB9C6DC" w14:textId="02290587" w:rsidR="00AE2E6C" w:rsidRPr="006138DF" w:rsidRDefault="00AE2E6C" w:rsidP="00AE2E6C">
            <w:pPr>
              <w:spacing w:before="60" w:after="60"/>
              <w:ind w:left="142" w:right="136"/>
              <w:rPr>
                <w:sz w:val="18"/>
                <w:szCs w:val="18"/>
              </w:rPr>
            </w:pPr>
            <w:r w:rsidRPr="006138DF">
              <w:rPr>
                <w:sz w:val="18"/>
                <w:szCs w:val="18"/>
              </w:rPr>
              <w:t>Promoting Low Emission Transport</w:t>
            </w:r>
          </w:p>
        </w:tc>
        <w:tc>
          <w:tcPr>
            <w:tcW w:w="851" w:type="dxa"/>
          </w:tcPr>
          <w:p w14:paraId="640EA755" w14:textId="34F47FF0"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EM5</w:t>
            </w:r>
          </w:p>
        </w:tc>
        <w:tc>
          <w:tcPr>
            <w:tcW w:w="7087" w:type="dxa"/>
          </w:tcPr>
          <w:p w14:paraId="213657AD" w14:textId="6540B5ED"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Support implementation of HDV gas station Programme</w:t>
            </w:r>
          </w:p>
        </w:tc>
        <w:tc>
          <w:tcPr>
            <w:tcW w:w="2885" w:type="dxa"/>
          </w:tcPr>
          <w:p w14:paraId="3CCE3BA0" w14:textId="75CD8BF4"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1688AC41"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6DEB9D79" w14:textId="386E484A" w:rsidR="00AE2E6C" w:rsidRPr="006138DF" w:rsidRDefault="00AE2E6C" w:rsidP="00AE2E6C">
            <w:pPr>
              <w:spacing w:before="60" w:after="60"/>
              <w:ind w:left="142" w:right="136"/>
              <w:rPr>
                <w:sz w:val="18"/>
                <w:szCs w:val="18"/>
              </w:rPr>
            </w:pPr>
            <w:r w:rsidRPr="006138DF">
              <w:rPr>
                <w:sz w:val="18"/>
                <w:szCs w:val="18"/>
              </w:rPr>
              <w:t xml:space="preserve">Freight and Delivery Management </w:t>
            </w:r>
          </w:p>
        </w:tc>
        <w:tc>
          <w:tcPr>
            <w:tcW w:w="851" w:type="dxa"/>
          </w:tcPr>
          <w:p w14:paraId="03050FD1" w14:textId="39163157"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EM13</w:t>
            </w:r>
          </w:p>
        </w:tc>
        <w:tc>
          <w:tcPr>
            <w:tcW w:w="7087" w:type="dxa"/>
          </w:tcPr>
          <w:p w14:paraId="743C64EB" w14:textId="75EEF131"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Explore with freight/ logistics operators the potential for a freight consolidation centre to cater for town centre deliveries.</w:t>
            </w:r>
          </w:p>
        </w:tc>
        <w:tc>
          <w:tcPr>
            <w:tcW w:w="2885" w:type="dxa"/>
          </w:tcPr>
          <w:p w14:paraId="4BF87AB7" w14:textId="4FC07D89"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659F2F88"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6E3ECB98" w14:textId="6E72FC99" w:rsidR="00AE2E6C" w:rsidRPr="006138DF" w:rsidRDefault="00AE2E6C" w:rsidP="00AE2E6C">
            <w:pPr>
              <w:spacing w:before="60" w:after="60"/>
              <w:ind w:left="142" w:right="136"/>
              <w:rPr>
                <w:sz w:val="18"/>
                <w:szCs w:val="18"/>
              </w:rPr>
            </w:pPr>
            <w:r w:rsidRPr="006138DF">
              <w:rPr>
                <w:sz w:val="18"/>
                <w:szCs w:val="18"/>
              </w:rPr>
              <w:t xml:space="preserve">Vehicle Fleet Efficiency </w:t>
            </w:r>
          </w:p>
        </w:tc>
        <w:tc>
          <w:tcPr>
            <w:tcW w:w="851" w:type="dxa"/>
          </w:tcPr>
          <w:p w14:paraId="7A15727D" w14:textId="4960DDC8"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EM16</w:t>
            </w:r>
          </w:p>
        </w:tc>
        <w:tc>
          <w:tcPr>
            <w:tcW w:w="7087" w:type="dxa"/>
          </w:tcPr>
          <w:p w14:paraId="23D61162" w14:textId="646EF530"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Support introduction of electric buses on the network, by continuing to support short term electric bus route trials and develop proposals to deliver the electric bus A4 smart service programme</w:t>
            </w:r>
          </w:p>
        </w:tc>
        <w:tc>
          <w:tcPr>
            <w:tcW w:w="2885" w:type="dxa"/>
          </w:tcPr>
          <w:p w14:paraId="6665ACB3" w14:textId="67FBB581"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4CC3D047"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1A8D2F63" w14:textId="2D76A142" w:rsidR="00AE2E6C" w:rsidRPr="006138DF" w:rsidRDefault="00AE2E6C" w:rsidP="00AE2E6C">
            <w:pPr>
              <w:spacing w:before="60" w:after="60"/>
              <w:ind w:left="-57" w:right="-57"/>
              <w:rPr>
                <w:sz w:val="18"/>
                <w:szCs w:val="18"/>
              </w:rPr>
            </w:pPr>
            <w:r w:rsidRPr="006138DF">
              <w:rPr>
                <w:sz w:val="18"/>
                <w:szCs w:val="18"/>
              </w:rPr>
              <w:t>Alternatives to private vehicle use</w:t>
            </w:r>
          </w:p>
        </w:tc>
        <w:tc>
          <w:tcPr>
            <w:tcW w:w="851" w:type="dxa"/>
          </w:tcPr>
          <w:p w14:paraId="355FB970" w14:textId="098D9B33"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EM17</w:t>
            </w:r>
          </w:p>
        </w:tc>
        <w:tc>
          <w:tcPr>
            <w:tcW w:w="7087" w:type="dxa"/>
          </w:tcPr>
          <w:p w14:paraId="3459DAAD" w14:textId="6A3243D0"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rFonts w:cs="Arial"/>
                <w:sz w:val="18"/>
                <w:szCs w:val="18"/>
              </w:rPr>
              <w:t>Decarbonise S</w:t>
            </w:r>
            <w:r w:rsidR="00652386">
              <w:rPr>
                <w:rFonts w:cs="Arial"/>
                <w:sz w:val="18"/>
                <w:szCs w:val="18"/>
              </w:rPr>
              <w:t>lough Borough Council</w:t>
            </w:r>
            <w:r w:rsidRPr="006138DF">
              <w:rPr>
                <w:rFonts w:cs="Arial"/>
                <w:sz w:val="18"/>
                <w:szCs w:val="18"/>
              </w:rPr>
              <w:t xml:space="preserve"> vehicle fleet by promoting electric vehicles and explore feasibility of expanding the pool fleet programme (electric cars and e-bikes)</w:t>
            </w:r>
          </w:p>
        </w:tc>
        <w:tc>
          <w:tcPr>
            <w:tcW w:w="2885" w:type="dxa"/>
          </w:tcPr>
          <w:p w14:paraId="7626E248" w14:textId="41B2E9BD"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20A39356"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60F88EF7" w14:textId="3EE4A815" w:rsidR="00AE2E6C" w:rsidRPr="006138DF" w:rsidRDefault="00AE2E6C" w:rsidP="00AE2E6C">
            <w:pPr>
              <w:spacing w:before="60" w:after="60"/>
              <w:ind w:left="-57" w:right="-57"/>
              <w:rPr>
                <w:sz w:val="18"/>
                <w:szCs w:val="18"/>
              </w:rPr>
            </w:pPr>
            <w:r w:rsidRPr="006138DF">
              <w:rPr>
                <w:sz w:val="18"/>
                <w:szCs w:val="18"/>
              </w:rPr>
              <w:lastRenderedPageBreak/>
              <w:t xml:space="preserve">Alternatives to private vehicle use </w:t>
            </w:r>
          </w:p>
        </w:tc>
        <w:tc>
          <w:tcPr>
            <w:tcW w:w="851" w:type="dxa"/>
          </w:tcPr>
          <w:p w14:paraId="3A91876D" w14:textId="7950B5F1"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EM18</w:t>
            </w:r>
          </w:p>
        </w:tc>
        <w:tc>
          <w:tcPr>
            <w:tcW w:w="7087" w:type="dxa"/>
          </w:tcPr>
          <w:p w14:paraId="7C053770" w14:textId="6C8E724C"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rFonts w:cs="Arial"/>
                <w:sz w:val="18"/>
                <w:szCs w:val="18"/>
              </w:rPr>
              <w:t xml:space="preserve">Explore feasibility of implementing a hire car scheme for longer out of Borough journeys </w:t>
            </w:r>
          </w:p>
        </w:tc>
        <w:tc>
          <w:tcPr>
            <w:tcW w:w="2885" w:type="dxa"/>
          </w:tcPr>
          <w:p w14:paraId="6F2CB188" w14:textId="1512D018"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543B8311"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1E8DAFCD" w14:textId="1A9B54B6" w:rsidR="00AE2E6C" w:rsidRPr="006138DF" w:rsidRDefault="00AE2E6C" w:rsidP="00AE2E6C">
            <w:pPr>
              <w:spacing w:before="60" w:after="60"/>
              <w:ind w:left="-57" w:right="-57"/>
              <w:rPr>
                <w:sz w:val="18"/>
                <w:szCs w:val="18"/>
              </w:rPr>
            </w:pPr>
            <w:r w:rsidRPr="006138DF">
              <w:rPr>
                <w:sz w:val="18"/>
                <w:szCs w:val="18"/>
              </w:rPr>
              <w:t xml:space="preserve">Promoting travel alternatives </w:t>
            </w:r>
          </w:p>
        </w:tc>
        <w:tc>
          <w:tcPr>
            <w:tcW w:w="851" w:type="dxa"/>
          </w:tcPr>
          <w:p w14:paraId="3C9E126E" w14:textId="2A5986B0" w:rsidR="00AE2E6C" w:rsidRPr="006138DF"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TM2</w:t>
            </w:r>
          </w:p>
        </w:tc>
        <w:tc>
          <w:tcPr>
            <w:tcW w:w="7087" w:type="dxa"/>
          </w:tcPr>
          <w:p w14:paraId="1735E054" w14:textId="2CE948DB" w:rsidR="00AE2E6C" w:rsidRPr="006138DF"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6138DF">
              <w:rPr>
                <w:rFonts w:cs="Arial"/>
                <w:sz w:val="18"/>
                <w:szCs w:val="18"/>
              </w:rPr>
              <w:t xml:space="preserve">Provide secure undercover cycle storage with welfare/repair facilities in strategic locations e.g. within an existing building such as community hubs or shopping centre. </w:t>
            </w:r>
          </w:p>
        </w:tc>
        <w:tc>
          <w:tcPr>
            <w:tcW w:w="2885" w:type="dxa"/>
          </w:tcPr>
          <w:p w14:paraId="08EBAC3E" w14:textId="7A91BC5A" w:rsidR="00AE2E6C" w:rsidRPr="006138DF"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202E0897"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551B6694" w14:textId="392B6D9E" w:rsidR="00AE2E6C" w:rsidRPr="00AF0517" w:rsidRDefault="00AE2E6C" w:rsidP="00AE2E6C">
            <w:pPr>
              <w:spacing w:before="60" w:after="60"/>
              <w:ind w:left="-57" w:right="-57"/>
              <w:rPr>
                <w:sz w:val="18"/>
                <w:szCs w:val="18"/>
              </w:rPr>
            </w:pPr>
            <w:r>
              <w:rPr>
                <w:sz w:val="18"/>
                <w:szCs w:val="18"/>
              </w:rPr>
              <w:t xml:space="preserve">Promoting travel alternatives </w:t>
            </w:r>
          </w:p>
        </w:tc>
        <w:tc>
          <w:tcPr>
            <w:tcW w:w="851" w:type="dxa"/>
          </w:tcPr>
          <w:p w14:paraId="173B24BE" w14:textId="4E0CB395"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TM3</w:t>
            </w:r>
          </w:p>
        </w:tc>
        <w:tc>
          <w:tcPr>
            <w:tcW w:w="7087" w:type="dxa"/>
          </w:tcPr>
          <w:p w14:paraId="52FD52DB" w14:textId="0C9CC9CF" w:rsidR="00AE2E6C" w:rsidRPr="00966FCA"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Introduce cargo bikes into the network for businesses and residents </w:t>
            </w:r>
          </w:p>
        </w:tc>
        <w:tc>
          <w:tcPr>
            <w:tcW w:w="2885" w:type="dxa"/>
          </w:tcPr>
          <w:p w14:paraId="5B60807C" w14:textId="771657D6"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043E6CE7"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21814536" w14:textId="14B0243C" w:rsidR="00AE2E6C" w:rsidRPr="00AF0517" w:rsidRDefault="00AE2E6C" w:rsidP="00AE2E6C">
            <w:pPr>
              <w:spacing w:before="60" w:after="60"/>
              <w:ind w:left="-57" w:right="-57"/>
              <w:rPr>
                <w:sz w:val="18"/>
                <w:szCs w:val="18"/>
              </w:rPr>
            </w:pPr>
            <w:r>
              <w:rPr>
                <w:sz w:val="18"/>
                <w:szCs w:val="18"/>
              </w:rPr>
              <w:t>Transport planning and infrastructure</w:t>
            </w:r>
          </w:p>
        </w:tc>
        <w:tc>
          <w:tcPr>
            <w:tcW w:w="851" w:type="dxa"/>
          </w:tcPr>
          <w:p w14:paraId="7748FB7C" w14:textId="76D35EAC"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TM8</w:t>
            </w:r>
          </w:p>
        </w:tc>
        <w:tc>
          <w:tcPr>
            <w:tcW w:w="7087" w:type="dxa"/>
          </w:tcPr>
          <w:p w14:paraId="45E4C034" w14:textId="22D1999C" w:rsidR="00AE2E6C" w:rsidRPr="00966FCA" w:rsidRDefault="00AE2E6C" w:rsidP="00AE2E6C">
            <w:pPr>
              <w:spacing w:before="0" w:after="0" w:line="240" w:lineRule="auto"/>
              <w:ind w:left="137" w:right="136"/>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GB"/>
              </w:rPr>
            </w:pPr>
            <w:r w:rsidRPr="00966FCA">
              <w:rPr>
                <w:rFonts w:cs="Arial"/>
                <w:color w:val="000000"/>
                <w:sz w:val="18"/>
                <w:szCs w:val="18"/>
              </w:rPr>
              <w:t>Review feasibility of implementing further pedestrian zones to encourage walking &amp; alfresco dining (e.g. timed zones from 10:30am - 5:00pm, York City Centre)</w:t>
            </w:r>
          </w:p>
        </w:tc>
        <w:tc>
          <w:tcPr>
            <w:tcW w:w="2885" w:type="dxa"/>
          </w:tcPr>
          <w:p w14:paraId="73AE63FA" w14:textId="13E6E590"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4C85A242"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4EAFCE75" w14:textId="6F312EAD" w:rsidR="00AE2E6C" w:rsidRPr="00AF0517" w:rsidRDefault="00AE2E6C" w:rsidP="00AE2E6C">
            <w:pPr>
              <w:spacing w:before="60" w:after="60"/>
              <w:ind w:left="-57" w:right="-57"/>
              <w:rPr>
                <w:sz w:val="18"/>
                <w:szCs w:val="18"/>
              </w:rPr>
            </w:pPr>
            <w:r>
              <w:rPr>
                <w:sz w:val="18"/>
                <w:szCs w:val="18"/>
              </w:rPr>
              <w:t>Transport planning and infrastructure</w:t>
            </w:r>
          </w:p>
        </w:tc>
        <w:tc>
          <w:tcPr>
            <w:tcW w:w="851" w:type="dxa"/>
          </w:tcPr>
          <w:p w14:paraId="4990314D" w14:textId="186675EE"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TM12</w:t>
            </w:r>
          </w:p>
        </w:tc>
        <w:tc>
          <w:tcPr>
            <w:tcW w:w="7087" w:type="dxa"/>
          </w:tcPr>
          <w:p w14:paraId="3BC025CC" w14:textId="227C54AD" w:rsidR="00AE2E6C" w:rsidRPr="00966FCA"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Continue to develop a bus rapid transport network with high frequency services along the A4 Bath Rd, London Rd and to Heathrow </w:t>
            </w:r>
          </w:p>
        </w:tc>
        <w:tc>
          <w:tcPr>
            <w:tcW w:w="2885" w:type="dxa"/>
          </w:tcPr>
          <w:p w14:paraId="5576E03F" w14:textId="7F80CF2E"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23B02E99"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28A022AF" w14:textId="01BB9D3F" w:rsidR="00AE2E6C" w:rsidRPr="00AF0517" w:rsidRDefault="00AE2E6C" w:rsidP="00AE2E6C">
            <w:pPr>
              <w:spacing w:before="60" w:after="60"/>
              <w:ind w:left="-57" w:right="-57"/>
              <w:rPr>
                <w:sz w:val="18"/>
                <w:szCs w:val="18"/>
              </w:rPr>
            </w:pPr>
            <w:r>
              <w:rPr>
                <w:sz w:val="18"/>
                <w:szCs w:val="18"/>
              </w:rPr>
              <w:t xml:space="preserve">Vehicle fleet efficiency </w:t>
            </w:r>
          </w:p>
        </w:tc>
        <w:tc>
          <w:tcPr>
            <w:tcW w:w="851" w:type="dxa"/>
          </w:tcPr>
          <w:p w14:paraId="225F55BD" w14:textId="262E6967"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TM13</w:t>
            </w:r>
          </w:p>
        </w:tc>
        <w:tc>
          <w:tcPr>
            <w:tcW w:w="7087" w:type="dxa"/>
          </w:tcPr>
          <w:p w14:paraId="3E68F60C" w14:textId="16C92FCA" w:rsidR="00AE2E6C" w:rsidRPr="00966FCA"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Seek funding opportunities to migrate to zero bus emission fleet in coordination with neighbouring authorities, and seek funding to investigate the feasibility of different types of technology to establish cost effective means of decarbonising the bus fleet </w:t>
            </w:r>
          </w:p>
        </w:tc>
        <w:tc>
          <w:tcPr>
            <w:tcW w:w="2885" w:type="dxa"/>
          </w:tcPr>
          <w:p w14:paraId="5BB401A6" w14:textId="0BC41759"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0C0CC544"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17EB9A8C" w14:textId="05A9B32A" w:rsidR="00AE2E6C" w:rsidRPr="00AF0517" w:rsidRDefault="00AE2E6C" w:rsidP="00AE2E6C">
            <w:pPr>
              <w:spacing w:before="60" w:after="60"/>
              <w:ind w:left="-57" w:right="-57"/>
              <w:rPr>
                <w:sz w:val="18"/>
                <w:szCs w:val="18"/>
              </w:rPr>
            </w:pPr>
            <w:r>
              <w:rPr>
                <w:sz w:val="18"/>
                <w:szCs w:val="18"/>
              </w:rPr>
              <w:t xml:space="preserve">Transport planning and infrastructure  </w:t>
            </w:r>
          </w:p>
        </w:tc>
        <w:tc>
          <w:tcPr>
            <w:tcW w:w="851" w:type="dxa"/>
          </w:tcPr>
          <w:p w14:paraId="4494BAEF" w14:textId="5F58AA29"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TM14</w:t>
            </w:r>
          </w:p>
        </w:tc>
        <w:tc>
          <w:tcPr>
            <w:tcW w:w="7087" w:type="dxa"/>
          </w:tcPr>
          <w:p w14:paraId="18D44702" w14:textId="3F3B220A" w:rsidR="00AE2E6C" w:rsidRPr="00966FCA"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Invest in Superbus networks: a comprehensive network of bus priority measures, fares caps, increased service frequencies.</w:t>
            </w:r>
          </w:p>
        </w:tc>
        <w:tc>
          <w:tcPr>
            <w:tcW w:w="2885" w:type="dxa"/>
          </w:tcPr>
          <w:p w14:paraId="22B4C596" w14:textId="7A52DD1A"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396646C1"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0C81EBB5" w14:textId="31D09E36" w:rsidR="00AE2E6C" w:rsidRPr="00AF0517" w:rsidRDefault="00AE2E6C" w:rsidP="00AE2E6C">
            <w:pPr>
              <w:spacing w:before="60" w:after="60"/>
              <w:ind w:left="-57" w:right="-57"/>
              <w:rPr>
                <w:sz w:val="18"/>
                <w:szCs w:val="18"/>
              </w:rPr>
            </w:pPr>
            <w:r>
              <w:rPr>
                <w:sz w:val="18"/>
                <w:szCs w:val="18"/>
              </w:rPr>
              <w:t xml:space="preserve">Transport planning and infrastructure </w:t>
            </w:r>
          </w:p>
        </w:tc>
        <w:tc>
          <w:tcPr>
            <w:tcW w:w="851" w:type="dxa"/>
          </w:tcPr>
          <w:p w14:paraId="6F3C3B12" w14:textId="3DBB0D8B"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TM16</w:t>
            </w:r>
          </w:p>
        </w:tc>
        <w:tc>
          <w:tcPr>
            <w:tcW w:w="7087" w:type="dxa"/>
          </w:tcPr>
          <w:p w14:paraId="74B303D8" w14:textId="50F9D52D" w:rsidR="00AE2E6C" w:rsidRPr="00966FCA" w:rsidRDefault="00AE2E6C" w:rsidP="00AE2E6C">
            <w:pPr>
              <w:spacing w:before="60" w:after="60"/>
              <w:ind w:left="137" w:right="136"/>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Undertake junction improvement review at Yew Tree Road. Will include review of causes of issues at junction, identification of solutions, evaluation of options and delivery </w:t>
            </w:r>
          </w:p>
        </w:tc>
        <w:tc>
          <w:tcPr>
            <w:tcW w:w="2885" w:type="dxa"/>
          </w:tcPr>
          <w:p w14:paraId="12A75B4D" w14:textId="0E489F01"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1C6462C1"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07663CC7" w14:textId="148DBE12" w:rsidR="00AE2E6C" w:rsidRPr="00AF0517" w:rsidRDefault="00AE2E6C" w:rsidP="00AE2E6C">
            <w:pPr>
              <w:spacing w:before="60" w:after="60"/>
              <w:ind w:left="-57" w:right="-57"/>
              <w:rPr>
                <w:sz w:val="18"/>
                <w:szCs w:val="18"/>
              </w:rPr>
            </w:pPr>
            <w:r>
              <w:rPr>
                <w:sz w:val="18"/>
                <w:szCs w:val="18"/>
              </w:rPr>
              <w:t xml:space="preserve">Traffic management </w:t>
            </w:r>
          </w:p>
        </w:tc>
        <w:tc>
          <w:tcPr>
            <w:tcW w:w="851" w:type="dxa"/>
          </w:tcPr>
          <w:p w14:paraId="78364268" w14:textId="15F9773D"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TM17</w:t>
            </w:r>
          </w:p>
        </w:tc>
        <w:tc>
          <w:tcPr>
            <w:tcW w:w="7087" w:type="dxa"/>
          </w:tcPr>
          <w:p w14:paraId="549E7EC0" w14:textId="1B740627" w:rsidR="00AE2E6C" w:rsidRPr="00966FCA" w:rsidRDefault="00AE2E6C" w:rsidP="00AE2E6C">
            <w:pPr>
              <w:spacing w:before="60" w:after="60"/>
              <w:ind w:left="137" w:right="-19"/>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Invest in Urban Traffic Management and Control (UTMC) systems on A4 corridor and other roads </w:t>
            </w:r>
          </w:p>
        </w:tc>
        <w:tc>
          <w:tcPr>
            <w:tcW w:w="2885" w:type="dxa"/>
          </w:tcPr>
          <w:p w14:paraId="5F716609" w14:textId="4A732CED"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r w:rsidR="00AE2E6C" w:rsidRPr="00E3664B" w14:paraId="08660B9C" w14:textId="77777777" w:rsidTr="00966FCA">
        <w:tc>
          <w:tcPr>
            <w:cnfStyle w:val="001000000000" w:firstRow="0" w:lastRow="0" w:firstColumn="1" w:lastColumn="0" w:oddVBand="0" w:evenVBand="0" w:oddHBand="0" w:evenHBand="0" w:firstRowFirstColumn="0" w:firstRowLastColumn="0" w:lastRowFirstColumn="0" w:lastRowLastColumn="0"/>
            <w:tcW w:w="3397" w:type="dxa"/>
          </w:tcPr>
          <w:p w14:paraId="537060CE" w14:textId="5D11275D" w:rsidR="00AE2E6C" w:rsidRPr="00AF0517" w:rsidRDefault="00AE2E6C" w:rsidP="00AE2E6C">
            <w:pPr>
              <w:spacing w:before="60" w:after="60"/>
              <w:ind w:left="-57" w:right="-57"/>
              <w:rPr>
                <w:sz w:val="18"/>
                <w:szCs w:val="18"/>
              </w:rPr>
            </w:pPr>
            <w:r>
              <w:rPr>
                <w:sz w:val="18"/>
                <w:szCs w:val="18"/>
              </w:rPr>
              <w:lastRenderedPageBreak/>
              <w:t xml:space="preserve">Traffic management </w:t>
            </w:r>
          </w:p>
        </w:tc>
        <w:tc>
          <w:tcPr>
            <w:tcW w:w="851" w:type="dxa"/>
          </w:tcPr>
          <w:p w14:paraId="193EAF15" w14:textId="774B5EE1" w:rsidR="00AE2E6C" w:rsidRDefault="00AE2E6C" w:rsidP="00AE2E6C">
            <w:pPr>
              <w:spacing w:before="60" w:after="60"/>
              <w:ind w:left="-57" w:right="-5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TM18</w:t>
            </w:r>
          </w:p>
        </w:tc>
        <w:tc>
          <w:tcPr>
            <w:tcW w:w="7087" w:type="dxa"/>
          </w:tcPr>
          <w:p w14:paraId="14CF6FDB" w14:textId="4D1CC1BC" w:rsidR="00AE2E6C" w:rsidRPr="00AF0517" w:rsidRDefault="00AE2E6C" w:rsidP="00AE2E6C">
            <w:pPr>
              <w:spacing w:before="60" w:after="60"/>
              <w:ind w:left="137" w:right="-57"/>
              <w:cnfStyle w:val="000000000000" w:firstRow="0" w:lastRow="0" w:firstColumn="0" w:lastColumn="0" w:oddVBand="0" w:evenVBand="0" w:oddHBand="0" w:evenHBand="0" w:firstRowFirstColumn="0" w:firstRowLastColumn="0" w:lastRowFirstColumn="0" w:lastRowLastColumn="0"/>
              <w:rPr>
                <w:sz w:val="18"/>
                <w:szCs w:val="18"/>
              </w:rPr>
            </w:pPr>
            <w:r w:rsidRPr="00966FCA">
              <w:rPr>
                <w:rFonts w:cs="Arial"/>
                <w:color w:val="000000"/>
                <w:sz w:val="18"/>
                <w:szCs w:val="18"/>
              </w:rPr>
              <w:t xml:space="preserve">Explore greater use of variable message signs and other technology to guide drivers (e.g. to reduce circulating car park traffic in the town centre, directing vehicles to under-utilised car parks), implement temporary speed limits and inform drivers of incidents </w:t>
            </w:r>
          </w:p>
        </w:tc>
        <w:tc>
          <w:tcPr>
            <w:tcW w:w="2885" w:type="dxa"/>
          </w:tcPr>
          <w:p w14:paraId="7502D303" w14:textId="7AB92F80" w:rsidR="00AE2E6C" w:rsidRPr="00AF0517" w:rsidRDefault="00AE2E6C" w:rsidP="00AE2E6C">
            <w:pPr>
              <w:spacing w:before="60" w:after="60"/>
              <w:ind w:left="5" w:right="0"/>
              <w:cnfStyle w:val="000000000000" w:firstRow="0" w:lastRow="0" w:firstColumn="0" w:lastColumn="0" w:oddVBand="0" w:evenVBand="0" w:oddHBand="0" w:evenHBand="0" w:firstRowFirstColumn="0" w:firstRowLastColumn="0" w:lastRowFirstColumn="0" w:lastRowLastColumn="0"/>
              <w:rPr>
                <w:sz w:val="18"/>
                <w:szCs w:val="18"/>
              </w:rPr>
            </w:pPr>
            <w:r w:rsidRPr="006138DF">
              <w:rPr>
                <w:sz w:val="18"/>
                <w:szCs w:val="18"/>
              </w:rPr>
              <w:t xml:space="preserve">Poor viability score (see </w:t>
            </w:r>
            <w:r>
              <w:rPr>
                <w:sz w:val="18"/>
                <w:szCs w:val="18"/>
              </w:rPr>
              <w:t>Appendix C.1</w:t>
            </w:r>
            <w:r w:rsidRPr="006138DF">
              <w:rPr>
                <w:sz w:val="18"/>
                <w:szCs w:val="18"/>
              </w:rPr>
              <w:t>)</w:t>
            </w:r>
          </w:p>
        </w:tc>
      </w:tr>
    </w:tbl>
    <w:p w14:paraId="7672EAD3" w14:textId="77777777" w:rsidR="009A2DA1" w:rsidRDefault="009A2DA1" w:rsidP="0005447E"/>
    <w:p w14:paraId="66B32139" w14:textId="77777777" w:rsidR="00F70EA3" w:rsidRDefault="00F70EA3" w:rsidP="00F70EA3"/>
    <w:p w14:paraId="55D4B903" w14:textId="77777777" w:rsidR="00F70EA3" w:rsidRDefault="00F70EA3" w:rsidP="00F70EA3"/>
    <w:p w14:paraId="43AAF723" w14:textId="77777777" w:rsidR="00AF0517" w:rsidRDefault="00AF0517" w:rsidP="00F70EA3"/>
    <w:p w14:paraId="4154D1D9" w14:textId="77777777" w:rsidR="00AF0517" w:rsidRDefault="00AF0517" w:rsidP="00F70EA3"/>
    <w:p w14:paraId="0D2AB1CD" w14:textId="77777777" w:rsidR="00AF0517" w:rsidRDefault="00AF0517" w:rsidP="00F70EA3"/>
    <w:p w14:paraId="56AA2F40" w14:textId="2A8D1202" w:rsidR="00AF0517" w:rsidRDefault="00AF0517" w:rsidP="00F70EA3">
      <w:r>
        <w:t xml:space="preserve"> </w:t>
      </w:r>
    </w:p>
    <w:p w14:paraId="084F3808" w14:textId="77777777" w:rsidR="00AF0517" w:rsidRDefault="00AF0517" w:rsidP="00F70EA3"/>
    <w:p w14:paraId="650942FB" w14:textId="0D7BAD40" w:rsidR="00AF0517" w:rsidRPr="00F70EA3" w:rsidRDefault="00AF0517" w:rsidP="00F70EA3">
      <w:pPr>
        <w:sectPr w:rsidR="00AF0517" w:rsidRPr="00F70EA3" w:rsidSect="00AC7A3A">
          <w:pgSz w:w="16838" w:h="11906" w:orient="landscape" w:code="9"/>
          <w:pgMar w:top="851" w:right="1474" w:bottom="1418" w:left="1134" w:header="964" w:footer="454" w:gutter="0"/>
          <w:cols w:space="708"/>
          <w:docGrid w:linePitch="360"/>
        </w:sectPr>
      </w:pPr>
      <w:r>
        <w:t xml:space="preserve"> </w:t>
      </w:r>
    </w:p>
    <w:p w14:paraId="2EC11550" w14:textId="12F9F553" w:rsidR="007A16F9" w:rsidRDefault="00521584" w:rsidP="00F77171">
      <w:pPr>
        <w:pStyle w:val="Heading1"/>
      </w:pPr>
      <w:bookmarkStart w:id="165" w:name="_Toc88486007"/>
      <w:bookmarkStart w:id="166" w:name="_Toc160129584"/>
      <w:bookmarkEnd w:id="162"/>
      <w:bookmarkEnd w:id="163"/>
      <w:bookmarkEnd w:id="164"/>
      <w:r w:rsidRPr="00FB523F">
        <w:lastRenderedPageBreak/>
        <w:t>Appendix C</w:t>
      </w:r>
      <w:r w:rsidR="007512B5">
        <w:t>:</w:t>
      </w:r>
      <w:r w:rsidRPr="00FB523F">
        <w:t xml:space="preserve"> </w:t>
      </w:r>
      <w:bookmarkEnd w:id="165"/>
      <w:r w:rsidR="00412F35">
        <w:t>Full Measures and Matrix Scoring</w:t>
      </w:r>
      <w:bookmarkEnd w:id="166"/>
    </w:p>
    <w:p w14:paraId="238A93E5" w14:textId="168484FE" w:rsidR="007A16F9" w:rsidRPr="007A16F9" w:rsidRDefault="007A16F9" w:rsidP="00AE2E6C">
      <w:pPr>
        <w:pStyle w:val="Tables"/>
      </w:pPr>
      <w:bookmarkStart w:id="167" w:name="_Toc160128559"/>
      <w:r>
        <w:t xml:space="preserve">Table </w:t>
      </w:r>
      <w:r w:rsidR="004103E0">
        <w:t>C.1</w:t>
      </w:r>
      <w:r>
        <w:t xml:space="preserve">: </w:t>
      </w:r>
      <w:r w:rsidRPr="007A16F9">
        <w:t>Full Short List of Measures</w:t>
      </w:r>
      <w:bookmarkEnd w:id="167"/>
    </w:p>
    <w:tbl>
      <w:tblPr>
        <w:tblW w:w="21980" w:type="dxa"/>
        <w:tblLook w:val="04A0" w:firstRow="1" w:lastRow="0" w:firstColumn="1" w:lastColumn="0" w:noHBand="0" w:noVBand="1"/>
      </w:tblPr>
      <w:tblGrid>
        <w:gridCol w:w="967"/>
        <w:gridCol w:w="1485"/>
        <w:gridCol w:w="3979"/>
        <w:gridCol w:w="1644"/>
        <w:gridCol w:w="1134"/>
        <w:gridCol w:w="1276"/>
        <w:gridCol w:w="1276"/>
        <w:gridCol w:w="1275"/>
        <w:gridCol w:w="1276"/>
        <w:gridCol w:w="1276"/>
        <w:gridCol w:w="1559"/>
        <w:gridCol w:w="4833"/>
      </w:tblGrid>
      <w:tr w:rsidR="00E32B12" w:rsidRPr="00E32B12" w14:paraId="2F2DD0BF" w14:textId="77777777" w:rsidTr="00D655F2">
        <w:trPr>
          <w:trHeight w:val="460"/>
          <w:tblHeader/>
        </w:trPr>
        <w:tc>
          <w:tcPr>
            <w:tcW w:w="967" w:type="dxa"/>
            <w:tcBorders>
              <w:top w:val="single" w:sz="4" w:space="0" w:color="auto"/>
              <w:left w:val="single" w:sz="4" w:space="0" w:color="auto"/>
              <w:bottom w:val="single" w:sz="12" w:space="0" w:color="auto"/>
              <w:right w:val="single" w:sz="4" w:space="0" w:color="auto"/>
            </w:tcBorders>
            <w:shd w:val="clear" w:color="000000" w:fill="C6E0B4"/>
            <w:vAlign w:val="center"/>
            <w:hideMark/>
          </w:tcPr>
          <w:p w14:paraId="2B30F76A" w14:textId="0F163381"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Objective</w:t>
            </w:r>
          </w:p>
        </w:tc>
        <w:tc>
          <w:tcPr>
            <w:tcW w:w="1485" w:type="dxa"/>
            <w:tcBorders>
              <w:top w:val="single" w:sz="4" w:space="0" w:color="auto"/>
              <w:left w:val="nil"/>
              <w:bottom w:val="single" w:sz="12" w:space="0" w:color="auto"/>
              <w:right w:val="single" w:sz="4" w:space="0" w:color="auto"/>
            </w:tcBorders>
            <w:shd w:val="clear" w:color="000000" w:fill="C6E0B4"/>
            <w:vAlign w:val="center"/>
            <w:hideMark/>
          </w:tcPr>
          <w:p w14:paraId="1090755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Theme </w:t>
            </w:r>
          </w:p>
        </w:tc>
        <w:tc>
          <w:tcPr>
            <w:tcW w:w="3979" w:type="dxa"/>
            <w:tcBorders>
              <w:top w:val="single" w:sz="4" w:space="0" w:color="auto"/>
              <w:left w:val="nil"/>
              <w:bottom w:val="single" w:sz="12" w:space="0" w:color="auto"/>
              <w:right w:val="single" w:sz="4" w:space="0" w:color="auto"/>
            </w:tcBorders>
            <w:shd w:val="clear" w:color="000000" w:fill="C6E0B4"/>
            <w:vAlign w:val="center"/>
            <w:hideMark/>
          </w:tcPr>
          <w:p w14:paraId="10F1C68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Objective / Measure /Action</w:t>
            </w:r>
          </w:p>
        </w:tc>
        <w:tc>
          <w:tcPr>
            <w:tcW w:w="1644" w:type="dxa"/>
            <w:tcBorders>
              <w:top w:val="single" w:sz="4" w:space="0" w:color="auto"/>
              <w:left w:val="nil"/>
              <w:bottom w:val="single" w:sz="12" w:space="0" w:color="auto"/>
              <w:right w:val="single" w:sz="4" w:space="0" w:color="auto"/>
            </w:tcBorders>
            <w:shd w:val="clear" w:color="000000" w:fill="C6E0B4"/>
            <w:vAlign w:val="center"/>
            <w:hideMark/>
          </w:tcPr>
          <w:p w14:paraId="2658CBB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Policy / Strategy Alignment</w:t>
            </w:r>
          </w:p>
        </w:tc>
        <w:tc>
          <w:tcPr>
            <w:tcW w:w="1134" w:type="dxa"/>
            <w:tcBorders>
              <w:top w:val="single" w:sz="4" w:space="0" w:color="auto"/>
              <w:left w:val="nil"/>
              <w:bottom w:val="single" w:sz="12" w:space="0" w:color="auto"/>
              <w:right w:val="single" w:sz="12" w:space="0" w:color="auto"/>
            </w:tcBorders>
            <w:shd w:val="clear" w:color="000000" w:fill="C6E0B4"/>
            <w:vAlign w:val="center"/>
            <w:hideMark/>
          </w:tcPr>
          <w:p w14:paraId="378BA2D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Affected AQMAs</w:t>
            </w:r>
          </w:p>
        </w:tc>
        <w:tc>
          <w:tcPr>
            <w:tcW w:w="1276" w:type="dxa"/>
            <w:tcBorders>
              <w:top w:val="single" w:sz="4" w:space="0" w:color="auto"/>
              <w:left w:val="single" w:sz="12" w:space="0" w:color="auto"/>
              <w:bottom w:val="single" w:sz="12" w:space="0" w:color="auto"/>
              <w:right w:val="single" w:sz="4" w:space="0" w:color="auto"/>
            </w:tcBorders>
            <w:shd w:val="clear" w:color="000000" w:fill="91C36F"/>
            <w:vAlign w:val="center"/>
            <w:hideMark/>
          </w:tcPr>
          <w:p w14:paraId="02F3D66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Potential for Reduction</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5F74BFE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Technical Feasibility</w:t>
            </w:r>
          </w:p>
        </w:tc>
        <w:tc>
          <w:tcPr>
            <w:tcW w:w="1275" w:type="dxa"/>
            <w:tcBorders>
              <w:top w:val="single" w:sz="4" w:space="0" w:color="auto"/>
              <w:left w:val="nil"/>
              <w:bottom w:val="single" w:sz="12" w:space="0" w:color="auto"/>
              <w:right w:val="single" w:sz="4" w:space="0" w:color="auto"/>
            </w:tcBorders>
            <w:shd w:val="clear" w:color="000000" w:fill="91C36F"/>
            <w:vAlign w:val="center"/>
            <w:hideMark/>
          </w:tcPr>
          <w:p w14:paraId="1CF3BBC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Timeframe</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4D7748C9"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Cost</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7430272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Funding</w:t>
            </w:r>
          </w:p>
        </w:tc>
        <w:tc>
          <w:tcPr>
            <w:tcW w:w="1559" w:type="dxa"/>
            <w:tcBorders>
              <w:top w:val="single" w:sz="4" w:space="0" w:color="auto"/>
              <w:left w:val="nil"/>
              <w:bottom w:val="single" w:sz="12" w:space="0" w:color="auto"/>
              <w:right w:val="single" w:sz="4" w:space="0" w:color="auto"/>
            </w:tcBorders>
            <w:shd w:val="clear" w:color="000000" w:fill="91C36F"/>
            <w:vAlign w:val="center"/>
            <w:hideMark/>
          </w:tcPr>
          <w:p w14:paraId="765ADEB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Viability Score</w:t>
            </w:r>
          </w:p>
        </w:tc>
        <w:tc>
          <w:tcPr>
            <w:tcW w:w="4833" w:type="dxa"/>
            <w:tcBorders>
              <w:top w:val="single" w:sz="4" w:space="0" w:color="auto"/>
              <w:left w:val="nil"/>
              <w:bottom w:val="single" w:sz="12" w:space="0" w:color="auto"/>
              <w:right w:val="single" w:sz="4" w:space="0" w:color="auto"/>
            </w:tcBorders>
            <w:shd w:val="clear" w:color="000000" w:fill="C6E0B4"/>
            <w:vAlign w:val="center"/>
            <w:hideMark/>
          </w:tcPr>
          <w:p w14:paraId="171F849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Comment / Justification</w:t>
            </w:r>
          </w:p>
        </w:tc>
      </w:tr>
      <w:tr w:rsidR="00E32B12" w:rsidRPr="00E32B12" w14:paraId="58CA2A24" w14:textId="77777777" w:rsidTr="00D655F2">
        <w:trPr>
          <w:trHeight w:val="553"/>
        </w:trPr>
        <w:tc>
          <w:tcPr>
            <w:tcW w:w="967" w:type="dxa"/>
            <w:tcBorders>
              <w:top w:val="single" w:sz="12" w:space="0" w:color="auto"/>
              <w:left w:val="single" w:sz="4" w:space="0" w:color="auto"/>
              <w:bottom w:val="single" w:sz="4" w:space="0" w:color="auto"/>
              <w:right w:val="single" w:sz="4" w:space="0" w:color="auto"/>
            </w:tcBorders>
            <w:shd w:val="clear" w:color="000000" w:fill="FFF2CC"/>
            <w:noWrap/>
            <w:vAlign w:val="center"/>
            <w:hideMark/>
          </w:tcPr>
          <w:p w14:paraId="0BAE04F5" w14:textId="56F5AAB9" w:rsidR="00E927ED"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EO3</w:t>
            </w:r>
          </w:p>
        </w:tc>
        <w:tc>
          <w:tcPr>
            <w:tcW w:w="1485" w:type="dxa"/>
            <w:tcBorders>
              <w:top w:val="single" w:sz="12" w:space="0" w:color="auto"/>
              <w:left w:val="nil"/>
              <w:bottom w:val="single" w:sz="4" w:space="0" w:color="auto"/>
              <w:right w:val="single" w:sz="4" w:space="0" w:color="auto"/>
            </w:tcBorders>
            <w:shd w:val="clear" w:color="000000" w:fill="FFF2CC"/>
            <w:vAlign w:val="center"/>
            <w:hideMark/>
          </w:tcPr>
          <w:p w14:paraId="2E00EF1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Operational emissions (vehicles)</w:t>
            </w:r>
          </w:p>
        </w:tc>
        <w:tc>
          <w:tcPr>
            <w:tcW w:w="3979" w:type="dxa"/>
            <w:tcBorders>
              <w:top w:val="single" w:sz="12" w:space="0" w:color="auto"/>
              <w:left w:val="nil"/>
              <w:bottom w:val="single" w:sz="4" w:space="0" w:color="auto"/>
              <w:right w:val="single" w:sz="4" w:space="0" w:color="auto"/>
            </w:tcBorders>
            <w:shd w:val="clear" w:color="000000" w:fill="FFF2CC"/>
            <w:vAlign w:val="center"/>
            <w:hideMark/>
          </w:tcPr>
          <w:p w14:paraId="74E209A4" w14:textId="29A3508D"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Set minimum emission standards for all major contracts including maintenance, where vehicle use is inherent in the contract </w:t>
            </w:r>
            <w:r w:rsidR="00E927ED">
              <w:rPr>
                <w:rFonts w:cs="Arial"/>
                <w:color w:val="000000"/>
                <w:sz w:val="18"/>
                <w:szCs w:val="18"/>
                <w:lang w:eastAsia="en-GB"/>
              </w:rPr>
              <w:t>(EM3)</w:t>
            </w:r>
          </w:p>
        </w:tc>
        <w:tc>
          <w:tcPr>
            <w:tcW w:w="1644" w:type="dxa"/>
            <w:tcBorders>
              <w:top w:val="single" w:sz="12" w:space="0" w:color="auto"/>
              <w:left w:val="nil"/>
              <w:bottom w:val="single" w:sz="4" w:space="0" w:color="auto"/>
              <w:right w:val="single" w:sz="4" w:space="0" w:color="auto"/>
            </w:tcBorders>
            <w:shd w:val="clear" w:color="000000" w:fill="FFF2CC"/>
            <w:vAlign w:val="center"/>
            <w:hideMark/>
          </w:tcPr>
          <w:p w14:paraId="1E98DE2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 LTP3, FC, CMP, AQAP 3&amp;4</w:t>
            </w:r>
          </w:p>
        </w:tc>
        <w:tc>
          <w:tcPr>
            <w:tcW w:w="1134" w:type="dxa"/>
            <w:tcBorders>
              <w:top w:val="single" w:sz="12" w:space="0" w:color="auto"/>
              <w:left w:val="nil"/>
              <w:bottom w:val="single" w:sz="4" w:space="0" w:color="auto"/>
              <w:right w:val="single" w:sz="12" w:space="0" w:color="auto"/>
            </w:tcBorders>
            <w:shd w:val="clear" w:color="000000" w:fill="FFF2CC"/>
            <w:vAlign w:val="center"/>
            <w:hideMark/>
          </w:tcPr>
          <w:p w14:paraId="6990391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12" w:space="0" w:color="auto"/>
              <w:left w:val="single" w:sz="12" w:space="0" w:color="auto"/>
              <w:bottom w:val="single" w:sz="4" w:space="0" w:color="auto"/>
              <w:right w:val="single" w:sz="4" w:space="0" w:color="auto"/>
            </w:tcBorders>
            <w:shd w:val="clear" w:color="000000" w:fill="E2EFDA"/>
            <w:noWrap/>
            <w:vAlign w:val="center"/>
            <w:hideMark/>
          </w:tcPr>
          <w:p w14:paraId="5CEB11E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411AAFF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single" w:sz="12" w:space="0" w:color="auto"/>
              <w:left w:val="nil"/>
              <w:bottom w:val="single" w:sz="4" w:space="0" w:color="auto"/>
              <w:right w:val="single" w:sz="4" w:space="0" w:color="auto"/>
            </w:tcBorders>
            <w:shd w:val="clear" w:color="000000" w:fill="E2EFDA"/>
            <w:noWrap/>
            <w:vAlign w:val="center"/>
            <w:hideMark/>
          </w:tcPr>
          <w:p w14:paraId="37DEA4C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73632EC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3F0701C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single" w:sz="12" w:space="0" w:color="auto"/>
              <w:left w:val="nil"/>
              <w:bottom w:val="single" w:sz="4" w:space="0" w:color="auto"/>
              <w:right w:val="single" w:sz="4" w:space="0" w:color="auto"/>
            </w:tcBorders>
            <w:shd w:val="clear" w:color="000000" w:fill="C6E0B4"/>
            <w:noWrap/>
            <w:vAlign w:val="center"/>
            <w:hideMark/>
          </w:tcPr>
          <w:p w14:paraId="0ADD109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7</w:t>
            </w:r>
          </w:p>
        </w:tc>
        <w:tc>
          <w:tcPr>
            <w:tcW w:w="4833" w:type="dxa"/>
            <w:tcBorders>
              <w:top w:val="single" w:sz="12" w:space="0" w:color="auto"/>
              <w:left w:val="nil"/>
              <w:bottom w:val="single" w:sz="4" w:space="0" w:color="auto"/>
              <w:right w:val="single" w:sz="4" w:space="0" w:color="auto"/>
            </w:tcBorders>
            <w:shd w:val="clear" w:color="auto" w:fill="auto"/>
            <w:vAlign w:val="center"/>
            <w:hideMark/>
          </w:tcPr>
          <w:p w14:paraId="5DD1E85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Positive AQ impact, not technically challenging, may take time to integrate requirement into procurement, no cost to Council</w:t>
            </w:r>
          </w:p>
        </w:tc>
      </w:tr>
      <w:tr w:rsidR="00E32B12" w:rsidRPr="00E32B12" w14:paraId="5FC36A11" w14:textId="77777777" w:rsidTr="00D655F2">
        <w:trPr>
          <w:trHeight w:val="349"/>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5EBF823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EO3</w:t>
            </w:r>
          </w:p>
        </w:tc>
        <w:tc>
          <w:tcPr>
            <w:tcW w:w="1485" w:type="dxa"/>
            <w:tcBorders>
              <w:top w:val="nil"/>
              <w:left w:val="nil"/>
              <w:bottom w:val="single" w:sz="4" w:space="0" w:color="auto"/>
              <w:right w:val="single" w:sz="4" w:space="0" w:color="auto"/>
            </w:tcBorders>
            <w:shd w:val="clear" w:color="000000" w:fill="FCE4D6"/>
            <w:vAlign w:val="center"/>
            <w:hideMark/>
          </w:tcPr>
          <w:p w14:paraId="73F266D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Operational emissions (vehicles)</w:t>
            </w:r>
          </w:p>
        </w:tc>
        <w:tc>
          <w:tcPr>
            <w:tcW w:w="3979" w:type="dxa"/>
            <w:tcBorders>
              <w:top w:val="nil"/>
              <w:left w:val="nil"/>
              <w:bottom w:val="single" w:sz="4" w:space="0" w:color="auto"/>
              <w:right w:val="single" w:sz="4" w:space="0" w:color="auto"/>
            </w:tcBorders>
            <w:shd w:val="clear" w:color="000000" w:fill="FCE4D6"/>
            <w:vAlign w:val="center"/>
            <w:hideMark/>
          </w:tcPr>
          <w:p w14:paraId="35604C8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Improve emissions from the council's operational fleet, including waste and recycling, light commercial and community service fleet </w:t>
            </w:r>
          </w:p>
        </w:tc>
        <w:tc>
          <w:tcPr>
            <w:tcW w:w="1644" w:type="dxa"/>
            <w:tcBorders>
              <w:top w:val="nil"/>
              <w:left w:val="nil"/>
              <w:bottom w:val="single" w:sz="4" w:space="0" w:color="auto"/>
              <w:right w:val="single" w:sz="4" w:space="0" w:color="auto"/>
            </w:tcBorders>
            <w:shd w:val="clear" w:color="000000" w:fill="FCE4D6"/>
            <w:vAlign w:val="center"/>
            <w:hideMark/>
          </w:tcPr>
          <w:p w14:paraId="4A64ABC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w:t>
            </w:r>
          </w:p>
        </w:tc>
        <w:tc>
          <w:tcPr>
            <w:tcW w:w="1134" w:type="dxa"/>
            <w:tcBorders>
              <w:top w:val="nil"/>
              <w:left w:val="nil"/>
              <w:bottom w:val="single" w:sz="4" w:space="0" w:color="auto"/>
              <w:right w:val="single" w:sz="12" w:space="0" w:color="auto"/>
            </w:tcBorders>
            <w:shd w:val="clear" w:color="000000" w:fill="FCE4D6"/>
            <w:vAlign w:val="center"/>
            <w:hideMark/>
          </w:tcPr>
          <w:p w14:paraId="131F289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D6427C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655F23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A3A701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EEBE8A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B49C3B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27E4E91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19</w:t>
            </w:r>
          </w:p>
        </w:tc>
        <w:tc>
          <w:tcPr>
            <w:tcW w:w="4833" w:type="dxa"/>
            <w:tcBorders>
              <w:top w:val="nil"/>
              <w:left w:val="nil"/>
              <w:bottom w:val="single" w:sz="4" w:space="0" w:color="auto"/>
              <w:right w:val="single" w:sz="4" w:space="0" w:color="auto"/>
            </w:tcBorders>
            <w:shd w:val="clear" w:color="auto" w:fill="auto"/>
            <w:vAlign w:val="center"/>
            <w:hideMark/>
          </w:tcPr>
          <w:p w14:paraId="13CDF88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Positive AQ impact, not technically difficult. ULEVs may be cost prohibitive unless leased, but there may be cheaper, cleaner alternatives. Needs further work to understand costs. </w:t>
            </w:r>
          </w:p>
        </w:tc>
      </w:tr>
      <w:tr w:rsidR="00E32B12" w:rsidRPr="00E32B12" w14:paraId="549B1CF4" w14:textId="77777777" w:rsidTr="00D655F2">
        <w:trPr>
          <w:trHeight w:val="502"/>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66C8FC0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EO4</w:t>
            </w:r>
          </w:p>
        </w:tc>
        <w:tc>
          <w:tcPr>
            <w:tcW w:w="1485" w:type="dxa"/>
            <w:tcBorders>
              <w:top w:val="nil"/>
              <w:left w:val="nil"/>
              <w:bottom w:val="single" w:sz="4" w:space="0" w:color="auto"/>
              <w:right w:val="single" w:sz="4" w:space="0" w:color="auto"/>
            </w:tcBorders>
            <w:shd w:val="clear" w:color="000000" w:fill="FCE4D6"/>
            <w:vAlign w:val="center"/>
            <w:hideMark/>
          </w:tcPr>
          <w:p w14:paraId="4779309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Staff emissions</w:t>
            </w:r>
          </w:p>
        </w:tc>
        <w:tc>
          <w:tcPr>
            <w:tcW w:w="3979" w:type="dxa"/>
            <w:tcBorders>
              <w:top w:val="nil"/>
              <w:left w:val="nil"/>
              <w:bottom w:val="single" w:sz="4" w:space="0" w:color="auto"/>
              <w:right w:val="single" w:sz="4" w:space="0" w:color="auto"/>
            </w:tcBorders>
            <w:shd w:val="clear" w:color="000000" w:fill="FCE4D6"/>
            <w:vAlign w:val="center"/>
            <w:hideMark/>
          </w:tcPr>
          <w:p w14:paraId="0F4A1CD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Explore feasibility of implementing a hire car scheme for longer out of Borough journeys</w:t>
            </w:r>
          </w:p>
        </w:tc>
        <w:tc>
          <w:tcPr>
            <w:tcW w:w="1644" w:type="dxa"/>
            <w:tcBorders>
              <w:top w:val="nil"/>
              <w:left w:val="nil"/>
              <w:bottom w:val="single" w:sz="4" w:space="0" w:color="auto"/>
              <w:right w:val="single" w:sz="4" w:space="0" w:color="auto"/>
            </w:tcBorders>
            <w:shd w:val="clear" w:color="000000" w:fill="FCE4D6"/>
            <w:vAlign w:val="center"/>
            <w:hideMark/>
          </w:tcPr>
          <w:p w14:paraId="294089D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FC</w:t>
            </w:r>
          </w:p>
        </w:tc>
        <w:tc>
          <w:tcPr>
            <w:tcW w:w="1134" w:type="dxa"/>
            <w:tcBorders>
              <w:top w:val="nil"/>
              <w:left w:val="nil"/>
              <w:bottom w:val="single" w:sz="4" w:space="0" w:color="auto"/>
              <w:right w:val="single" w:sz="12" w:space="0" w:color="auto"/>
            </w:tcBorders>
            <w:shd w:val="clear" w:color="000000" w:fill="FCE4D6"/>
            <w:vAlign w:val="center"/>
            <w:hideMark/>
          </w:tcPr>
          <w:p w14:paraId="2BF3F57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91D78B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AAD59E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75DCC3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46FBAF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6D64419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3A34151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20</w:t>
            </w:r>
          </w:p>
        </w:tc>
        <w:tc>
          <w:tcPr>
            <w:tcW w:w="4833" w:type="dxa"/>
            <w:tcBorders>
              <w:top w:val="nil"/>
              <w:left w:val="nil"/>
              <w:bottom w:val="single" w:sz="4" w:space="0" w:color="auto"/>
              <w:right w:val="single" w:sz="4" w:space="0" w:color="auto"/>
            </w:tcBorders>
            <w:shd w:val="clear" w:color="auto" w:fill="auto"/>
            <w:vAlign w:val="center"/>
            <w:hideMark/>
          </w:tcPr>
          <w:p w14:paraId="7B1AF7A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Further reduces need for staff to travel to work or use car for work purposes, so has direct AQ impact, however not funded so on hold</w:t>
            </w:r>
          </w:p>
        </w:tc>
      </w:tr>
      <w:tr w:rsidR="00E32B12" w:rsidRPr="00E32B12" w14:paraId="257EE410" w14:textId="77777777" w:rsidTr="00D655F2">
        <w:trPr>
          <w:trHeight w:val="724"/>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5DB2967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EO4</w:t>
            </w:r>
          </w:p>
        </w:tc>
        <w:tc>
          <w:tcPr>
            <w:tcW w:w="1485" w:type="dxa"/>
            <w:tcBorders>
              <w:top w:val="nil"/>
              <w:left w:val="nil"/>
              <w:bottom w:val="single" w:sz="4" w:space="0" w:color="auto"/>
              <w:right w:val="single" w:sz="4" w:space="0" w:color="auto"/>
            </w:tcBorders>
            <w:shd w:val="clear" w:color="000000" w:fill="FCE4D6"/>
            <w:vAlign w:val="center"/>
            <w:hideMark/>
          </w:tcPr>
          <w:p w14:paraId="2743BE5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Staff emissions</w:t>
            </w:r>
          </w:p>
        </w:tc>
        <w:tc>
          <w:tcPr>
            <w:tcW w:w="3979" w:type="dxa"/>
            <w:tcBorders>
              <w:top w:val="nil"/>
              <w:left w:val="nil"/>
              <w:bottom w:val="single" w:sz="4" w:space="0" w:color="auto"/>
              <w:right w:val="single" w:sz="4" w:space="0" w:color="auto"/>
            </w:tcBorders>
            <w:shd w:val="clear" w:color="000000" w:fill="FCE4D6"/>
            <w:vAlign w:val="center"/>
            <w:hideMark/>
          </w:tcPr>
          <w:p w14:paraId="6CEA8272" w14:textId="646AF9A6"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Decarbonise S</w:t>
            </w:r>
            <w:r w:rsidR="00652386">
              <w:rPr>
                <w:rFonts w:cs="Arial"/>
                <w:color w:val="000000"/>
                <w:sz w:val="18"/>
                <w:szCs w:val="18"/>
                <w:lang w:eastAsia="en-GB"/>
              </w:rPr>
              <w:t>BC</w:t>
            </w:r>
            <w:r w:rsidRPr="00E32B12">
              <w:rPr>
                <w:rFonts w:cs="Arial"/>
                <w:color w:val="000000"/>
                <w:sz w:val="18"/>
                <w:szCs w:val="18"/>
                <w:lang w:eastAsia="en-GB"/>
              </w:rPr>
              <w:t xml:space="preserve"> vehicle fleet by promoting electric vehicles and explore feasibility of expanding the pool fleet programme (electric cars and e-bikes) </w:t>
            </w:r>
          </w:p>
        </w:tc>
        <w:tc>
          <w:tcPr>
            <w:tcW w:w="1644" w:type="dxa"/>
            <w:tcBorders>
              <w:top w:val="nil"/>
              <w:left w:val="nil"/>
              <w:bottom w:val="single" w:sz="4" w:space="0" w:color="auto"/>
              <w:right w:val="single" w:sz="4" w:space="0" w:color="auto"/>
            </w:tcBorders>
            <w:shd w:val="clear" w:color="000000" w:fill="FCE4D6"/>
            <w:vAlign w:val="center"/>
            <w:hideMark/>
          </w:tcPr>
          <w:p w14:paraId="7B9B440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CMP, FC</w:t>
            </w:r>
          </w:p>
        </w:tc>
        <w:tc>
          <w:tcPr>
            <w:tcW w:w="1134" w:type="dxa"/>
            <w:tcBorders>
              <w:top w:val="nil"/>
              <w:left w:val="nil"/>
              <w:bottom w:val="single" w:sz="4" w:space="0" w:color="auto"/>
              <w:right w:val="single" w:sz="12" w:space="0" w:color="auto"/>
            </w:tcBorders>
            <w:shd w:val="clear" w:color="000000" w:fill="FCE4D6"/>
            <w:vAlign w:val="center"/>
            <w:hideMark/>
          </w:tcPr>
          <w:p w14:paraId="0E8CA61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4CD98F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E718A2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4CCE46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3627FF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34D4AE1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E28073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21</w:t>
            </w:r>
          </w:p>
        </w:tc>
        <w:tc>
          <w:tcPr>
            <w:tcW w:w="4833" w:type="dxa"/>
            <w:tcBorders>
              <w:top w:val="nil"/>
              <w:left w:val="nil"/>
              <w:bottom w:val="single" w:sz="4" w:space="0" w:color="auto"/>
              <w:right w:val="single" w:sz="4" w:space="0" w:color="auto"/>
            </w:tcBorders>
            <w:shd w:val="clear" w:color="auto" w:fill="auto"/>
            <w:vAlign w:val="center"/>
            <w:hideMark/>
          </w:tcPr>
          <w:p w14:paraId="40A8C44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Expanding pool fleet reduces need for staff to drive to work so has direct AQ impact, however currently no funding to support expansion of pool fleet so currently on hold. </w:t>
            </w:r>
          </w:p>
        </w:tc>
      </w:tr>
      <w:tr w:rsidR="00E32B12" w:rsidRPr="00E32B12" w14:paraId="3CFD14CA" w14:textId="77777777" w:rsidTr="00D655F2">
        <w:trPr>
          <w:trHeight w:val="567"/>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0FFFEE7E"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EO5</w:t>
            </w:r>
          </w:p>
        </w:tc>
        <w:tc>
          <w:tcPr>
            <w:tcW w:w="1485" w:type="dxa"/>
            <w:tcBorders>
              <w:top w:val="nil"/>
              <w:left w:val="nil"/>
              <w:bottom w:val="single" w:sz="4" w:space="0" w:color="auto"/>
              <w:right w:val="single" w:sz="4" w:space="0" w:color="auto"/>
            </w:tcBorders>
            <w:shd w:val="clear" w:color="000000" w:fill="FCE4D6"/>
            <w:vAlign w:val="center"/>
            <w:hideMark/>
          </w:tcPr>
          <w:p w14:paraId="686CFF7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Bus emissions</w:t>
            </w:r>
          </w:p>
        </w:tc>
        <w:tc>
          <w:tcPr>
            <w:tcW w:w="3979" w:type="dxa"/>
            <w:tcBorders>
              <w:top w:val="nil"/>
              <w:left w:val="nil"/>
              <w:bottom w:val="single" w:sz="4" w:space="0" w:color="auto"/>
              <w:right w:val="single" w:sz="4" w:space="0" w:color="auto"/>
            </w:tcBorders>
            <w:shd w:val="clear" w:color="000000" w:fill="FCE4D6"/>
            <w:vAlign w:val="center"/>
            <w:hideMark/>
          </w:tcPr>
          <w:p w14:paraId="38921C3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Support introduction of electric buses on the network, by continuing to support short term electric bus route trials and develop proposals to deliver the electric bus A4 smart service programme </w:t>
            </w:r>
          </w:p>
        </w:tc>
        <w:tc>
          <w:tcPr>
            <w:tcW w:w="1644" w:type="dxa"/>
            <w:tcBorders>
              <w:top w:val="nil"/>
              <w:left w:val="nil"/>
              <w:bottom w:val="single" w:sz="4" w:space="0" w:color="auto"/>
              <w:right w:val="single" w:sz="4" w:space="0" w:color="auto"/>
            </w:tcBorders>
            <w:shd w:val="clear" w:color="000000" w:fill="FCE4D6"/>
            <w:vAlign w:val="center"/>
            <w:hideMark/>
          </w:tcPr>
          <w:p w14:paraId="5851B14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w:t>
            </w:r>
          </w:p>
        </w:tc>
        <w:tc>
          <w:tcPr>
            <w:tcW w:w="1134" w:type="dxa"/>
            <w:tcBorders>
              <w:top w:val="nil"/>
              <w:left w:val="nil"/>
              <w:bottom w:val="single" w:sz="4" w:space="0" w:color="auto"/>
              <w:right w:val="single" w:sz="12" w:space="0" w:color="auto"/>
            </w:tcBorders>
            <w:shd w:val="clear" w:color="000000" w:fill="FCE4D6"/>
            <w:vAlign w:val="center"/>
            <w:hideMark/>
          </w:tcPr>
          <w:p w14:paraId="510B440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83D290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D5B56F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423493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68BDCCB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463E96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7FE6C4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23</w:t>
            </w:r>
          </w:p>
        </w:tc>
        <w:tc>
          <w:tcPr>
            <w:tcW w:w="4833" w:type="dxa"/>
            <w:tcBorders>
              <w:top w:val="nil"/>
              <w:left w:val="nil"/>
              <w:bottom w:val="single" w:sz="4" w:space="0" w:color="auto"/>
              <w:right w:val="single" w:sz="4" w:space="0" w:color="auto"/>
            </w:tcBorders>
            <w:shd w:val="clear" w:color="auto" w:fill="auto"/>
            <w:vAlign w:val="center"/>
            <w:hideMark/>
          </w:tcPr>
          <w:p w14:paraId="168D1220" w14:textId="24E52249"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Electric buses would improve AQ however technically difficult due to lack of available charging infrastructure, expensive, likely to take time to develop solutions</w:t>
            </w:r>
            <w:r w:rsidR="00784479">
              <w:rPr>
                <w:rFonts w:cs="Arial"/>
                <w:color w:val="000000"/>
                <w:sz w:val="18"/>
                <w:szCs w:val="18"/>
                <w:lang w:eastAsia="en-GB"/>
              </w:rPr>
              <w:t xml:space="preserve">. No funding currently but future options may be available via </w:t>
            </w:r>
            <w:r w:rsidR="00784479" w:rsidRPr="00784479">
              <w:rPr>
                <w:rFonts w:cs="Arial"/>
                <w:color w:val="000000"/>
                <w:sz w:val="18"/>
                <w:szCs w:val="18"/>
                <w:lang w:eastAsia="en-GB"/>
              </w:rPr>
              <w:t>government funding competitions (Zebra) and working in close partnership with bus operators and TfL</w:t>
            </w:r>
          </w:p>
        </w:tc>
      </w:tr>
      <w:tr w:rsidR="00E32B12" w:rsidRPr="00E32B12" w14:paraId="5785693E" w14:textId="77777777" w:rsidTr="00D655F2">
        <w:trPr>
          <w:trHeight w:val="397"/>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541367F1"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EO5</w:t>
            </w:r>
          </w:p>
        </w:tc>
        <w:tc>
          <w:tcPr>
            <w:tcW w:w="1485" w:type="dxa"/>
            <w:tcBorders>
              <w:top w:val="nil"/>
              <w:left w:val="nil"/>
              <w:bottom w:val="single" w:sz="4" w:space="0" w:color="auto"/>
              <w:right w:val="single" w:sz="4" w:space="0" w:color="auto"/>
            </w:tcBorders>
            <w:shd w:val="clear" w:color="000000" w:fill="FFF2CC"/>
            <w:vAlign w:val="center"/>
            <w:hideMark/>
          </w:tcPr>
          <w:p w14:paraId="07876B3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Taxi emissions</w:t>
            </w:r>
          </w:p>
        </w:tc>
        <w:tc>
          <w:tcPr>
            <w:tcW w:w="3979" w:type="dxa"/>
            <w:tcBorders>
              <w:top w:val="nil"/>
              <w:left w:val="nil"/>
              <w:bottom w:val="single" w:sz="4" w:space="0" w:color="auto"/>
              <w:right w:val="single" w:sz="4" w:space="0" w:color="auto"/>
            </w:tcBorders>
            <w:shd w:val="clear" w:color="000000" w:fill="FFF2CC"/>
            <w:vAlign w:val="center"/>
            <w:hideMark/>
          </w:tcPr>
          <w:p w14:paraId="712998BD" w14:textId="75D91212"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Re-introduce minimum emission standards for both hackney carriages and private hire vehicles that comply with national clean air requirements and promote ULEVs</w:t>
            </w:r>
            <w:r w:rsidR="00E927ED">
              <w:rPr>
                <w:rFonts w:cs="Arial"/>
                <w:color w:val="000000"/>
                <w:sz w:val="18"/>
                <w:szCs w:val="18"/>
                <w:lang w:eastAsia="en-GB"/>
              </w:rPr>
              <w:t xml:space="preserve"> (EM19)</w:t>
            </w:r>
          </w:p>
        </w:tc>
        <w:tc>
          <w:tcPr>
            <w:tcW w:w="1644" w:type="dxa"/>
            <w:tcBorders>
              <w:top w:val="nil"/>
              <w:left w:val="nil"/>
              <w:bottom w:val="single" w:sz="4" w:space="0" w:color="auto"/>
              <w:right w:val="single" w:sz="4" w:space="0" w:color="auto"/>
            </w:tcBorders>
            <w:shd w:val="clear" w:color="000000" w:fill="FFF2CC"/>
            <w:vAlign w:val="center"/>
            <w:hideMark/>
          </w:tcPr>
          <w:p w14:paraId="63D5707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 TL</w:t>
            </w:r>
          </w:p>
        </w:tc>
        <w:tc>
          <w:tcPr>
            <w:tcW w:w="1134" w:type="dxa"/>
            <w:tcBorders>
              <w:top w:val="nil"/>
              <w:left w:val="nil"/>
              <w:bottom w:val="single" w:sz="4" w:space="0" w:color="auto"/>
              <w:right w:val="single" w:sz="12" w:space="0" w:color="auto"/>
            </w:tcBorders>
            <w:shd w:val="clear" w:color="000000" w:fill="FFF2CC"/>
            <w:vAlign w:val="center"/>
            <w:hideMark/>
          </w:tcPr>
          <w:p w14:paraId="0E493F8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B1803C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354BC6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4CDC67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542A7E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930347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9589FA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4833" w:type="dxa"/>
            <w:tcBorders>
              <w:top w:val="nil"/>
              <w:left w:val="nil"/>
              <w:bottom w:val="single" w:sz="4" w:space="0" w:color="auto"/>
              <w:right w:val="single" w:sz="4" w:space="0" w:color="auto"/>
            </w:tcBorders>
            <w:shd w:val="clear" w:color="auto" w:fill="auto"/>
            <w:vAlign w:val="center"/>
            <w:hideMark/>
          </w:tcPr>
          <w:p w14:paraId="27F0AF6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Measure actively reduces taxi emissions, however challenging to implement and will take time to integrate back into policy. Currently on hold. </w:t>
            </w:r>
          </w:p>
        </w:tc>
      </w:tr>
      <w:tr w:rsidR="00E32B12" w:rsidRPr="00E32B12" w14:paraId="796EBCE2" w14:textId="77777777" w:rsidTr="00D655F2">
        <w:trPr>
          <w:trHeight w:val="550"/>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3423482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EO6</w:t>
            </w:r>
          </w:p>
        </w:tc>
        <w:tc>
          <w:tcPr>
            <w:tcW w:w="1485" w:type="dxa"/>
            <w:tcBorders>
              <w:top w:val="nil"/>
              <w:left w:val="nil"/>
              <w:bottom w:val="single" w:sz="4" w:space="0" w:color="auto"/>
              <w:right w:val="single" w:sz="4" w:space="0" w:color="auto"/>
            </w:tcBorders>
            <w:shd w:val="clear" w:color="000000" w:fill="FCE4D6"/>
            <w:vAlign w:val="center"/>
            <w:hideMark/>
          </w:tcPr>
          <w:p w14:paraId="4894488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Operational emissions (buildings)</w:t>
            </w:r>
          </w:p>
        </w:tc>
        <w:tc>
          <w:tcPr>
            <w:tcW w:w="3979" w:type="dxa"/>
            <w:tcBorders>
              <w:top w:val="nil"/>
              <w:left w:val="nil"/>
              <w:bottom w:val="single" w:sz="4" w:space="0" w:color="auto"/>
              <w:right w:val="single" w:sz="4" w:space="0" w:color="auto"/>
            </w:tcBorders>
            <w:shd w:val="clear" w:color="000000" w:fill="FCE4D6"/>
            <w:vAlign w:val="center"/>
            <w:hideMark/>
          </w:tcPr>
          <w:p w14:paraId="7BAF31A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Take all opportunities during refurbishment works to install the most energy efficient plant and building operation methods, include energy efficiency into asset management plans and develop a sustainable energy model/plan (CMP priority 1)</w:t>
            </w:r>
          </w:p>
        </w:tc>
        <w:tc>
          <w:tcPr>
            <w:tcW w:w="1644" w:type="dxa"/>
            <w:tcBorders>
              <w:top w:val="nil"/>
              <w:left w:val="nil"/>
              <w:bottom w:val="single" w:sz="4" w:space="0" w:color="auto"/>
              <w:right w:val="single" w:sz="4" w:space="0" w:color="auto"/>
            </w:tcBorders>
            <w:shd w:val="clear" w:color="000000" w:fill="FCE4D6"/>
            <w:vAlign w:val="center"/>
            <w:hideMark/>
          </w:tcPr>
          <w:p w14:paraId="0B104F2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CMP</w:t>
            </w:r>
          </w:p>
        </w:tc>
        <w:tc>
          <w:tcPr>
            <w:tcW w:w="1134" w:type="dxa"/>
            <w:tcBorders>
              <w:top w:val="nil"/>
              <w:left w:val="nil"/>
              <w:bottom w:val="single" w:sz="4" w:space="0" w:color="auto"/>
              <w:right w:val="single" w:sz="12" w:space="0" w:color="auto"/>
            </w:tcBorders>
            <w:shd w:val="clear" w:color="000000" w:fill="FCE4D6"/>
            <w:vAlign w:val="center"/>
            <w:hideMark/>
          </w:tcPr>
          <w:p w14:paraId="0BBA28B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FB8FD9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6E5BFD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6FE165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3CABE31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933E13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654D2F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20</w:t>
            </w:r>
          </w:p>
        </w:tc>
        <w:tc>
          <w:tcPr>
            <w:tcW w:w="4833" w:type="dxa"/>
            <w:tcBorders>
              <w:top w:val="nil"/>
              <w:left w:val="nil"/>
              <w:bottom w:val="single" w:sz="4" w:space="0" w:color="auto"/>
              <w:right w:val="single" w:sz="4" w:space="0" w:color="auto"/>
            </w:tcBorders>
            <w:shd w:val="clear" w:color="auto" w:fill="auto"/>
            <w:vAlign w:val="center"/>
            <w:hideMark/>
          </w:tcPr>
          <w:p w14:paraId="3F2E974A" w14:textId="62BFFEDA"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Likely to result in positive AQ impact, some technical challenges. Refurbishment works take time to implement and are likely to be expensive to install </w:t>
            </w:r>
            <w:r w:rsidR="00D655F2" w:rsidRPr="00E32B12">
              <w:rPr>
                <w:rFonts w:cs="Arial"/>
                <w:color w:val="000000"/>
                <w:sz w:val="18"/>
                <w:szCs w:val="18"/>
                <w:lang w:eastAsia="en-GB"/>
              </w:rPr>
              <w:t>initially</w:t>
            </w:r>
            <w:r w:rsidRPr="00E32B12">
              <w:rPr>
                <w:rFonts w:cs="Arial"/>
                <w:color w:val="000000"/>
                <w:sz w:val="18"/>
                <w:szCs w:val="18"/>
                <w:lang w:eastAsia="en-GB"/>
              </w:rPr>
              <w:t xml:space="preserve">, but result in savings later. Only viable if fully grant funded, therefore currently on hold </w:t>
            </w:r>
          </w:p>
        </w:tc>
      </w:tr>
      <w:tr w:rsidR="00E32B12" w:rsidRPr="00E32B12" w14:paraId="07FEBB69" w14:textId="77777777" w:rsidTr="00D655F2">
        <w:trPr>
          <w:trHeight w:val="838"/>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2851237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EO6</w:t>
            </w:r>
          </w:p>
        </w:tc>
        <w:tc>
          <w:tcPr>
            <w:tcW w:w="1485" w:type="dxa"/>
            <w:tcBorders>
              <w:top w:val="nil"/>
              <w:left w:val="nil"/>
              <w:bottom w:val="single" w:sz="4" w:space="0" w:color="auto"/>
              <w:right w:val="single" w:sz="4" w:space="0" w:color="auto"/>
            </w:tcBorders>
            <w:shd w:val="clear" w:color="000000" w:fill="FCE4D6"/>
            <w:vAlign w:val="center"/>
            <w:hideMark/>
          </w:tcPr>
          <w:p w14:paraId="4BCB2FC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Operational emissions (buildings)</w:t>
            </w:r>
          </w:p>
        </w:tc>
        <w:tc>
          <w:tcPr>
            <w:tcW w:w="3979" w:type="dxa"/>
            <w:tcBorders>
              <w:top w:val="nil"/>
              <w:left w:val="nil"/>
              <w:bottom w:val="single" w:sz="4" w:space="0" w:color="auto"/>
              <w:right w:val="single" w:sz="4" w:space="0" w:color="auto"/>
            </w:tcBorders>
            <w:shd w:val="clear" w:color="000000" w:fill="FCE4D6"/>
            <w:vAlign w:val="center"/>
            <w:hideMark/>
          </w:tcPr>
          <w:p w14:paraId="4CF4B611"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Continue implementation of RE:FIT Programme (Energy efficiency and renewable energy refurbishment scheme) to improve the energy efficiency of Council corporate building estate. </w:t>
            </w:r>
          </w:p>
        </w:tc>
        <w:tc>
          <w:tcPr>
            <w:tcW w:w="1644" w:type="dxa"/>
            <w:tcBorders>
              <w:top w:val="nil"/>
              <w:left w:val="nil"/>
              <w:bottom w:val="single" w:sz="4" w:space="0" w:color="auto"/>
              <w:right w:val="single" w:sz="4" w:space="0" w:color="auto"/>
            </w:tcBorders>
            <w:shd w:val="clear" w:color="000000" w:fill="FCE4D6"/>
            <w:vAlign w:val="center"/>
            <w:hideMark/>
          </w:tcPr>
          <w:p w14:paraId="62F97CA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CMP</w:t>
            </w:r>
          </w:p>
        </w:tc>
        <w:tc>
          <w:tcPr>
            <w:tcW w:w="1134" w:type="dxa"/>
            <w:tcBorders>
              <w:top w:val="nil"/>
              <w:left w:val="nil"/>
              <w:bottom w:val="single" w:sz="4" w:space="0" w:color="auto"/>
              <w:right w:val="single" w:sz="12" w:space="0" w:color="auto"/>
            </w:tcBorders>
            <w:shd w:val="clear" w:color="000000" w:fill="FCE4D6"/>
            <w:vAlign w:val="center"/>
            <w:hideMark/>
          </w:tcPr>
          <w:p w14:paraId="1830ABC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E3B9EB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0453BC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B143FC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2E07FF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39997D5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06B752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22</w:t>
            </w:r>
          </w:p>
        </w:tc>
        <w:tc>
          <w:tcPr>
            <w:tcW w:w="4833" w:type="dxa"/>
            <w:tcBorders>
              <w:top w:val="nil"/>
              <w:left w:val="nil"/>
              <w:bottom w:val="single" w:sz="4" w:space="0" w:color="auto"/>
              <w:right w:val="single" w:sz="4" w:space="0" w:color="auto"/>
            </w:tcBorders>
            <w:shd w:val="clear" w:color="auto" w:fill="auto"/>
            <w:vAlign w:val="center"/>
            <w:hideMark/>
          </w:tcPr>
          <w:p w14:paraId="457A82F5" w14:textId="0A5E2FC9"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Likely to result in positive AQ impact, some technical challenges. Refurbishment works take time to implement and are likely to be expensive to install </w:t>
            </w:r>
            <w:r w:rsidR="00D655F2" w:rsidRPr="00E32B12">
              <w:rPr>
                <w:rFonts w:cs="Arial"/>
                <w:color w:val="000000"/>
                <w:sz w:val="18"/>
                <w:szCs w:val="18"/>
                <w:lang w:eastAsia="en-GB"/>
              </w:rPr>
              <w:t>initially</w:t>
            </w:r>
            <w:r w:rsidRPr="00E32B12">
              <w:rPr>
                <w:rFonts w:cs="Arial"/>
                <w:color w:val="000000"/>
                <w:sz w:val="18"/>
                <w:szCs w:val="18"/>
                <w:lang w:eastAsia="en-GB"/>
              </w:rPr>
              <w:t xml:space="preserve">, but result in savings later. Only viable if fully grant funded, therefore currently on hold </w:t>
            </w:r>
          </w:p>
        </w:tc>
      </w:tr>
      <w:tr w:rsidR="00E32B12" w:rsidRPr="00E32B12" w14:paraId="430BF9FD" w14:textId="77777777" w:rsidTr="00D655F2">
        <w:trPr>
          <w:trHeight w:val="512"/>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52686CC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EO6</w:t>
            </w:r>
          </w:p>
        </w:tc>
        <w:tc>
          <w:tcPr>
            <w:tcW w:w="1485" w:type="dxa"/>
            <w:tcBorders>
              <w:top w:val="nil"/>
              <w:left w:val="nil"/>
              <w:bottom w:val="single" w:sz="4" w:space="0" w:color="auto"/>
              <w:right w:val="single" w:sz="4" w:space="0" w:color="auto"/>
            </w:tcBorders>
            <w:shd w:val="clear" w:color="000000" w:fill="FCE4D6"/>
            <w:vAlign w:val="center"/>
            <w:hideMark/>
          </w:tcPr>
          <w:p w14:paraId="0B2212F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Partnerships - Businesses (trip reduction)</w:t>
            </w:r>
          </w:p>
        </w:tc>
        <w:tc>
          <w:tcPr>
            <w:tcW w:w="3979" w:type="dxa"/>
            <w:tcBorders>
              <w:top w:val="nil"/>
              <w:left w:val="nil"/>
              <w:bottom w:val="single" w:sz="4" w:space="0" w:color="auto"/>
              <w:right w:val="single" w:sz="4" w:space="0" w:color="auto"/>
            </w:tcBorders>
            <w:shd w:val="clear" w:color="000000" w:fill="FCE4D6"/>
            <w:vAlign w:val="center"/>
            <w:hideMark/>
          </w:tcPr>
          <w:p w14:paraId="353F680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Explore with freight/ logistics operators the potential for a freight consolidation centre to cater for town centre deliveries.</w:t>
            </w:r>
          </w:p>
        </w:tc>
        <w:tc>
          <w:tcPr>
            <w:tcW w:w="1644" w:type="dxa"/>
            <w:tcBorders>
              <w:top w:val="nil"/>
              <w:left w:val="nil"/>
              <w:bottom w:val="single" w:sz="4" w:space="0" w:color="auto"/>
              <w:right w:val="single" w:sz="4" w:space="0" w:color="auto"/>
            </w:tcBorders>
            <w:shd w:val="clear" w:color="000000" w:fill="FCE4D6"/>
            <w:vAlign w:val="center"/>
            <w:hideMark/>
          </w:tcPr>
          <w:p w14:paraId="5C87830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AQAP3&amp;4</w:t>
            </w:r>
          </w:p>
        </w:tc>
        <w:tc>
          <w:tcPr>
            <w:tcW w:w="1134" w:type="dxa"/>
            <w:tcBorders>
              <w:top w:val="nil"/>
              <w:left w:val="nil"/>
              <w:bottom w:val="single" w:sz="4" w:space="0" w:color="auto"/>
              <w:right w:val="single" w:sz="12" w:space="0" w:color="auto"/>
            </w:tcBorders>
            <w:shd w:val="clear" w:color="000000" w:fill="FCE4D6"/>
            <w:vAlign w:val="center"/>
            <w:hideMark/>
          </w:tcPr>
          <w:p w14:paraId="55BA883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009B78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FD252F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2C5AC1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466D5F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282AB9F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0A2C74A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21</w:t>
            </w:r>
          </w:p>
        </w:tc>
        <w:tc>
          <w:tcPr>
            <w:tcW w:w="4833" w:type="dxa"/>
            <w:tcBorders>
              <w:top w:val="nil"/>
              <w:left w:val="nil"/>
              <w:bottom w:val="single" w:sz="4" w:space="0" w:color="auto"/>
              <w:right w:val="single" w:sz="4" w:space="0" w:color="auto"/>
            </w:tcBorders>
            <w:shd w:val="clear" w:color="auto" w:fill="auto"/>
            <w:vAlign w:val="center"/>
            <w:hideMark/>
          </w:tcPr>
          <w:p w14:paraId="6682CD5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Direct positive AQ impact, but consolidation centre likely to have technical challenges, take time to implement and be expensive. Would need to be commercially led or grant funded to be viable - no funding available currently</w:t>
            </w:r>
          </w:p>
        </w:tc>
      </w:tr>
      <w:tr w:rsidR="00E32B12" w:rsidRPr="00E32B12" w14:paraId="2176CC7A" w14:textId="77777777" w:rsidTr="00D655F2">
        <w:trPr>
          <w:trHeight w:val="383"/>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3D823D0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EO6</w:t>
            </w:r>
          </w:p>
        </w:tc>
        <w:tc>
          <w:tcPr>
            <w:tcW w:w="1485" w:type="dxa"/>
            <w:tcBorders>
              <w:top w:val="nil"/>
              <w:left w:val="nil"/>
              <w:bottom w:val="single" w:sz="4" w:space="0" w:color="auto"/>
              <w:right w:val="single" w:sz="4" w:space="0" w:color="auto"/>
            </w:tcBorders>
            <w:shd w:val="clear" w:color="000000" w:fill="FFF2CC"/>
            <w:vAlign w:val="center"/>
            <w:hideMark/>
          </w:tcPr>
          <w:p w14:paraId="486BC80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Partnerships - Communities </w:t>
            </w:r>
          </w:p>
        </w:tc>
        <w:tc>
          <w:tcPr>
            <w:tcW w:w="3979" w:type="dxa"/>
            <w:tcBorders>
              <w:top w:val="nil"/>
              <w:left w:val="nil"/>
              <w:bottom w:val="single" w:sz="4" w:space="0" w:color="auto"/>
              <w:right w:val="single" w:sz="4" w:space="0" w:color="auto"/>
            </w:tcBorders>
            <w:shd w:val="clear" w:color="000000" w:fill="FFF2CC"/>
            <w:vAlign w:val="center"/>
            <w:hideMark/>
          </w:tcPr>
          <w:p w14:paraId="69E66F64" w14:textId="4B2601E4"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Support residents of Slough to reduce heating emissions through government funded retrofit projects such as the Home Upgrade Grant (HUG2) scheme</w:t>
            </w:r>
            <w:r w:rsidR="00E927ED">
              <w:rPr>
                <w:rFonts w:cs="Arial"/>
                <w:sz w:val="18"/>
                <w:szCs w:val="18"/>
                <w:lang w:eastAsia="en-GB"/>
              </w:rPr>
              <w:t xml:space="preserve"> (EM14)</w:t>
            </w:r>
          </w:p>
        </w:tc>
        <w:tc>
          <w:tcPr>
            <w:tcW w:w="1644" w:type="dxa"/>
            <w:tcBorders>
              <w:top w:val="nil"/>
              <w:left w:val="nil"/>
              <w:bottom w:val="single" w:sz="4" w:space="0" w:color="auto"/>
              <w:right w:val="single" w:sz="4" w:space="0" w:color="auto"/>
            </w:tcBorders>
            <w:shd w:val="clear" w:color="000000" w:fill="FFF2CC"/>
            <w:vAlign w:val="center"/>
            <w:hideMark/>
          </w:tcPr>
          <w:p w14:paraId="484C32E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CMP</w:t>
            </w:r>
          </w:p>
        </w:tc>
        <w:tc>
          <w:tcPr>
            <w:tcW w:w="1134" w:type="dxa"/>
            <w:tcBorders>
              <w:top w:val="nil"/>
              <w:left w:val="nil"/>
              <w:bottom w:val="single" w:sz="4" w:space="0" w:color="auto"/>
              <w:right w:val="single" w:sz="12" w:space="0" w:color="auto"/>
            </w:tcBorders>
            <w:shd w:val="clear" w:color="000000" w:fill="FFF2CC"/>
            <w:vAlign w:val="center"/>
            <w:hideMark/>
          </w:tcPr>
          <w:p w14:paraId="2E49D77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3 +Ext, 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1DC646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F055BC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6B9F95C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4419FA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496918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F59A2E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0CCCA23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HUG2 scheme can help to reduce domestic portion of background emissions. Scheme overall is technically challenging spanning 1-2 years, but grant funded</w:t>
            </w:r>
          </w:p>
        </w:tc>
      </w:tr>
      <w:tr w:rsidR="00E32B12" w:rsidRPr="00E32B12" w14:paraId="49679D66" w14:textId="77777777" w:rsidTr="00D655F2">
        <w:trPr>
          <w:trHeight w:val="536"/>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658F314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EO6</w:t>
            </w:r>
          </w:p>
        </w:tc>
        <w:tc>
          <w:tcPr>
            <w:tcW w:w="1485" w:type="dxa"/>
            <w:tcBorders>
              <w:top w:val="nil"/>
              <w:left w:val="nil"/>
              <w:bottom w:val="single" w:sz="4" w:space="0" w:color="auto"/>
              <w:right w:val="single" w:sz="4" w:space="0" w:color="auto"/>
            </w:tcBorders>
            <w:shd w:val="clear" w:color="000000" w:fill="FFF2CC"/>
            <w:vAlign w:val="center"/>
            <w:hideMark/>
          </w:tcPr>
          <w:p w14:paraId="416212D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Partnerships - Communities / Businesses</w:t>
            </w:r>
          </w:p>
        </w:tc>
        <w:tc>
          <w:tcPr>
            <w:tcW w:w="3979" w:type="dxa"/>
            <w:tcBorders>
              <w:top w:val="nil"/>
              <w:left w:val="nil"/>
              <w:bottom w:val="single" w:sz="4" w:space="0" w:color="auto"/>
              <w:right w:val="single" w:sz="4" w:space="0" w:color="auto"/>
            </w:tcBorders>
            <w:shd w:val="clear" w:color="000000" w:fill="FFF2CC"/>
            <w:vAlign w:val="center"/>
            <w:hideMark/>
          </w:tcPr>
          <w:p w14:paraId="6A787ADE" w14:textId="7985C60A"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Support District Heating plans </w:t>
            </w:r>
            <w:r w:rsidR="00E927ED">
              <w:rPr>
                <w:rFonts w:cs="Arial"/>
                <w:sz w:val="18"/>
                <w:szCs w:val="18"/>
                <w:lang w:eastAsia="en-GB"/>
              </w:rPr>
              <w:t>(EM15)</w:t>
            </w:r>
          </w:p>
        </w:tc>
        <w:tc>
          <w:tcPr>
            <w:tcW w:w="1644" w:type="dxa"/>
            <w:tcBorders>
              <w:top w:val="nil"/>
              <w:left w:val="nil"/>
              <w:bottom w:val="single" w:sz="4" w:space="0" w:color="auto"/>
              <w:right w:val="single" w:sz="4" w:space="0" w:color="auto"/>
            </w:tcBorders>
            <w:shd w:val="clear" w:color="000000" w:fill="FFF2CC"/>
            <w:vAlign w:val="center"/>
            <w:hideMark/>
          </w:tcPr>
          <w:p w14:paraId="2B0E978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CCS</w:t>
            </w:r>
          </w:p>
        </w:tc>
        <w:tc>
          <w:tcPr>
            <w:tcW w:w="1134" w:type="dxa"/>
            <w:tcBorders>
              <w:top w:val="nil"/>
              <w:left w:val="nil"/>
              <w:bottom w:val="single" w:sz="4" w:space="0" w:color="auto"/>
              <w:right w:val="single" w:sz="12" w:space="0" w:color="auto"/>
            </w:tcBorders>
            <w:shd w:val="clear" w:color="000000" w:fill="FFF2CC"/>
            <w:vAlign w:val="center"/>
            <w:hideMark/>
          </w:tcPr>
          <w:p w14:paraId="69D7D9B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3 +Ext, 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8C7A90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EAD4FA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9D6BEF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E6A0EF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5CDA4E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D3CE79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048DA7B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Reduces domestic portion of background emissions, some technical challenges but likely to take 2+ years to implement at high cost, although expected cost covered by supplier</w:t>
            </w:r>
          </w:p>
        </w:tc>
      </w:tr>
      <w:tr w:rsidR="00E32B12" w:rsidRPr="00E32B12" w14:paraId="4FD8509B" w14:textId="77777777" w:rsidTr="00D655F2">
        <w:trPr>
          <w:trHeight w:val="691"/>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270E394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67B94AB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LES Programme</w:t>
            </w:r>
          </w:p>
        </w:tc>
        <w:tc>
          <w:tcPr>
            <w:tcW w:w="3979" w:type="dxa"/>
            <w:tcBorders>
              <w:top w:val="nil"/>
              <w:left w:val="nil"/>
              <w:bottom w:val="single" w:sz="4" w:space="0" w:color="auto"/>
              <w:right w:val="single" w:sz="4" w:space="0" w:color="auto"/>
            </w:tcBorders>
            <w:shd w:val="clear" w:color="000000" w:fill="FFF2CC"/>
            <w:vAlign w:val="center"/>
            <w:hideMark/>
          </w:tcPr>
          <w:p w14:paraId="4A741F1A" w14:textId="0240C098"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Update the Slough Low Emission Strategy with tightened emission controls, electric vehicle charging standards and construction emissions to incorporate increased standards and provision over time </w:t>
            </w:r>
            <w:r w:rsidR="00E927ED">
              <w:rPr>
                <w:rFonts w:cs="Arial"/>
                <w:color w:val="000000"/>
                <w:sz w:val="18"/>
                <w:szCs w:val="18"/>
                <w:lang w:eastAsia="en-GB"/>
              </w:rPr>
              <w:t>(EM6)</w:t>
            </w:r>
          </w:p>
        </w:tc>
        <w:tc>
          <w:tcPr>
            <w:tcW w:w="1644" w:type="dxa"/>
            <w:tcBorders>
              <w:top w:val="nil"/>
              <w:left w:val="nil"/>
              <w:bottom w:val="single" w:sz="4" w:space="0" w:color="auto"/>
              <w:right w:val="single" w:sz="4" w:space="0" w:color="auto"/>
            </w:tcBorders>
            <w:shd w:val="clear" w:color="000000" w:fill="FFF2CC"/>
            <w:vAlign w:val="center"/>
            <w:hideMark/>
          </w:tcPr>
          <w:p w14:paraId="63DA135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w:t>
            </w:r>
          </w:p>
        </w:tc>
        <w:tc>
          <w:tcPr>
            <w:tcW w:w="1134" w:type="dxa"/>
            <w:tcBorders>
              <w:top w:val="nil"/>
              <w:left w:val="nil"/>
              <w:bottom w:val="single" w:sz="4" w:space="0" w:color="auto"/>
              <w:right w:val="single" w:sz="12" w:space="0" w:color="auto"/>
            </w:tcBorders>
            <w:shd w:val="clear" w:color="000000" w:fill="FFF2CC"/>
            <w:vAlign w:val="center"/>
            <w:hideMark/>
          </w:tcPr>
          <w:p w14:paraId="4025DEB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7DD8C4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95ABD4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91B5B6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98F454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860B49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0FCE6F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4833" w:type="dxa"/>
            <w:tcBorders>
              <w:top w:val="nil"/>
              <w:left w:val="nil"/>
              <w:bottom w:val="single" w:sz="4" w:space="0" w:color="auto"/>
              <w:right w:val="single" w:sz="4" w:space="0" w:color="auto"/>
            </w:tcBorders>
            <w:shd w:val="clear" w:color="auto" w:fill="auto"/>
            <w:vAlign w:val="center"/>
            <w:hideMark/>
          </w:tcPr>
          <w:p w14:paraId="0134561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Results in AQ improvements (but lesser degree than other measures as it only applies to new developments), not technically challenging, may take time to refresh, no cost to the Council </w:t>
            </w:r>
          </w:p>
        </w:tc>
      </w:tr>
      <w:tr w:rsidR="00E32B12" w:rsidRPr="00E32B12" w14:paraId="24A12FCE" w14:textId="77777777" w:rsidTr="00D655F2">
        <w:trPr>
          <w:trHeight w:val="159"/>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389926E2"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66756BC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LES Programme</w:t>
            </w:r>
          </w:p>
        </w:tc>
        <w:tc>
          <w:tcPr>
            <w:tcW w:w="3979" w:type="dxa"/>
            <w:tcBorders>
              <w:top w:val="nil"/>
              <w:left w:val="nil"/>
              <w:bottom w:val="single" w:sz="4" w:space="0" w:color="auto"/>
              <w:right w:val="single" w:sz="4" w:space="0" w:color="auto"/>
            </w:tcBorders>
            <w:shd w:val="clear" w:color="000000" w:fill="FFF2CC"/>
            <w:vAlign w:val="center"/>
            <w:hideMark/>
          </w:tcPr>
          <w:p w14:paraId="41B50D5C" w14:textId="3277039F"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Install a network of rapid charging facilities to support a high growth rate in plug-in taxis and the use of smart technology to link taxi </w:t>
            </w:r>
            <w:r w:rsidRPr="00E32B12">
              <w:rPr>
                <w:rFonts w:cs="Arial"/>
                <w:color w:val="000000"/>
                <w:sz w:val="18"/>
                <w:szCs w:val="18"/>
                <w:lang w:eastAsia="en-GB"/>
              </w:rPr>
              <w:lastRenderedPageBreak/>
              <w:t>operators with charging infrastructure and customers</w:t>
            </w:r>
            <w:r w:rsidR="00E927ED">
              <w:rPr>
                <w:rFonts w:cs="Arial"/>
                <w:color w:val="000000"/>
                <w:sz w:val="18"/>
                <w:szCs w:val="18"/>
                <w:lang w:eastAsia="en-GB"/>
              </w:rPr>
              <w:t xml:space="preserve"> (EM12)</w:t>
            </w:r>
          </w:p>
        </w:tc>
        <w:tc>
          <w:tcPr>
            <w:tcW w:w="1644" w:type="dxa"/>
            <w:tcBorders>
              <w:top w:val="nil"/>
              <w:left w:val="nil"/>
              <w:bottom w:val="single" w:sz="4" w:space="0" w:color="auto"/>
              <w:right w:val="single" w:sz="4" w:space="0" w:color="auto"/>
            </w:tcBorders>
            <w:shd w:val="clear" w:color="000000" w:fill="FFF2CC"/>
            <w:vAlign w:val="center"/>
            <w:hideMark/>
          </w:tcPr>
          <w:p w14:paraId="59CE484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lastRenderedPageBreak/>
              <w:t>LES</w:t>
            </w:r>
          </w:p>
        </w:tc>
        <w:tc>
          <w:tcPr>
            <w:tcW w:w="1134" w:type="dxa"/>
            <w:tcBorders>
              <w:top w:val="nil"/>
              <w:left w:val="nil"/>
              <w:bottom w:val="single" w:sz="4" w:space="0" w:color="auto"/>
              <w:right w:val="single" w:sz="12" w:space="0" w:color="auto"/>
            </w:tcBorders>
            <w:shd w:val="clear" w:color="000000" w:fill="FFF2CC"/>
            <w:vAlign w:val="center"/>
            <w:hideMark/>
          </w:tcPr>
          <w:p w14:paraId="59B6CA8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48503A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DEABAC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10BF6E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30ACB0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101B118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97D1CE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4FCA72C1"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technically challenging and programme will exceed 2+ years. Expensive but grant funded. </w:t>
            </w:r>
          </w:p>
        </w:tc>
      </w:tr>
      <w:tr w:rsidR="00E32B12" w:rsidRPr="00E32B12" w14:paraId="2C08269C" w14:textId="77777777" w:rsidTr="00D655F2">
        <w:trPr>
          <w:trHeight w:val="335"/>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56B3B592"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CE4D6"/>
            <w:vAlign w:val="center"/>
            <w:hideMark/>
          </w:tcPr>
          <w:p w14:paraId="474983A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LES Programme</w:t>
            </w:r>
          </w:p>
        </w:tc>
        <w:tc>
          <w:tcPr>
            <w:tcW w:w="3979" w:type="dxa"/>
            <w:tcBorders>
              <w:top w:val="nil"/>
              <w:left w:val="nil"/>
              <w:bottom w:val="single" w:sz="4" w:space="0" w:color="auto"/>
              <w:right w:val="single" w:sz="4" w:space="0" w:color="auto"/>
            </w:tcBorders>
            <w:shd w:val="clear" w:color="000000" w:fill="FCE4D6"/>
            <w:vAlign w:val="center"/>
            <w:hideMark/>
          </w:tcPr>
          <w:p w14:paraId="6A4D2AF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Support implementation of HDV gas station Programme </w:t>
            </w:r>
          </w:p>
        </w:tc>
        <w:tc>
          <w:tcPr>
            <w:tcW w:w="1644" w:type="dxa"/>
            <w:tcBorders>
              <w:top w:val="nil"/>
              <w:left w:val="nil"/>
              <w:bottom w:val="single" w:sz="4" w:space="0" w:color="auto"/>
              <w:right w:val="single" w:sz="4" w:space="0" w:color="auto"/>
            </w:tcBorders>
            <w:shd w:val="clear" w:color="000000" w:fill="FCE4D6"/>
            <w:vAlign w:val="center"/>
            <w:hideMark/>
          </w:tcPr>
          <w:p w14:paraId="2D75F22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LES Programme </w:t>
            </w:r>
          </w:p>
        </w:tc>
        <w:tc>
          <w:tcPr>
            <w:tcW w:w="1134" w:type="dxa"/>
            <w:tcBorders>
              <w:top w:val="nil"/>
              <w:left w:val="nil"/>
              <w:bottom w:val="single" w:sz="4" w:space="0" w:color="auto"/>
              <w:right w:val="single" w:sz="12" w:space="0" w:color="auto"/>
            </w:tcBorders>
            <w:shd w:val="clear" w:color="000000" w:fill="FCE4D6"/>
            <w:vAlign w:val="center"/>
            <w:hideMark/>
          </w:tcPr>
          <w:p w14:paraId="20D8041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A2176C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D60E9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EFA014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81005D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79BDDFE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04437AF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23</w:t>
            </w:r>
          </w:p>
        </w:tc>
        <w:tc>
          <w:tcPr>
            <w:tcW w:w="4833" w:type="dxa"/>
            <w:tcBorders>
              <w:top w:val="nil"/>
              <w:left w:val="nil"/>
              <w:bottom w:val="single" w:sz="4" w:space="0" w:color="auto"/>
              <w:right w:val="single" w:sz="4" w:space="0" w:color="auto"/>
            </w:tcBorders>
            <w:shd w:val="clear" w:color="auto" w:fill="auto"/>
            <w:vAlign w:val="center"/>
            <w:hideMark/>
          </w:tcPr>
          <w:p w14:paraId="2BD1D5E9"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some technical challenges and expensive for Council to deliver, but support Grundons for private investment </w:t>
            </w:r>
          </w:p>
        </w:tc>
      </w:tr>
      <w:tr w:rsidR="00E32B12" w:rsidRPr="00E32B12" w14:paraId="52F9B582" w14:textId="77777777" w:rsidTr="00D655F2">
        <w:trPr>
          <w:trHeight w:val="102"/>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4FBDF5C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458ABB9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LES Programme </w:t>
            </w:r>
          </w:p>
        </w:tc>
        <w:tc>
          <w:tcPr>
            <w:tcW w:w="3979" w:type="dxa"/>
            <w:tcBorders>
              <w:top w:val="nil"/>
              <w:left w:val="nil"/>
              <w:bottom w:val="single" w:sz="4" w:space="0" w:color="auto"/>
              <w:right w:val="single" w:sz="4" w:space="0" w:color="auto"/>
            </w:tcBorders>
            <w:shd w:val="clear" w:color="000000" w:fill="FFF2CC"/>
            <w:vAlign w:val="center"/>
            <w:hideMark/>
          </w:tcPr>
          <w:p w14:paraId="764B8A0F" w14:textId="18E9B072"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Creation of a strategic Slough public charge point network that ensures electric car users reach their destination through a simplistic access, usage and payment model (EV Infrastructure Programme)</w:t>
            </w:r>
            <w:r w:rsidR="00E927ED">
              <w:rPr>
                <w:rFonts w:cs="Arial"/>
                <w:color w:val="000000"/>
                <w:sz w:val="18"/>
                <w:szCs w:val="18"/>
                <w:lang w:eastAsia="en-GB"/>
              </w:rPr>
              <w:t xml:space="preserve"> </w:t>
            </w:r>
            <w:r w:rsidR="00FA49BE">
              <w:rPr>
                <w:rFonts w:cs="Arial"/>
                <w:color w:val="000000"/>
                <w:sz w:val="18"/>
                <w:szCs w:val="18"/>
                <w:lang w:eastAsia="en-GB"/>
              </w:rPr>
              <w:t xml:space="preserve">(residential) </w:t>
            </w:r>
            <w:r w:rsidR="00E927ED">
              <w:rPr>
                <w:rFonts w:cs="Arial"/>
                <w:color w:val="000000"/>
                <w:sz w:val="18"/>
                <w:szCs w:val="18"/>
                <w:lang w:eastAsia="en-GB"/>
              </w:rPr>
              <w:t>(EM7)</w:t>
            </w:r>
          </w:p>
        </w:tc>
        <w:tc>
          <w:tcPr>
            <w:tcW w:w="1644" w:type="dxa"/>
            <w:tcBorders>
              <w:top w:val="nil"/>
              <w:left w:val="nil"/>
              <w:bottom w:val="single" w:sz="4" w:space="0" w:color="auto"/>
              <w:right w:val="single" w:sz="4" w:space="0" w:color="auto"/>
            </w:tcBorders>
            <w:shd w:val="clear" w:color="000000" w:fill="FFF2CC"/>
            <w:vAlign w:val="center"/>
            <w:hideMark/>
          </w:tcPr>
          <w:p w14:paraId="4AFC6B7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LES, LES Programme </w:t>
            </w:r>
          </w:p>
        </w:tc>
        <w:tc>
          <w:tcPr>
            <w:tcW w:w="1134" w:type="dxa"/>
            <w:tcBorders>
              <w:top w:val="nil"/>
              <w:left w:val="nil"/>
              <w:bottom w:val="single" w:sz="4" w:space="0" w:color="auto"/>
              <w:right w:val="single" w:sz="12" w:space="0" w:color="auto"/>
            </w:tcBorders>
            <w:shd w:val="clear" w:color="000000" w:fill="FFF2CC"/>
            <w:vAlign w:val="center"/>
            <w:hideMark/>
          </w:tcPr>
          <w:p w14:paraId="50B3A48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6BC736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6A47A3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EF10EC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0D0EC1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9FE1BA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478963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31277D2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technically challenging and programme will exceed 2+ years. Expensive but grant funded. </w:t>
            </w:r>
          </w:p>
        </w:tc>
      </w:tr>
      <w:tr w:rsidR="00E32B12" w:rsidRPr="00E32B12" w14:paraId="7A058927" w14:textId="77777777" w:rsidTr="00D655F2">
        <w:trPr>
          <w:trHeight w:val="187"/>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50B522B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500225FE"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LES Programme </w:t>
            </w:r>
          </w:p>
        </w:tc>
        <w:tc>
          <w:tcPr>
            <w:tcW w:w="3979" w:type="dxa"/>
            <w:tcBorders>
              <w:top w:val="nil"/>
              <w:left w:val="nil"/>
              <w:bottom w:val="single" w:sz="4" w:space="0" w:color="auto"/>
              <w:right w:val="single" w:sz="4" w:space="0" w:color="auto"/>
            </w:tcBorders>
            <w:shd w:val="clear" w:color="000000" w:fill="FFF2CC"/>
            <w:vAlign w:val="center"/>
            <w:hideMark/>
          </w:tcPr>
          <w:p w14:paraId="7D7854BD" w14:textId="05F346D1"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Implement EV (rapid and fast) off-street and car park Programme - all new town centre car parks should provide fast electric charging points</w:t>
            </w:r>
            <w:r w:rsidR="00E927ED">
              <w:rPr>
                <w:rFonts w:cs="Arial"/>
                <w:color w:val="000000"/>
                <w:sz w:val="18"/>
                <w:szCs w:val="18"/>
                <w:lang w:eastAsia="en-GB"/>
              </w:rPr>
              <w:t xml:space="preserve"> (EM8)</w:t>
            </w:r>
          </w:p>
        </w:tc>
        <w:tc>
          <w:tcPr>
            <w:tcW w:w="1644" w:type="dxa"/>
            <w:tcBorders>
              <w:top w:val="nil"/>
              <w:left w:val="nil"/>
              <w:bottom w:val="single" w:sz="4" w:space="0" w:color="auto"/>
              <w:right w:val="single" w:sz="4" w:space="0" w:color="auto"/>
            </w:tcBorders>
            <w:shd w:val="clear" w:color="000000" w:fill="FFF2CC"/>
            <w:vAlign w:val="center"/>
            <w:hideMark/>
          </w:tcPr>
          <w:p w14:paraId="0C57E43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 LES Programme, PSSD</w:t>
            </w:r>
          </w:p>
        </w:tc>
        <w:tc>
          <w:tcPr>
            <w:tcW w:w="1134" w:type="dxa"/>
            <w:tcBorders>
              <w:top w:val="nil"/>
              <w:left w:val="nil"/>
              <w:bottom w:val="single" w:sz="4" w:space="0" w:color="auto"/>
              <w:right w:val="single" w:sz="12" w:space="0" w:color="auto"/>
            </w:tcBorders>
            <w:shd w:val="clear" w:color="000000" w:fill="FFF2CC"/>
            <w:vAlign w:val="center"/>
            <w:hideMark/>
          </w:tcPr>
          <w:p w14:paraId="22DA570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D48E9C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13E43E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CBFB40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169885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89F723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7EDFD0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000FD25A" w14:textId="3D683ED3"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Direct positive AQ impact, technically challenging and programme will exceed 2+ years. Expensive but grant funded</w:t>
            </w:r>
            <w:r w:rsidR="00205D38">
              <w:rPr>
                <w:rFonts w:cs="Arial"/>
                <w:color w:val="000000"/>
                <w:sz w:val="18"/>
                <w:szCs w:val="18"/>
                <w:lang w:eastAsia="en-GB"/>
              </w:rPr>
              <w:t xml:space="preserve"> (partially secured)</w:t>
            </w:r>
          </w:p>
        </w:tc>
      </w:tr>
      <w:tr w:rsidR="00E32B12" w:rsidRPr="00E32B12" w14:paraId="5221FBE2" w14:textId="77777777" w:rsidTr="00D655F2">
        <w:trPr>
          <w:trHeight w:val="385"/>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416BA1C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592ABD5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LES Programme </w:t>
            </w:r>
          </w:p>
        </w:tc>
        <w:tc>
          <w:tcPr>
            <w:tcW w:w="3979" w:type="dxa"/>
            <w:tcBorders>
              <w:top w:val="nil"/>
              <w:left w:val="nil"/>
              <w:bottom w:val="single" w:sz="4" w:space="0" w:color="auto"/>
              <w:right w:val="single" w:sz="4" w:space="0" w:color="auto"/>
            </w:tcBorders>
            <w:shd w:val="clear" w:color="000000" w:fill="FFF2CC"/>
            <w:vAlign w:val="center"/>
            <w:hideMark/>
          </w:tcPr>
          <w:p w14:paraId="57AE8F37" w14:textId="32F082BD"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Implement EV (rapid and fast) on-street Programme - Rapid chargers will be provided on-street in appropriate locations in the town centre and across the borough to support a greater uptake of EVs</w:t>
            </w:r>
            <w:r w:rsidR="00E927ED">
              <w:rPr>
                <w:rFonts w:cs="Arial"/>
                <w:color w:val="000000"/>
                <w:sz w:val="18"/>
                <w:szCs w:val="18"/>
                <w:lang w:eastAsia="en-GB"/>
              </w:rPr>
              <w:t xml:space="preserve"> (EM9)</w:t>
            </w:r>
          </w:p>
        </w:tc>
        <w:tc>
          <w:tcPr>
            <w:tcW w:w="1644" w:type="dxa"/>
            <w:tcBorders>
              <w:top w:val="nil"/>
              <w:left w:val="nil"/>
              <w:bottom w:val="single" w:sz="4" w:space="0" w:color="auto"/>
              <w:right w:val="single" w:sz="4" w:space="0" w:color="auto"/>
            </w:tcBorders>
            <w:shd w:val="clear" w:color="000000" w:fill="FFF2CC"/>
            <w:vAlign w:val="center"/>
            <w:hideMark/>
          </w:tcPr>
          <w:p w14:paraId="5EB91E4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 LES Programme, PSSD</w:t>
            </w:r>
          </w:p>
        </w:tc>
        <w:tc>
          <w:tcPr>
            <w:tcW w:w="1134" w:type="dxa"/>
            <w:tcBorders>
              <w:top w:val="nil"/>
              <w:left w:val="nil"/>
              <w:bottom w:val="single" w:sz="4" w:space="0" w:color="auto"/>
              <w:right w:val="single" w:sz="12" w:space="0" w:color="auto"/>
            </w:tcBorders>
            <w:shd w:val="clear" w:color="000000" w:fill="FFF2CC"/>
            <w:vAlign w:val="center"/>
            <w:hideMark/>
          </w:tcPr>
          <w:p w14:paraId="7ECC4A5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E4CA15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CD5F67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175E3E0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57E6ED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E6F990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A4DA63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5FEE403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technically challenging and programme will exceed 2+ years. Expensive but grant funded. </w:t>
            </w:r>
          </w:p>
        </w:tc>
      </w:tr>
      <w:tr w:rsidR="00E32B12" w:rsidRPr="00E32B12" w14:paraId="5F8CD1F4" w14:textId="77777777" w:rsidTr="00D655F2">
        <w:trPr>
          <w:trHeight w:val="754"/>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7CC8E3A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41D202E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LES Programme </w:t>
            </w:r>
          </w:p>
        </w:tc>
        <w:tc>
          <w:tcPr>
            <w:tcW w:w="3979" w:type="dxa"/>
            <w:tcBorders>
              <w:top w:val="nil"/>
              <w:left w:val="nil"/>
              <w:bottom w:val="single" w:sz="4" w:space="0" w:color="auto"/>
              <w:right w:val="single" w:sz="4" w:space="0" w:color="auto"/>
            </w:tcBorders>
            <w:shd w:val="clear" w:color="000000" w:fill="FFF2CC"/>
            <w:vAlign w:val="center"/>
            <w:hideMark/>
          </w:tcPr>
          <w:p w14:paraId="30C69A0F" w14:textId="7B5AE886"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Develop and implement an electric car club across the borough - residential developments with nil or low car parking provision should contribute to development of car clubs in Slough (includes provision of on-street car club bays)</w:t>
            </w:r>
            <w:r w:rsidR="00E927ED">
              <w:rPr>
                <w:rFonts w:cs="Arial"/>
                <w:color w:val="000000"/>
                <w:sz w:val="18"/>
                <w:szCs w:val="18"/>
                <w:lang w:eastAsia="en-GB"/>
              </w:rPr>
              <w:t xml:space="preserve"> (EM10)</w:t>
            </w:r>
          </w:p>
        </w:tc>
        <w:tc>
          <w:tcPr>
            <w:tcW w:w="1644" w:type="dxa"/>
            <w:tcBorders>
              <w:top w:val="nil"/>
              <w:left w:val="nil"/>
              <w:bottom w:val="single" w:sz="4" w:space="0" w:color="auto"/>
              <w:right w:val="single" w:sz="4" w:space="0" w:color="auto"/>
            </w:tcBorders>
            <w:shd w:val="clear" w:color="000000" w:fill="FFF2CC"/>
            <w:vAlign w:val="center"/>
            <w:hideMark/>
          </w:tcPr>
          <w:p w14:paraId="4E10FD2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 LES Programme, AQAP3&amp;4, PSSD, TV</w:t>
            </w:r>
          </w:p>
        </w:tc>
        <w:tc>
          <w:tcPr>
            <w:tcW w:w="1134" w:type="dxa"/>
            <w:tcBorders>
              <w:top w:val="nil"/>
              <w:left w:val="nil"/>
              <w:bottom w:val="single" w:sz="4" w:space="0" w:color="auto"/>
              <w:right w:val="single" w:sz="12" w:space="0" w:color="auto"/>
            </w:tcBorders>
            <w:shd w:val="clear" w:color="000000" w:fill="FFF2CC"/>
            <w:vAlign w:val="center"/>
            <w:hideMark/>
          </w:tcPr>
          <w:p w14:paraId="7CCB9FF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AC5DEA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3FB0DB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14A4B5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A3A5B3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1BC9654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83F460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4E6DA62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technically challenging and programme will exceed 2+ years. Expensive but S106 funded. </w:t>
            </w:r>
          </w:p>
        </w:tc>
      </w:tr>
      <w:tr w:rsidR="00E32B12" w:rsidRPr="00E32B12" w14:paraId="7F4D5A78" w14:textId="77777777" w:rsidTr="00D655F2">
        <w:trPr>
          <w:trHeight w:val="205"/>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385F740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EO7</w:t>
            </w:r>
          </w:p>
        </w:tc>
        <w:tc>
          <w:tcPr>
            <w:tcW w:w="1485" w:type="dxa"/>
            <w:tcBorders>
              <w:top w:val="nil"/>
              <w:left w:val="nil"/>
              <w:bottom w:val="single" w:sz="4" w:space="0" w:color="auto"/>
              <w:right w:val="single" w:sz="4" w:space="0" w:color="auto"/>
            </w:tcBorders>
            <w:shd w:val="clear" w:color="000000" w:fill="FFF2CC"/>
            <w:vAlign w:val="center"/>
            <w:hideMark/>
          </w:tcPr>
          <w:p w14:paraId="40F30A1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LES Programme </w:t>
            </w:r>
          </w:p>
        </w:tc>
        <w:tc>
          <w:tcPr>
            <w:tcW w:w="3979" w:type="dxa"/>
            <w:tcBorders>
              <w:top w:val="nil"/>
              <w:left w:val="nil"/>
              <w:bottom w:val="single" w:sz="4" w:space="0" w:color="auto"/>
              <w:right w:val="single" w:sz="4" w:space="0" w:color="auto"/>
            </w:tcBorders>
            <w:shd w:val="clear" w:color="000000" w:fill="FFF2CC"/>
            <w:vAlign w:val="center"/>
            <w:hideMark/>
          </w:tcPr>
          <w:p w14:paraId="46D6A3CA" w14:textId="167E9990"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Deliver Defra funded taxi demo project, to encourage and support the taxi trade in transitioning to electric vehicles</w:t>
            </w:r>
            <w:r w:rsidR="00E927ED">
              <w:rPr>
                <w:rFonts w:cs="Arial"/>
                <w:color w:val="000000"/>
                <w:sz w:val="18"/>
                <w:szCs w:val="18"/>
                <w:lang w:eastAsia="en-GB"/>
              </w:rPr>
              <w:t xml:space="preserve"> (EM11)</w:t>
            </w:r>
          </w:p>
        </w:tc>
        <w:tc>
          <w:tcPr>
            <w:tcW w:w="1644" w:type="dxa"/>
            <w:tcBorders>
              <w:top w:val="nil"/>
              <w:left w:val="nil"/>
              <w:bottom w:val="single" w:sz="4" w:space="0" w:color="auto"/>
              <w:right w:val="single" w:sz="4" w:space="0" w:color="auto"/>
            </w:tcBorders>
            <w:shd w:val="clear" w:color="000000" w:fill="FFF2CC"/>
            <w:vAlign w:val="center"/>
            <w:hideMark/>
          </w:tcPr>
          <w:p w14:paraId="3356664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LES</w:t>
            </w:r>
          </w:p>
        </w:tc>
        <w:tc>
          <w:tcPr>
            <w:tcW w:w="1134" w:type="dxa"/>
            <w:tcBorders>
              <w:top w:val="nil"/>
              <w:left w:val="nil"/>
              <w:bottom w:val="single" w:sz="4" w:space="0" w:color="auto"/>
              <w:right w:val="single" w:sz="12" w:space="0" w:color="auto"/>
            </w:tcBorders>
            <w:shd w:val="clear" w:color="000000" w:fill="FFF2CC"/>
            <w:vAlign w:val="center"/>
            <w:hideMark/>
          </w:tcPr>
          <w:p w14:paraId="149DBEB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2A9D93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8FF7E1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C95AB3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4D5A8C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73B7DD2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FAC610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vAlign w:val="center"/>
            <w:hideMark/>
          </w:tcPr>
          <w:p w14:paraId="43145D5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technically challenging and programme will exceed 2+ years. Expensive but grant funded. </w:t>
            </w:r>
          </w:p>
        </w:tc>
      </w:tr>
      <w:tr w:rsidR="00E32B12" w:rsidRPr="00E32B12" w14:paraId="44A9F44A" w14:textId="77777777" w:rsidTr="00D655F2">
        <w:trPr>
          <w:trHeight w:val="143"/>
        </w:trPr>
        <w:tc>
          <w:tcPr>
            <w:tcW w:w="967" w:type="dxa"/>
            <w:tcBorders>
              <w:top w:val="nil"/>
              <w:left w:val="single" w:sz="4" w:space="0" w:color="auto"/>
              <w:bottom w:val="single" w:sz="4" w:space="0" w:color="auto"/>
              <w:right w:val="single" w:sz="4" w:space="0" w:color="auto"/>
            </w:tcBorders>
            <w:shd w:val="clear" w:color="000000" w:fill="FFF2CC"/>
            <w:vAlign w:val="center"/>
            <w:hideMark/>
          </w:tcPr>
          <w:p w14:paraId="5594B091"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HEAO1</w:t>
            </w:r>
          </w:p>
        </w:tc>
        <w:tc>
          <w:tcPr>
            <w:tcW w:w="1485" w:type="dxa"/>
            <w:tcBorders>
              <w:top w:val="nil"/>
              <w:left w:val="nil"/>
              <w:bottom w:val="single" w:sz="4" w:space="0" w:color="auto"/>
              <w:right w:val="single" w:sz="4" w:space="0" w:color="auto"/>
            </w:tcBorders>
            <w:shd w:val="clear" w:color="000000" w:fill="FFF2CC"/>
            <w:vAlign w:val="center"/>
            <w:hideMark/>
          </w:tcPr>
          <w:p w14:paraId="444697FF"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School partnerships &amp; healthy choices</w:t>
            </w:r>
          </w:p>
        </w:tc>
        <w:tc>
          <w:tcPr>
            <w:tcW w:w="3979" w:type="dxa"/>
            <w:tcBorders>
              <w:top w:val="nil"/>
              <w:left w:val="nil"/>
              <w:bottom w:val="single" w:sz="4" w:space="0" w:color="auto"/>
              <w:right w:val="single" w:sz="4" w:space="0" w:color="auto"/>
            </w:tcBorders>
            <w:shd w:val="clear" w:color="000000" w:fill="FFF2CC"/>
            <w:vAlign w:val="center"/>
            <w:hideMark/>
          </w:tcPr>
          <w:p w14:paraId="6341EC00" w14:textId="3C0CE5FE"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Collective delivery of school active travel initiatives including smarter travel for school measures (school streets, </w:t>
            </w:r>
            <w:r w:rsidR="00E927ED">
              <w:rPr>
                <w:rFonts w:cs="Arial"/>
                <w:sz w:val="18"/>
                <w:szCs w:val="18"/>
                <w:lang w:eastAsia="en-GB"/>
              </w:rPr>
              <w:t>B</w:t>
            </w:r>
            <w:r w:rsidRPr="00E32B12">
              <w:rPr>
                <w:rFonts w:cs="Arial"/>
                <w:sz w:val="18"/>
                <w:szCs w:val="18"/>
                <w:lang w:eastAsia="en-GB"/>
              </w:rPr>
              <w:t>ikeability, sustainable travel campaigns), development of clean air plans, emission exposure and reduction campaign</w:t>
            </w:r>
            <w:r w:rsidR="00E927ED">
              <w:rPr>
                <w:rFonts w:cs="Arial"/>
                <w:sz w:val="18"/>
                <w:szCs w:val="18"/>
                <w:lang w:eastAsia="en-GB"/>
              </w:rPr>
              <w:t xml:space="preserve"> (HEA1a-f)</w:t>
            </w:r>
          </w:p>
        </w:tc>
        <w:tc>
          <w:tcPr>
            <w:tcW w:w="1644" w:type="dxa"/>
            <w:tcBorders>
              <w:top w:val="nil"/>
              <w:left w:val="nil"/>
              <w:bottom w:val="single" w:sz="4" w:space="0" w:color="auto"/>
              <w:right w:val="single" w:sz="4" w:space="0" w:color="auto"/>
            </w:tcBorders>
            <w:shd w:val="clear" w:color="000000" w:fill="FFF2CC"/>
            <w:vAlign w:val="center"/>
            <w:hideMark/>
          </w:tcPr>
          <w:p w14:paraId="7307981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ST, LTP3, LES Programme </w:t>
            </w:r>
          </w:p>
        </w:tc>
        <w:tc>
          <w:tcPr>
            <w:tcW w:w="1134" w:type="dxa"/>
            <w:tcBorders>
              <w:top w:val="nil"/>
              <w:left w:val="nil"/>
              <w:bottom w:val="single" w:sz="4" w:space="0" w:color="auto"/>
              <w:right w:val="single" w:sz="12" w:space="0" w:color="auto"/>
            </w:tcBorders>
            <w:shd w:val="clear" w:color="000000" w:fill="FFF2CC"/>
            <w:vAlign w:val="center"/>
            <w:hideMark/>
          </w:tcPr>
          <w:p w14:paraId="056266E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B12566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98986E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C08614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889685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A73BEB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35697EA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15</w:t>
            </w:r>
          </w:p>
        </w:tc>
        <w:tc>
          <w:tcPr>
            <w:tcW w:w="4833" w:type="dxa"/>
            <w:tcBorders>
              <w:top w:val="nil"/>
              <w:left w:val="nil"/>
              <w:bottom w:val="single" w:sz="4" w:space="0" w:color="auto"/>
              <w:right w:val="single" w:sz="4" w:space="0" w:color="auto"/>
            </w:tcBorders>
            <w:shd w:val="clear" w:color="auto" w:fill="auto"/>
            <w:hideMark/>
          </w:tcPr>
          <w:p w14:paraId="2B2BA6C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specific to schools. Feasibility affected by officer time. Cost of whole measure expected to be medium, but some funding is already avaiable. Expected to take time to implement. </w:t>
            </w:r>
          </w:p>
        </w:tc>
      </w:tr>
      <w:tr w:rsidR="00E32B12" w:rsidRPr="00E32B12" w14:paraId="5A5E0F61" w14:textId="77777777" w:rsidTr="00D655F2">
        <w:trPr>
          <w:trHeight w:val="303"/>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470D861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TO1</w:t>
            </w:r>
          </w:p>
        </w:tc>
        <w:tc>
          <w:tcPr>
            <w:tcW w:w="1485" w:type="dxa"/>
            <w:tcBorders>
              <w:top w:val="nil"/>
              <w:left w:val="nil"/>
              <w:bottom w:val="single" w:sz="4" w:space="0" w:color="auto"/>
              <w:right w:val="single" w:sz="4" w:space="0" w:color="auto"/>
            </w:tcBorders>
            <w:shd w:val="clear" w:color="000000" w:fill="FFF2CC"/>
            <w:vAlign w:val="center"/>
            <w:hideMark/>
          </w:tcPr>
          <w:p w14:paraId="6CDEC81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Infrastructure - Active Travel</w:t>
            </w:r>
          </w:p>
        </w:tc>
        <w:tc>
          <w:tcPr>
            <w:tcW w:w="3979" w:type="dxa"/>
            <w:tcBorders>
              <w:top w:val="nil"/>
              <w:left w:val="nil"/>
              <w:bottom w:val="single" w:sz="4" w:space="0" w:color="auto"/>
              <w:right w:val="single" w:sz="4" w:space="0" w:color="auto"/>
            </w:tcBorders>
            <w:shd w:val="clear" w:color="000000" w:fill="FFF2CC"/>
            <w:vAlign w:val="center"/>
            <w:hideMark/>
          </w:tcPr>
          <w:p w14:paraId="39AF3E73" w14:textId="1363205E"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Cycle scheme from Burnham Station to A4 via Station Road </w:t>
            </w:r>
            <w:r w:rsidR="00E927ED">
              <w:rPr>
                <w:rFonts w:cs="Arial"/>
                <w:color w:val="000000"/>
                <w:sz w:val="18"/>
                <w:szCs w:val="18"/>
                <w:lang w:eastAsia="en-GB"/>
              </w:rPr>
              <w:t>(TM4)</w:t>
            </w:r>
          </w:p>
        </w:tc>
        <w:tc>
          <w:tcPr>
            <w:tcW w:w="1644" w:type="dxa"/>
            <w:tcBorders>
              <w:top w:val="nil"/>
              <w:left w:val="nil"/>
              <w:bottom w:val="single" w:sz="4" w:space="0" w:color="auto"/>
              <w:right w:val="single" w:sz="4" w:space="0" w:color="auto"/>
            </w:tcBorders>
            <w:shd w:val="clear" w:color="000000" w:fill="FFF2CC"/>
            <w:vAlign w:val="center"/>
            <w:hideMark/>
          </w:tcPr>
          <w:p w14:paraId="12FB93D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LCWIP</w:t>
            </w:r>
          </w:p>
        </w:tc>
        <w:tc>
          <w:tcPr>
            <w:tcW w:w="1134" w:type="dxa"/>
            <w:tcBorders>
              <w:top w:val="nil"/>
              <w:left w:val="nil"/>
              <w:bottom w:val="single" w:sz="4" w:space="0" w:color="auto"/>
              <w:right w:val="single" w:sz="12" w:space="0" w:color="auto"/>
            </w:tcBorders>
            <w:shd w:val="clear" w:color="000000" w:fill="FFF2CC"/>
            <w:vAlign w:val="center"/>
            <w:hideMark/>
          </w:tcPr>
          <w:p w14:paraId="5862DB8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AQMA 3 +Ext &amp;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38C5D4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AE4209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CC36E5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06BE00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57D8A9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C3B735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hideMark/>
          </w:tcPr>
          <w:p w14:paraId="7FC597D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AQ impact, challenging, costly and expected to take 1-2 years to implement, but fully funded by Active Travel England </w:t>
            </w:r>
          </w:p>
        </w:tc>
      </w:tr>
      <w:tr w:rsidR="00E32B12" w:rsidRPr="00E32B12" w14:paraId="52419F45"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6580F02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TO1</w:t>
            </w:r>
          </w:p>
        </w:tc>
        <w:tc>
          <w:tcPr>
            <w:tcW w:w="1485" w:type="dxa"/>
            <w:tcBorders>
              <w:top w:val="nil"/>
              <w:left w:val="nil"/>
              <w:bottom w:val="single" w:sz="4" w:space="0" w:color="auto"/>
              <w:right w:val="single" w:sz="4" w:space="0" w:color="auto"/>
            </w:tcBorders>
            <w:shd w:val="clear" w:color="000000" w:fill="FFF2CC"/>
            <w:vAlign w:val="center"/>
            <w:hideMark/>
          </w:tcPr>
          <w:p w14:paraId="1E89E1E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Infrastructure - Active Travel</w:t>
            </w:r>
          </w:p>
        </w:tc>
        <w:tc>
          <w:tcPr>
            <w:tcW w:w="3979" w:type="dxa"/>
            <w:tcBorders>
              <w:top w:val="nil"/>
              <w:left w:val="nil"/>
              <w:bottom w:val="single" w:sz="4" w:space="0" w:color="auto"/>
              <w:right w:val="single" w:sz="4" w:space="0" w:color="auto"/>
            </w:tcBorders>
            <w:shd w:val="clear" w:color="000000" w:fill="FFF2CC"/>
            <w:vAlign w:val="center"/>
            <w:hideMark/>
          </w:tcPr>
          <w:p w14:paraId="2AAD5888" w14:textId="78539CCD"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Foxborough Cycle Lane between Langley High Street and Junction 5 Footbridge </w:t>
            </w:r>
            <w:r w:rsidR="00E927ED">
              <w:rPr>
                <w:rFonts w:cs="Arial"/>
                <w:color w:val="000000"/>
                <w:sz w:val="18"/>
                <w:szCs w:val="18"/>
                <w:lang w:eastAsia="en-GB"/>
              </w:rPr>
              <w:t>(TM5)</w:t>
            </w:r>
          </w:p>
        </w:tc>
        <w:tc>
          <w:tcPr>
            <w:tcW w:w="1644" w:type="dxa"/>
            <w:tcBorders>
              <w:top w:val="nil"/>
              <w:left w:val="nil"/>
              <w:bottom w:val="single" w:sz="4" w:space="0" w:color="auto"/>
              <w:right w:val="single" w:sz="4" w:space="0" w:color="auto"/>
            </w:tcBorders>
            <w:shd w:val="clear" w:color="000000" w:fill="FFF2CC"/>
            <w:vAlign w:val="center"/>
            <w:hideMark/>
          </w:tcPr>
          <w:p w14:paraId="572A108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LCWIP</w:t>
            </w:r>
          </w:p>
        </w:tc>
        <w:tc>
          <w:tcPr>
            <w:tcW w:w="1134" w:type="dxa"/>
            <w:tcBorders>
              <w:top w:val="nil"/>
              <w:left w:val="nil"/>
              <w:bottom w:val="single" w:sz="4" w:space="0" w:color="auto"/>
              <w:right w:val="single" w:sz="12" w:space="0" w:color="auto"/>
            </w:tcBorders>
            <w:shd w:val="clear" w:color="000000" w:fill="FFF2CC"/>
            <w:vAlign w:val="center"/>
            <w:hideMark/>
          </w:tcPr>
          <w:p w14:paraId="03C9E57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2</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373C8F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BF165F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6E0FA5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FF1888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00F1BC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EA9637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12</w:t>
            </w:r>
          </w:p>
        </w:tc>
        <w:tc>
          <w:tcPr>
            <w:tcW w:w="4833" w:type="dxa"/>
            <w:tcBorders>
              <w:top w:val="nil"/>
              <w:left w:val="nil"/>
              <w:bottom w:val="single" w:sz="4" w:space="0" w:color="auto"/>
              <w:right w:val="single" w:sz="4" w:space="0" w:color="auto"/>
            </w:tcBorders>
            <w:shd w:val="clear" w:color="auto" w:fill="auto"/>
            <w:hideMark/>
          </w:tcPr>
          <w:p w14:paraId="435941E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AQ impact, challenging, costly and expected to take 1-2 years to implement, but fully funded by the Berkshire LEP </w:t>
            </w:r>
          </w:p>
        </w:tc>
      </w:tr>
      <w:tr w:rsidR="00E32B12" w:rsidRPr="00E32B12" w14:paraId="519C84A5"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3A87F2E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TO1</w:t>
            </w:r>
          </w:p>
        </w:tc>
        <w:tc>
          <w:tcPr>
            <w:tcW w:w="1485" w:type="dxa"/>
            <w:tcBorders>
              <w:top w:val="nil"/>
              <w:left w:val="nil"/>
              <w:bottom w:val="single" w:sz="4" w:space="0" w:color="auto"/>
              <w:right w:val="single" w:sz="4" w:space="0" w:color="auto"/>
            </w:tcBorders>
            <w:shd w:val="clear" w:color="000000" w:fill="FFF2CC"/>
            <w:vAlign w:val="center"/>
            <w:hideMark/>
          </w:tcPr>
          <w:p w14:paraId="0C7F7EA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Infrastructure - Active Travel</w:t>
            </w:r>
          </w:p>
        </w:tc>
        <w:tc>
          <w:tcPr>
            <w:tcW w:w="3979" w:type="dxa"/>
            <w:tcBorders>
              <w:top w:val="nil"/>
              <w:left w:val="nil"/>
              <w:bottom w:val="single" w:sz="4" w:space="0" w:color="auto"/>
              <w:right w:val="single" w:sz="4" w:space="0" w:color="auto"/>
            </w:tcBorders>
            <w:shd w:val="clear" w:color="000000" w:fill="FFF2CC"/>
            <w:vAlign w:val="center"/>
            <w:hideMark/>
          </w:tcPr>
          <w:p w14:paraId="1229F574" w14:textId="02EC5BB6"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Introduce segregated A4 cycle highway (including provision of cycle docking)</w:t>
            </w:r>
            <w:r w:rsidR="00E927ED">
              <w:rPr>
                <w:rFonts w:cs="Arial"/>
                <w:color w:val="000000"/>
                <w:sz w:val="18"/>
                <w:szCs w:val="18"/>
                <w:lang w:eastAsia="en-GB"/>
              </w:rPr>
              <w:t xml:space="preserve"> (TM6)</w:t>
            </w:r>
          </w:p>
        </w:tc>
        <w:tc>
          <w:tcPr>
            <w:tcW w:w="1644" w:type="dxa"/>
            <w:tcBorders>
              <w:top w:val="nil"/>
              <w:left w:val="nil"/>
              <w:bottom w:val="single" w:sz="4" w:space="0" w:color="auto"/>
              <w:right w:val="single" w:sz="4" w:space="0" w:color="auto"/>
            </w:tcBorders>
            <w:shd w:val="clear" w:color="000000" w:fill="FFF2CC"/>
            <w:vAlign w:val="center"/>
            <w:hideMark/>
          </w:tcPr>
          <w:p w14:paraId="6EBA2C7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LCWIP</w:t>
            </w:r>
          </w:p>
        </w:tc>
        <w:tc>
          <w:tcPr>
            <w:tcW w:w="1134" w:type="dxa"/>
            <w:tcBorders>
              <w:top w:val="nil"/>
              <w:left w:val="nil"/>
              <w:bottom w:val="single" w:sz="4" w:space="0" w:color="auto"/>
              <w:right w:val="single" w:sz="12" w:space="0" w:color="auto"/>
            </w:tcBorders>
            <w:shd w:val="clear" w:color="000000" w:fill="FFF2CC"/>
            <w:vAlign w:val="center"/>
            <w:hideMark/>
          </w:tcPr>
          <w:p w14:paraId="7749D74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AQMA 3 +Ext &amp;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6D5BD2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0C657B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41FB31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0F26484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AAEC9B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E7D651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13</w:t>
            </w:r>
          </w:p>
        </w:tc>
        <w:tc>
          <w:tcPr>
            <w:tcW w:w="4833" w:type="dxa"/>
            <w:tcBorders>
              <w:top w:val="nil"/>
              <w:left w:val="nil"/>
              <w:bottom w:val="single" w:sz="4" w:space="0" w:color="auto"/>
              <w:right w:val="single" w:sz="4" w:space="0" w:color="auto"/>
            </w:tcBorders>
            <w:shd w:val="clear" w:color="auto" w:fill="auto"/>
            <w:hideMark/>
          </w:tcPr>
          <w:p w14:paraId="1B9C2DF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Strongly positive AQ impact. Technically challenging, time consuming to implement and high cost, but grant funded (Active Travel England)</w:t>
            </w:r>
          </w:p>
        </w:tc>
      </w:tr>
      <w:tr w:rsidR="00E32B12" w:rsidRPr="00E32B12" w14:paraId="2119E18A" w14:textId="77777777" w:rsidTr="00D655F2">
        <w:trPr>
          <w:trHeight w:val="589"/>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7C9989F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TO1</w:t>
            </w:r>
          </w:p>
        </w:tc>
        <w:tc>
          <w:tcPr>
            <w:tcW w:w="1485" w:type="dxa"/>
            <w:tcBorders>
              <w:top w:val="nil"/>
              <w:left w:val="nil"/>
              <w:bottom w:val="single" w:sz="4" w:space="0" w:color="auto"/>
              <w:right w:val="single" w:sz="4" w:space="0" w:color="auto"/>
            </w:tcBorders>
            <w:shd w:val="clear" w:color="000000" w:fill="FFF2CC"/>
            <w:vAlign w:val="center"/>
            <w:hideMark/>
          </w:tcPr>
          <w:p w14:paraId="294E319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Infrastructure - Active Travel</w:t>
            </w:r>
          </w:p>
        </w:tc>
        <w:tc>
          <w:tcPr>
            <w:tcW w:w="3979" w:type="dxa"/>
            <w:tcBorders>
              <w:top w:val="nil"/>
              <w:left w:val="nil"/>
              <w:bottom w:val="single" w:sz="4" w:space="0" w:color="auto"/>
              <w:right w:val="single" w:sz="4" w:space="0" w:color="auto"/>
            </w:tcBorders>
            <w:shd w:val="clear" w:color="000000" w:fill="FFF2CC"/>
            <w:vAlign w:val="center"/>
            <w:hideMark/>
          </w:tcPr>
          <w:p w14:paraId="37D0CFCF" w14:textId="69577FF1"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Implement the Destination Farnham Road scheme to improve the pedestrian and cycling environment </w:t>
            </w:r>
            <w:r w:rsidR="00E927ED">
              <w:rPr>
                <w:rFonts w:cs="Arial"/>
                <w:color w:val="000000"/>
                <w:sz w:val="18"/>
                <w:szCs w:val="18"/>
                <w:lang w:eastAsia="en-GB"/>
              </w:rPr>
              <w:t>(TM7)</w:t>
            </w:r>
          </w:p>
        </w:tc>
        <w:tc>
          <w:tcPr>
            <w:tcW w:w="1644" w:type="dxa"/>
            <w:tcBorders>
              <w:top w:val="nil"/>
              <w:left w:val="nil"/>
              <w:bottom w:val="single" w:sz="4" w:space="0" w:color="auto"/>
              <w:right w:val="single" w:sz="4" w:space="0" w:color="auto"/>
            </w:tcBorders>
            <w:shd w:val="clear" w:color="000000" w:fill="FFF2CC"/>
            <w:vAlign w:val="center"/>
            <w:hideMark/>
          </w:tcPr>
          <w:p w14:paraId="60C1184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STIP</w:t>
            </w:r>
          </w:p>
        </w:tc>
        <w:tc>
          <w:tcPr>
            <w:tcW w:w="1134" w:type="dxa"/>
            <w:tcBorders>
              <w:top w:val="nil"/>
              <w:left w:val="nil"/>
              <w:bottom w:val="single" w:sz="4" w:space="0" w:color="auto"/>
              <w:right w:val="single" w:sz="12" w:space="0" w:color="auto"/>
            </w:tcBorders>
            <w:shd w:val="clear" w:color="000000" w:fill="FFF2CC"/>
            <w:vAlign w:val="center"/>
            <w:hideMark/>
          </w:tcPr>
          <w:p w14:paraId="6ACC709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AQMA 3 +Ext &amp;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0076DA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806669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89BE27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7F4CB1A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C47F7C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FF9A2C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13</w:t>
            </w:r>
          </w:p>
        </w:tc>
        <w:tc>
          <w:tcPr>
            <w:tcW w:w="4833" w:type="dxa"/>
            <w:tcBorders>
              <w:top w:val="nil"/>
              <w:left w:val="nil"/>
              <w:bottom w:val="single" w:sz="4" w:space="0" w:color="auto"/>
              <w:right w:val="single" w:sz="4" w:space="0" w:color="auto"/>
            </w:tcBorders>
            <w:shd w:val="clear" w:color="auto" w:fill="auto"/>
            <w:hideMark/>
          </w:tcPr>
          <w:p w14:paraId="16E66E1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Strongly positive AQ impact. Technically challenging, time consuming to implement and high cost, but grant funded (Department for Levelling Up, Housing and Communities) </w:t>
            </w:r>
          </w:p>
        </w:tc>
      </w:tr>
      <w:tr w:rsidR="00E32B12" w:rsidRPr="00E32B12" w14:paraId="14A8080D" w14:textId="77777777" w:rsidTr="00D655F2">
        <w:trPr>
          <w:trHeight w:val="731"/>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78EE30A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TO1</w:t>
            </w:r>
          </w:p>
        </w:tc>
        <w:tc>
          <w:tcPr>
            <w:tcW w:w="1485" w:type="dxa"/>
            <w:tcBorders>
              <w:top w:val="nil"/>
              <w:left w:val="nil"/>
              <w:bottom w:val="single" w:sz="4" w:space="0" w:color="auto"/>
              <w:right w:val="single" w:sz="4" w:space="0" w:color="auto"/>
            </w:tcBorders>
            <w:shd w:val="clear" w:color="000000" w:fill="FCE4D6"/>
            <w:vAlign w:val="center"/>
            <w:hideMark/>
          </w:tcPr>
          <w:p w14:paraId="64CDD92D"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Infrastructure - Public Transport </w:t>
            </w:r>
          </w:p>
        </w:tc>
        <w:tc>
          <w:tcPr>
            <w:tcW w:w="3979" w:type="dxa"/>
            <w:tcBorders>
              <w:top w:val="nil"/>
              <w:left w:val="nil"/>
              <w:bottom w:val="single" w:sz="4" w:space="0" w:color="auto"/>
              <w:right w:val="single" w:sz="4" w:space="0" w:color="auto"/>
            </w:tcBorders>
            <w:shd w:val="clear" w:color="000000" w:fill="FCE4D6"/>
            <w:vAlign w:val="center"/>
            <w:hideMark/>
          </w:tcPr>
          <w:p w14:paraId="4811711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Continue to develop a bus rapid transport network with high frequency services along the A4 Bath Rd, London Rd and to Heathrow </w:t>
            </w:r>
          </w:p>
        </w:tc>
        <w:tc>
          <w:tcPr>
            <w:tcW w:w="1644" w:type="dxa"/>
            <w:tcBorders>
              <w:top w:val="nil"/>
              <w:left w:val="nil"/>
              <w:bottom w:val="single" w:sz="4" w:space="0" w:color="auto"/>
              <w:right w:val="single" w:sz="4" w:space="0" w:color="auto"/>
            </w:tcBorders>
            <w:shd w:val="clear" w:color="000000" w:fill="FCE4D6"/>
            <w:vAlign w:val="center"/>
            <w:hideMark/>
          </w:tcPr>
          <w:p w14:paraId="602C156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STIP, BSIP, TV</w:t>
            </w:r>
          </w:p>
        </w:tc>
        <w:tc>
          <w:tcPr>
            <w:tcW w:w="1134" w:type="dxa"/>
            <w:tcBorders>
              <w:top w:val="nil"/>
              <w:left w:val="nil"/>
              <w:bottom w:val="single" w:sz="4" w:space="0" w:color="auto"/>
              <w:right w:val="single" w:sz="12" w:space="0" w:color="auto"/>
            </w:tcBorders>
            <w:shd w:val="clear" w:color="000000" w:fill="FCE4D6"/>
            <w:vAlign w:val="center"/>
            <w:hideMark/>
          </w:tcPr>
          <w:p w14:paraId="163D39E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5E2281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28821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D12E19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864B9F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B3F126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DB27CF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17</w:t>
            </w:r>
          </w:p>
        </w:tc>
        <w:tc>
          <w:tcPr>
            <w:tcW w:w="4833" w:type="dxa"/>
            <w:tcBorders>
              <w:top w:val="nil"/>
              <w:left w:val="nil"/>
              <w:bottom w:val="single" w:sz="4" w:space="0" w:color="auto"/>
              <w:right w:val="single" w:sz="4" w:space="0" w:color="auto"/>
            </w:tcBorders>
            <w:shd w:val="clear" w:color="auto" w:fill="auto"/>
            <w:hideMark/>
          </w:tcPr>
          <w:p w14:paraId="337117BA" w14:textId="0A1F12E5" w:rsidR="00E32B12" w:rsidRPr="00E32B12" w:rsidRDefault="00B316AA" w:rsidP="00E32B12">
            <w:pPr>
              <w:spacing w:before="0" w:after="0" w:line="240" w:lineRule="auto"/>
              <w:rPr>
                <w:rFonts w:cs="Arial"/>
                <w:color w:val="000000"/>
                <w:sz w:val="18"/>
                <w:szCs w:val="18"/>
                <w:lang w:eastAsia="en-GB"/>
              </w:rPr>
            </w:pPr>
            <w:r w:rsidRPr="00E32B12">
              <w:rPr>
                <w:rFonts w:cs="Arial"/>
                <w:color w:val="000000"/>
                <w:sz w:val="18"/>
                <w:szCs w:val="18"/>
                <w:lang w:eastAsia="en-GB"/>
              </w:rPr>
              <w:t>Positive AQ impact as encourages bus use resulting in fewer private vehicle trips. Currently under review</w:t>
            </w:r>
            <w:r>
              <w:rPr>
                <w:rFonts w:cs="Arial"/>
                <w:color w:val="000000"/>
                <w:sz w:val="18"/>
                <w:szCs w:val="18"/>
                <w:lang w:eastAsia="en-GB"/>
              </w:rPr>
              <w:t xml:space="preserve">, </w:t>
            </w:r>
            <w:r w:rsidRPr="00E32B12">
              <w:rPr>
                <w:rFonts w:cs="Arial"/>
                <w:color w:val="000000"/>
                <w:sz w:val="18"/>
                <w:szCs w:val="18"/>
                <w:lang w:eastAsia="en-GB"/>
              </w:rPr>
              <w:t xml:space="preserve">some bus lanes </w:t>
            </w:r>
            <w:r>
              <w:rPr>
                <w:rFonts w:cs="Arial"/>
                <w:color w:val="000000"/>
                <w:sz w:val="18"/>
                <w:szCs w:val="18"/>
                <w:lang w:eastAsia="en-GB"/>
              </w:rPr>
              <w:t xml:space="preserve">may be adjusted. </w:t>
            </w:r>
            <w:r w:rsidRPr="00E32B12">
              <w:rPr>
                <w:rFonts w:cs="Arial"/>
                <w:color w:val="000000"/>
                <w:sz w:val="18"/>
                <w:szCs w:val="18"/>
                <w:lang w:eastAsia="en-GB"/>
              </w:rPr>
              <w:t xml:space="preserve">24/7 Farnham Rd </w:t>
            </w:r>
            <w:r>
              <w:rPr>
                <w:rFonts w:cs="Arial"/>
                <w:color w:val="000000"/>
                <w:sz w:val="18"/>
                <w:szCs w:val="18"/>
                <w:lang w:eastAsia="en-GB"/>
              </w:rPr>
              <w:t xml:space="preserve">bus lane </w:t>
            </w:r>
            <w:r w:rsidRPr="00E32B12">
              <w:rPr>
                <w:rFonts w:cs="Arial"/>
                <w:color w:val="000000"/>
                <w:sz w:val="18"/>
                <w:szCs w:val="18"/>
                <w:lang w:eastAsia="en-GB"/>
              </w:rPr>
              <w:t xml:space="preserve">will be amended to peak time only, </w:t>
            </w:r>
            <w:r>
              <w:rPr>
                <w:rFonts w:cs="Arial"/>
                <w:color w:val="000000"/>
                <w:sz w:val="18"/>
                <w:szCs w:val="18"/>
                <w:lang w:eastAsia="en-GB"/>
              </w:rPr>
              <w:t>for consistency with other bus lanes in the borough.</w:t>
            </w:r>
          </w:p>
        </w:tc>
      </w:tr>
      <w:tr w:rsidR="00E32B12" w:rsidRPr="00E32B12" w14:paraId="3883085E" w14:textId="77777777" w:rsidTr="00D655F2">
        <w:trPr>
          <w:trHeight w:val="306"/>
        </w:trPr>
        <w:tc>
          <w:tcPr>
            <w:tcW w:w="967" w:type="dxa"/>
            <w:tcBorders>
              <w:top w:val="nil"/>
              <w:left w:val="single" w:sz="4" w:space="0" w:color="auto"/>
              <w:bottom w:val="single" w:sz="4" w:space="0" w:color="auto"/>
              <w:right w:val="single" w:sz="4" w:space="0" w:color="auto"/>
            </w:tcBorders>
            <w:shd w:val="clear" w:color="000000" w:fill="FCE4D6"/>
            <w:vAlign w:val="center"/>
            <w:hideMark/>
          </w:tcPr>
          <w:p w14:paraId="0D498729"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TO2</w:t>
            </w:r>
          </w:p>
        </w:tc>
        <w:tc>
          <w:tcPr>
            <w:tcW w:w="1485" w:type="dxa"/>
            <w:tcBorders>
              <w:top w:val="nil"/>
              <w:left w:val="nil"/>
              <w:bottom w:val="single" w:sz="4" w:space="0" w:color="auto"/>
              <w:right w:val="single" w:sz="4" w:space="0" w:color="auto"/>
            </w:tcBorders>
            <w:shd w:val="clear" w:color="000000" w:fill="FCE4D6"/>
            <w:vAlign w:val="center"/>
            <w:hideMark/>
          </w:tcPr>
          <w:p w14:paraId="58D2D85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Public transport </w:t>
            </w:r>
          </w:p>
        </w:tc>
        <w:tc>
          <w:tcPr>
            <w:tcW w:w="3979" w:type="dxa"/>
            <w:tcBorders>
              <w:top w:val="nil"/>
              <w:left w:val="nil"/>
              <w:bottom w:val="single" w:sz="4" w:space="0" w:color="auto"/>
              <w:right w:val="single" w:sz="4" w:space="0" w:color="auto"/>
            </w:tcBorders>
            <w:shd w:val="clear" w:color="000000" w:fill="FCE4D6"/>
            <w:vAlign w:val="center"/>
            <w:hideMark/>
          </w:tcPr>
          <w:p w14:paraId="2BC2F832"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Seek funding opportunities to migrate to zero bus emission fleet in coordination with neighbouring authorities, and seek funding to investigate the feasibility of different types of technology to establish cost effective means of decarbonising the bus fleet </w:t>
            </w:r>
          </w:p>
        </w:tc>
        <w:tc>
          <w:tcPr>
            <w:tcW w:w="1644" w:type="dxa"/>
            <w:tcBorders>
              <w:top w:val="nil"/>
              <w:left w:val="nil"/>
              <w:bottom w:val="single" w:sz="4" w:space="0" w:color="auto"/>
              <w:right w:val="single" w:sz="4" w:space="0" w:color="auto"/>
            </w:tcBorders>
            <w:shd w:val="clear" w:color="000000" w:fill="FCE4D6"/>
            <w:vAlign w:val="center"/>
            <w:hideMark/>
          </w:tcPr>
          <w:p w14:paraId="71B8678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000000" w:fill="FCE4D6"/>
            <w:vAlign w:val="center"/>
            <w:hideMark/>
          </w:tcPr>
          <w:p w14:paraId="4A68D6A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2FF7D1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E6EAC9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6DF7FB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73329B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0D3CE4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689C9B1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21</w:t>
            </w:r>
          </w:p>
        </w:tc>
        <w:tc>
          <w:tcPr>
            <w:tcW w:w="4833" w:type="dxa"/>
            <w:tcBorders>
              <w:top w:val="nil"/>
              <w:left w:val="nil"/>
              <w:bottom w:val="single" w:sz="4" w:space="0" w:color="auto"/>
              <w:right w:val="single" w:sz="4" w:space="0" w:color="auto"/>
            </w:tcBorders>
            <w:shd w:val="clear" w:color="auto" w:fill="auto"/>
            <w:hideMark/>
          </w:tcPr>
          <w:p w14:paraId="5AF65E0D" w14:textId="623BFEE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Positive AQ impact, technically challenging due to limited infrastructure, time and costly to implement. No funding opportunities available currently</w:t>
            </w:r>
            <w:r w:rsidR="00784479">
              <w:rPr>
                <w:rFonts w:cs="Arial"/>
                <w:color w:val="000000"/>
                <w:sz w:val="18"/>
                <w:szCs w:val="18"/>
                <w:lang w:eastAsia="en-GB"/>
              </w:rPr>
              <w:t xml:space="preserve">, but may be options via </w:t>
            </w:r>
            <w:r w:rsidR="00784479" w:rsidRPr="00784479">
              <w:rPr>
                <w:rFonts w:cs="Arial"/>
                <w:color w:val="000000"/>
                <w:sz w:val="18"/>
                <w:szCs w:val="18"/>
                <w:lang w:eastAsia="en-GB"/>
              </w:rPr>
              <w:t>government funding competitions (Zebra) and working in close partnership with bus operators and TfL</w:t>
            </w:r>
          </w:p>
        </w:tc>
      </w:tr>
      <w:tr w:rsidR="00E32B12" w:rsidRPr="00E32B12" w14:paraId="5412330D" w14:textId="77777777" w:rsidTr="00D655F2">
        <w:trPr>
          <w:trHeight w:val="181"/>
        </w:trPr>
        <w:tc>
          <w:tcPr>
            <w:tcW w:w="967" w:type="dxa"/>
            <w:tcBorders>
              <w:top w:val="nil"/>
              <w:left w:val="single" w:sz="4" w:space="0" w:color="auto"/>
              <w:bottom w:val="single" w:sz="4" w:space="0" w:color="auto"/>
              <w:right w:val="single" w:sz="4" w:space="0" w:color="auto"/>
            </w:tcBorders>
            <w:shd w:val="clear" w:color="000000" w:fill="FCE4D6"/>
            <w:vAlign w:val="center"/>
            <w:hideMark/>
          </w:tcPr>
          <w:p w14:paraId="15E4CA5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TO2</w:t>
            </w:r>
          </w:p>
        </w:tc>
        <w:tc>
          <w:tcPr>
            <w:tcW w:w="1485" w:type="dxa"/>
            <w:tcBorders>
              <w:top w:val="nil"/>
              <w:left w:val="nil"/>
              <w:bottom w:val="single" w:sz="4" w:space="0" w:color="auto"/>
              <w:right w:val="single" w:sz="4" w:space="0" w:color="auto"/>
            </w:tcBorders>
            <w:shd w:val="clear" w:color="000000" w:fill="FCE4D6"/>
            <w:vAlign w:val="center"/>
            <w:hideMark/>
          </w:tcPr>
          <w:p w14:paraId="0533AE2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Public transport </w:t>
            </w:r>
          </w:p>
        </w:tc>
        <w:tc>
          <w:tcPr>
            <w:tcW w:w="3979" w:type="dxa"/>
            <w:tcBorders>
              <w:top w:val="nil"/>
              <w:left w:val="nil"/>
              <w:bottom w:val="single" w:sz="4" w:space="0" w:color="auto"/>
              <w:right w:val="single" w:sz="4" w:space="0" w:color="auto"/>
            </w:tcBorders>
            <w:shd w:val="clear" w:color="000000" w:fill="FCE4D6"/>
            <w:vAlign w:val="center"/>
            <w:hideMark/>
          </w:tcPr>
          <w:p w14:paraId="2AABA36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Invest in Superbus networks: a comprehensive network of bus priority measures, fares caps, increased service frequencies.</w:t>
            </w:r>
          </w:p>
        </w:tc>
        <w:tc>
          <w:tcPr>
            <w:tcW w:w="1644" w:type="dxa"/>
            <w:tcBorders>
              <w:top w:val="nil"/>
              <w:left w:val="nil"/>
              <w:bottom w:val="single" w:sz="4" w:space="0" w:color="auto"/>
              <w:right w:val="single" w:sz="4" w:space="0" w:color="auto"/>
            </w:tcBorders>
            <w:shd w:val="clear" w:color="000000" w:fill="FCE4D6"/>
            <w:vAlign w:val="center"/>
            <w:hideMark/>
          </w:tcPr>
          <w:p w14:paraId="15A916A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000000" w:fill="FCE4D6"/>
            <w:vAlign w:val="center"/>
            <w:hideMark/>
          </w:tcPr>
          <w:p w14:paraId="12D6521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318254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5A13D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6AB8082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11DB35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B75A4A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B3BC17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22</w:t>
            </w:r>
          </w:p>
        </w:tc>
        <w:tc>
          <w:tcPr>
            <w:tcW w:w="4833" w:type="dxa"/>
            <w:tcBorders>
              <w:top w:val="nil"/>
              <w:left w:val="nil"/>
              <w:bottom w:val="single" w:sz="4" w:space="0" w:color="auto"/>
              <w:right w:val="single" w:sz="4" w:space="0" w:color="auto"/>
            </w:tcBorders>
            <w:shd w:val="clear" w:color="auto" w:fill="auto"/>
            <w:hideMark/>
          </w:tcPr>
          <w:p w14:paraId="4E7AB22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Positive AQ impact but technically challenging, time and costly to implement. No funding or support currently. </w:t>
            </w:r>
          </w:p>
        </w:tc>
      </w:tr>
      <w:tr w:rsidR="00E32B12" w:rsidRPr="00E32B12" w14:paraId="5D8360F1" w14:textId="77777777" w:rsidTr="00D655F2">
        <w:trPr>
          <w:trHeight w:val="262"/>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593D573B"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TO3</w:t>
            </w:r>
          </w:p>
        </w:tc>
        <w:tc>
          <w:tcPr>
            <w:tcW w:w="1485" w:type="dxa"/>
            <w:tcBorders>
              <w:top w:val="nil"/>
              <w:left w:val="nil"/>
              <w:bottom w:val="single" w:sz="4" w:space="0" w:color="auto"/>
              <w:right w:val="single" w:sz="4" w:space="0" w:color="auto"/>
            </w:tcBorders>
            <w:shd w:val="clear" w:color="000000" w:fill="FFF2CC"/>
            <w:vAlign w:val="center"/>
            <w:hideMark/>
          </w:tcPr>
          <w:p w14:paraId="214866A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Parking</w:t>
            </w:r>
          </w:p>
        </w:tc>
        <w:tc>
          <w:tcPr>
            <w:tcW w:w="3979" w:type="dxa"/>
            <w:tcBorders>
              <w:top w:val="nil"/>
              <w:left w:val="nil"/>
              <w:bottom w:val="single" w:sz="4" w:space="0" w:color="auto"/>
              <w:right w:val="single" w:sz="4" w:space="0" w:color="auto"/>
            </w:tcBorders>
            <w:shd w:val="clear" w:color="000000" w:fill="FFF2CC"/>
            <w:vAlign w:val="center"/>
            <w:hideMark/>
          </w:tcPr>
          <w:p w14:paraId="7196BD93" w14:textId="08031994"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Review parking controls and policies in regards to new developments, </w:t>
            </w:r>
            <w:r w:rsidR="00BA1738">
              <w:rPr>
                <w:rFonts w:cs="Arial"/>
                <w:color w:val="000000"/>
                <w:sz w:val="18"/>
                <w:szCs w:val="18"/>
                <w:lang w:eastAsia="en-GB"/>
              </w:rPr>
              <w:t>for managing parking in the town centre</w:t>
            </w:r>
            <w:r w:rsidR="006E6D92">
              <w:rPr>
                <w:rFonts w:cs="Arial"/>
                <w:color w:val="000000"/>
                <w:sz w:val="18"/>
                <w:szCs w:val="18"/>
                <w:lang w:eastAsia="en-GB"/>
              </w:rPr>
              <w:t xml:space="preserve"> (TM9)</w:t>
            </w:r>
          </w:p>
        </w:tc>
        <w:tc>
          <w:tcPr>
            <w:tcW w:w="1644" w:type="dxa"/>
            <w:tcBorders>
              <w:top w:val="nil"/>
              <w:left w:val="nil"/>
              <w:bottom w:val="single" w:sz="4" w:space="0" w:color="auto"/>
              <w:right w:val="single" w:sz="4" w:space="0" w:color="auto"/>
            </w:tcBorders>
            <w:shd w:val="clear" w:color="000000" w:fill="FFF2CC"/>
            <w:noWrap/>
            <w:vAlign w:val="center"/>
            <w:hideMark/>
          </w:tcPr>
          <w:p w14:paraId="3EF3B75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000000" w:fill="FFF2CC"/>
            <w:vAlign w:val="center"/>
            <w:hideMark/>
          </w:tcPr>
          <w:p w14:paraId="26CDB06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BF5BF9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DC462C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20DE1A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996A57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356083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6850A5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6</w:t>
            </w:r>
          </w:p>
        </w:tc>
        <w:tc>
          <w:tcPr>
            <w:tcW w:w="4833" w:type="dxa"/>
            <w:tcBorders>
              <w:top w:val="nil"/>
              <w:left w:val="nil"/>
              <w:bottom w:val="single" w:sz="4" w:space="0" w:color="auto"/>
              <w:right w:val="single" w:sz="4" w:space="0" w:color="auto"/>
            </w:tcBorders>
            <w:shd w:val="clear" w:color="auto" w:fill="auto"/>
            <w:hideMark/>
          </w:tcPr>
          <w:p w14:paraId="28EB14A2" w14:textId="6B4B1026" w:rsidR="00E32B12" w:rsidRPr="00E32B12" w:rsidRDefault="00BA1738" w:rsidP="00E32B12">
            <w:pPr>
              <w:spacing w:before="0" w:after="0" w:line="240" w:lineRule="auto"/>
              <w:rPr>
                <w:rFonts w:cs="Arial"/>
                <w:color w:val="000000"/>
                <w:sz w:val="18"/>
                <w:szCs w:val="18"/>
                <w:lang w:eastAsia="en-GB"/>
              </w:rPr>
            </w:pPr>
            <w:r w:rsidRPr="00BA1738">
              <w:rPr>
                <w:rFonts w:cs="Arial"/>
                <w:color w:val="000000"/>
                <w:sz w:val="18"/>
                <w:szCs w:val="18"/>
                <w:lang w:eastAsia="en-GB"/>
              </w:rPr>
              <w:t xml:space="preserve">Reduced parking results in fewer emissions only under the assumption that illegal parking is controlled. It is quick and simple to implement however parking solutions or </w:t>
            </w:r>
            <w:r w:rsidRPr="00BA1738">
              <w:rPr>
                <w:rFonts w:cs="Arial"/>
                <w:color w:val="000000"/>
                <w:sz w:val="18"/>
                <w:szCs w:val="18"/>
                <w:lang w:eastAsia="en-GB"/>
              </w:rPr>
              <w:lastRenderedPageBreak/>
              <w:t>alternative travel options need to be available to support this measure</w:t>
            </w:r>
          </w:p>
        </w:tc>
      </w:tr>
      <w:tr w:rsidR="00E32B12" w:rsidRPr="00E32B12" w14:paraId="1F3F1031"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142AF271"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lastRenderedPageBreak/>
              <w:t>TO3</w:t>
            </w:r>
          </w:p>
        </w:tc>
        <w:tc>
          <w:tcPr>
            <w:tcW w:w="1485" w:type="dxa"/>
            <w:tcBorders>
              <w:top w:val="nil"/>
              <w:left w:val="nil"/>
              <w:bottom w:val="single" w:sz="4" w:space="0" w:color="auto"/>
              <w:right w:val="single" w:sz="4" w:space="0" w:color="auto"/>
            </w:tcBorders>
            <w:shd w:val="clear" w:color="000000" w:fill="FFF2CC"/>
            <w:vAlign w:val="center"/>
            <w:hideMark/>
          </w:tcPr>
          <w:p w14:paraId="4EA39A50"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Parking</w:t>
            </w:r>
          </w:p>
        </w:tc>
        <w:tc>
          <w:tcPr>
            <w:tcW w:w="3979" w:type="dxa"/>
            <w:tcBorders>
              <w:top w:val="nil"/>
              <w:left w:val="nil"/>
              <w:bottom w:val="single" w:sz="4" w:space="0" w:color="auto"/>
              <w:right w:val="single" w:sz="4" w:space="0" w:color="auto"/>
            </w:tcBorders>
            <w:shd w:val="clear" w:color="000000" w:fill="FFF2CC"/>
            <w:vAlign w:val="center"/>
            <w:hideMark/>
          </w:tcPr>
          <w:p w14:paraId="7563D0EA" w14:textId="6BC6AF96"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Investigate the feasibility of implementing charging or </w:t>
            </w:r>
            <w:r w:rsidR="008B43FE">
              <w:rPr>
                <w:rFonts w:cs="Arial"/>
                <w:sz w:val="18"/>
                <w:szCs w:val="18"/>
                <w:lang w:eastAsia="en-GB"/>
              </w:rPr>
              <w:t>banding levels</w:t>
            </w:r>
            <w:r w:rsidRPr="00E32B12">
              <w:rPr>
                <w:rFonts w:cs="Arial"/>
                <w:sz w:val="18"/>
                <w:szCs w:val="18"/>
                <w:lang w:eastAsia="en-GB"/>
              </w:rPr>
              <w:t xml:space="preserve"> for car parking, parking permits (residents, businesses etc) and season tickets based on CO</w:t>
            </w:r>
            <w:r w:rsidRPr="00CC1A1E">
              <w:rPr>
                <w:rFonts w:cs="Arial"/>
                <w:sz w:val="18"/>
                <w:szCs w:val="18"/>
                <w:vertAlign w:val="subscript"/>
                <w:lang w:eastAsia="en-GB"/>
              </w:rPr>
              <w:t>2</w:t>
            </w:r>
            <w:r w:rsidRPr="00E32B12">
              <w:rPr>
                <w:rFonts w:cs="Arial"/>
                <w:sz w:val="18"/>
                <w:szCs w:val="18"/>
                <w:lang w:eastAsia="en-GB"/>
              </w:rPr>
              <w:t xml:space="preserve"> emissions from vehicles</w:t>
            </w:r>
            <w:r w:rsidR="006E6D92">
              <w:rPr>
                <w:rFonts w:cs="Arial"/>
                <w:sz w:val="18"/>
                <w:szCs w:val="18"/>
                <w:lang w:eastAsia="en-GB"/>
              </w:rPr>
              <w:t xml:space="preserve"> (TM11)</w:t>
            </w:r>
          </w:p>
        </w:tc>
        <w:tc>
          <w:tcPr>
            <w:tcW w:w="1644" w:type="dxa"/>
            <w:tcBorders>
              <w:top w:val="nil"/>
              <w:left w:val="nil"/>
              <w:bottom w:val="single" w:sz="4" w:space="0" w:color="auto"/>
              <w:right w:val="single" w:sz="4" w:space="0" w:color="auto"/>
            </w:tcBorders>
            <w:shd w:val="clear" w:color="000000" w:fill="FFF2CC"/>
            <w:noWrap/>
            <w:vAlign w:val="center"/>
            <w:hideMark/>
          </w:tcPr>
          <w:p w14:paraId="1152A9C1" w14:textId="6FFD7410"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000000" w:fill="FFF2CC"/>
            <w:vAlign w:val="center"/>
            <w:hideMark/>
          </w:tcPr>
          <w:p w14:paraId="2B47179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16205A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880B2A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C52DE0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221D7EB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0927B0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E86D23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4833" w:type="dxa"/>
            <w:tcBorders>
              <w:top w:val="nil"/>
              <w:left w:val="nil"/>
              <w:bottom w:val="single" w:sz="4" w:space="0" w:color="auto"/>
              <w:right w:val="single" w:sz="4" w:space="0" w:color="auto"/>
            </w:tcBorders>
            <w:shd w:val="clear" w:color="auto" w:fill="auto"/>
            <w:hideMark/>
          </w:tcPr>
          <w:p w14:paraId="453BB943"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may have issues with public support, may take time to implement. Expected to be delivered via officers and may be income generating. </w:t>
            </w:r>
          </w:p>
        </w:tc>
      </w:tr>
      <w:tr w:rsidR="00E32B12" w:rsidRPr="00E32B12" w14:paraId="401D8AB8" w14:textId="77777777" w:rsidTr="00D655F2">
        <w:trPr>
          <w:trHeight w:val="163"/>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515CDAE7"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TO3</w:t>
            </w:r>
          </w:p>
        </w:tc>
        <w:tc>
          <w:tcPr>
            <w:tcW w:w="1485" w:type="dxa"/>
            <w:tcBorders>
              <w:top w:val="nil"/>
              <w:left w:val="nil"/>
              <w:bottom w:val="single" w:sz="4" w:space="0" w:color="auto"/>
              <w:right w:val="single" w:sz="4" w:space="0" w:color="auto"/>
            </w:tcBorders>
            <w:shd w:val="clear" w:color="000000" w:fill="FFF2CC"/>
            <w:vAlign w:val="center"/>
            <w:hideMark/>
          </w:tcPr>
          <w:p w14:paraId="7246A51C"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Parking</w:t>
            </w:r>
          </w:p>
        </w:tc>
        <w:tc>
          <w:tcPr>
            <w:tcW w:w="3979" w:type="dxa"/>
            <w:tcBorders>
              <w:top w:val="nil"/>
              <w:left w:val="nil"/>
              <w:bottom w:val="single" w:sz="4" w:space="0" w:color="auto"/>
              <w:right w:val="single" w:sz="4" w:space="0" w:color="auto"/>
            </w:tcBorders>
            <w:shd w:val="clear" w:color="000000" w:fill="FFF2CC"/>
            <w:vAlign w:val="center"/>
            <w:hideMark/>
          </w:tcPr>
          <w:p w14:paraId="1B39112B" w14:textId="4C983ED9"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Investigate the feasibility of introducing anti-idling controls in hotspot areas</w:t>
            </w:r>
            <w:r w:rsidR="006E6D92">
              <w:rPr>
                <w:rFonts w:cs="Arial"/>
                <w:sz w:val="18"/>
                <w:szCs w:val="18"/>
                <w:lang w:eastAsia="en-GB"/>
              </w:rPr>
              <w:t xml:space="preserve"> (TM10)</w:t>
            </w:r>
          </w:p>
        </w:tc>
        <w:tc>
          <w:tcPr>
            <w:tcW w:w="1644" w:type="dxa"/>
            <w:tcBorders>
              <w:top w:val="nil"/>
              <w:left w:val="nil"/>
              <w:bottom w:val="single" w:sz="4" w:space="0" w:color="auto"/>
              <w:right w:val="single" w:sz="4" w:space="0" w:color="auto"/>
            </w:tcBorders>
            <w:shd w:val="clear" w:color="000000" w:fill="FFF2CC"/>
            <w:noWrap/>
            <w:vAlign w:val="center"/>
            <w:hideMark/>
          </w:tcPr>
          <w:p w14:paraId="77546AF8" w14:textId="1453DACC"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000000" w:fill="FFF2CC"/>
            <w:vAlign w:val="center"/>
            <w:hideMark/>
          </w:tcPr>
          <w:p w14:paraId="7C98AFD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89DCB5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88F213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15FA664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232216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8378EE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672401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15</w:t>
            </w:r>
          </w:p>
        </w:tc>
        <w:tc>
          <w:tcPr>
            <w:tcW w:w="4833" w:type="dxa"/>
            <w:tcBorders>
              <w:top w:val="nil"/>
              <w:left w:val="nil"/>
              <w:bottom w:val="single" w:sz="4" w:space="0" w:color="auto"/>
              <w:right w:val="single" w:sz="4" w:space="0" w:color="auto"/>
            </w:tcBorders>
            <w:shd w:val="clear" w:color="auto" w:fill="auto"/>
            <w:hideMark/>
          </w:tcPr>
          <w:p w14:paraId="0812463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Positive AQ impacts, simple to deliver but may take some time, costs are expected particularly for signage and enforcement but dependent on scale, however some costs may be balanced if penalities given. No funding currently to initiate. </w:t>
            </w:r>
          </w:p>
        </w:tc>
      </w:tr>
      <w:tr w:rsidR="00E32B12" w:rsidRPr="00E32B12" w14:paraId="01031CA3" w14:textId="77777777" w:rsidTr="00D655F2">
        <w:trPr>
          <w:trHeight w:val="532"/>
        </w:trPr>
        <w:tc>
          <w:tcPr>
            <w:tcW w:w="967" w:type="dxa"/>
            <w:tcBorders>
              <w:top w:val="nil"/>
              <w:left w:val="single" w:sz="4" w:space="0" w:color="auto"/>
              <w:bottom w:val="single" w:sz="4" w:space="0" w:color="auto"/>
              <w:right w:val="single" w:sz="4" w:space="0" w:color="auto"/>
            </w:tcBorders>
            <w:shd w:val="clear" w:color="000000" w:fill="FFF2CC"/>
            <w:noWrap/>
            <w:vAlign w:val="center"/>
            <w:hideMark/>
          </w:tcPr>
          <w:p w14:paraId="485F98A6"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TO4</w:t>
            </w:r>
          </w:p>
        </w:tc>
        <w:tc>
          <w:tcPr>
            <w:tcW w:w="1485" w:type="dxa"/>
            <w:tcBorders>
              <w:top w:val="nil"/>
              <w:left w:val="nil"/>
              <w:bottom w:val="single" w:sz="4" w:space="0" w:color="auto"/>
              <w:right w:val="single" w:sz="4" w:space="0" w:color="auto"/>
            </w:tcBorders>
            <w:shd w:val="clear" w:color="000000" w:fill="FFF2CC"/>
            <w:vAlign w:val="center"/>
            <w:hideMark/>
          </w:tcPr>
          <w:p w14:paraId="166FF00C"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Traffic management</w:t>
            </w:r>
          </w:p>
        </w:tc>
        <w:tc>
          <w:tcPr>
            <w:tcW w:w="3979" w:type="dxa"/>
            <w:tcBorders>
              <w:top w:val="nil"/>
              <w:left w:val="nil"/>
              <w:bottom w:val="single" w:sz="4" w:space="0" w:color="auto"/>
              <w:right w:val="single" w:sz="4" w:space="0" w:color="auto"/>
            </w:tcBorders>
            <w:shd w:val="clear" w:color="000000" w:fill="FFF2CC"/>
            <w:vAlign w:val="center"/>
            <w:hideMark/>
          </w:tcPr>
          <w:p w14:paraId="5F58CABC" w14:textId="596EEA50"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Explore use of traffic calming measures within Air Quality Management Areas - including speed limits, 20mph zones (generally, vehicles going at very high speeds (on motorways) or very low speeds (in congestion) tend of operate least efficiently and have higher exhaust emissions</w:t>
            </w:r>
            <w:r w:rsidR="006E6D92">
              <w:rPr>
                <w:rFonts w:cs="Arial"/>
                <w:sz w:val="18"/>
                <w:szCs w:val="18"/>
                <w:lang w:eastAsia="en-GB"/>
              </w:rPr>
              <w:t xml:space="preserve"> (TM15)</w:t>
            </w:r>
          </w:p>
        </w:tc>
        <w:tc>
          <w:tcPr>
            <w:tcW w:w="1644" w:type="dxa"/>
            <w:tcBorders>
              <w:top w:val="nil"/>
              <w:left w:val="nil"/>
              <w:bottom w:val="single" w:sz="4" w:space="0" w:color="auto"/>
              <w:right w:val="single" w:sz="4" w:space="0" w:color="auto"/>
            </w:tcBorders>
            <w:shd w:val="clear" w:color="000000" w:fill="FFF2CC"/>
            <w:noWrap/>
            <w:vAlign w:val="center"/>
            <w:hideMark/>
          </w:tcPr>
          <w:p w14:paraId="6C6667FC" w14:textId="5362E764" w:rsidR="00E32B12" w:rsidRPr="00E32B12" w:rsidRDefault="008C07E4" w:rsidP="00E32B12">
            <w:pPr>
              <w:spacing w:before="0" w:after="0" w:line="240" w:lineRule="auto"/>
              <w:jc w:val="center"/>
              <w:rPr>
                <w:rFonts w:cs="Arial"/>
                <w:color w:val="000000"/>
                <w:sz w:val="18"/>
                <w:szCs w:val="18"/>
                <w:lang w:eastAsia="en-GB"/>
              </w:rPr>
            </w:pPr>
            <w:r>
              <w:rPr>
                <w:rFonts w:cs="Arial"/>
                <w:color w:val="000000"/>
                <w:sz w:val="18"/>
                <w:szCs w:val="18"/>
                <w:lang w:eastAsia="en-GB"/>
              </w:rPr>
              <w:t>New</w:t>
            </w:r>
            <w:r w:rsidR="00E32B12" w:rsidRPr="00E32B12">
              <w:rPr>
                <w:rFonts w:cs="Arial"/>
                <w:color w:val="000000"/>
                <w:sz w:val="18"/>
                <w:szCs w:val="18"/>
                <w:lang w:eastAsia="en-GB"/>
              </w:rPr>
              <w:t> </w:t>
            </w:r>
          </w:p>
        </w:tc>
        <w:tc>
          <w:tcPr>
            <w:tcW w:w="1134" w:type="dxa"/>
            <w:tcBorders>
              <w:top w:val="nil"/>
              <w:left w:val="nil"/>
              <w:bottom w:val="single" w:sz="4" w:space="0" w:color="auto"/>
              <w:right w:val="single" w:sz="12" w:space="0" w:color="auto"/>
            </w:tcBorders>
            <w:shd w:val="clear" w:color="000000" w:fill="FFF2CC"/>
            <w:vAlign w:val="center"/>
            <w:hideMark/>
          </w:tcPr>
          <w:p w14:paraId="2FB018A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1AE539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7C8FBE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473B98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6A18B9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E75235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6EDA2B6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13</w:t>
            </w:r>
          </w:p>
        </w:tc>
        <w:tc>
          <w:tcPr>
            <w:tcW w:w="4833" w:type="dxa"/>
            <w:tcBorders>
              <w:top w:val="nil"/>
              <w:left w:val="nil"/>
              <w:bottom w:val="single" w:sz="4" w:space="0" w:color="auto"/>
              <w:right w:val="single" w:sz="4" w:space="0" w:color="auto"/>
            </w:tcBorders>
            <w:shd w:val="clear" w:color="auto" w:fill="auto"/>
            <w:hideMark/>
          </w:tcPr>
          <w:p w14:paraId="42C0FEFE"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feasible to implement as proposals already exist but some technical challenges, may take 1-2 years to develop plans, some costs expected but there may be opportunities to have support via active travel grant and S106 </w:t>
            </w:r>
          </w:p>
        </w:tc>
      </w:tr>
      <w:tr w:rsidR="00E32B12" w:rsidRPr="00E32B12" w14:paraId="5FD7EEAD"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6F6E3BD4"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TO4</w:t>
            </w:r>
          </w:p>
        </w:tc>
        <w:tc>
          <w:tcPr>
            <w:tcW w:w="1485" w:type="dxa"/>
            <w:tcBorders>
              <w:top w:val="nil"/>
              <w:left w:val="nil"/>
              <w:bottom w:val="single" w:sz="4" w:space="0" w:color="auto"/>
              <w:right w:val="single" w:sz="4" w:space="0" w:color="auto"/>
            </w:tcBorders>
            <w:shd w:val="clear" w:color="000000" w:fill="FCE4D6"/>
            <w:vAlign w:val="center"/>
            <w:hideMark/>
          </w:tcPr>
          <w:p w14:paraId="72FA3112"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Traffic management</w:t>
            </w:r>
          </w:p>
        </w:tc>
        <w:tc>
          <w:tcPr>
            <w:tcW w:w="3979" w:type="dxa"/>
            <w:tcBorders>
              <w:top w:val="nil"/>
              <w:left w:val="nil"/>
              <w:bottom w:val="single" w:sz="4" w:space="0" w:color="auto"/>
              <w:right w:val="single" w:sz="4" w:space="0" w:color="auto"/>
            </w:tcBorders>
            <w:shd w:val="clear" w:color="000000" w:fill="FCE4D6"/>
            <w:vAlign w:val="center"/>
            <w:hideMark/>
          </w:tcPr>
          <w:p w14:paraId="03396B11"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Undertake junction improvement review at Yew Tree Road. Will include review of causes of issues at junction, identification of solutions, evaluation of options and delivery </w:t>
            </w:r>
          </w:p>
        </w:tc>
        <w:tc>
          <w:tcPr>
            <w:tcW w:w="1644" w:type="dxa"/>
            <w:tcBorders>
              <w:top w:val="nil"/>
              <w:left w:val="nil"/>
              <w:bottom w:val="single" w:sz="4" w:space="0" w:color="auto"/>
              <w:right w:val="single" w:sz="4" w:space="0" w:color="auto"/>
            </w:tcBorders>
            <w:shd w:val="clear" w:color="000000" w:fill="FCE4D6"/>
            <w:noWrap/>
            <w:vAlign w:val="center"/>
            <w:hideMark/>
          </w:tcPr>
          <w:p w14:paraId="4CCD1177" w14:textId="593993FC" w:rsidR="00E32B12" w:rsidRPr="00E32B12" w:rsidRDefault="008C07E4" w:rsidP="00E32B12">
            <w:pPr>
              <w:spacing w:before="0" w:after="0" w:line="240" w:lineRule="auto"/>
              <w:jc w:val="center"/>
              <w:rPr>
                <w:rFonts w:cs="Arial"/>
                <w:color w:val="000000"/>
                <w:sz w:val="18"/>
                <w:szCs w:val="18"/>
                <w:lang w:eastAsia="en-GB"/>
              </w:rPr>
            </w:pPr>
            <w:r>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000000" w:fill="FCE4D6"/>
            <w:vAlign w:val="center"/>
            <w:hideMark/>
          </w:tcPr>
          <w:p w14:paraId="7223D51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AQMA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3B3333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CC1A17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B5C718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47C287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A29A16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A2167B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19</w:t>
            </w:r>
          </w:p>
        </w:tc>
        <w:tc>
          <w:tcPr>
            <w:tcW w:w="4833" w:type="dxa"/>
            <w:tcBorders>
              <w:top w:val="nil"/>
              <w:left w:val="nil"/>
              <w:bottom w:val="single" w:sz="4" w:space="0" w:color="auto"/>
              <w:right w:val="single" w:sz="4" w:space="0" w:color="auto"/>
            </w:tcBorders>
            <w:shd w:val="clear" w:color="auto" w:fill="auto"/>
            <w:hideMark/>
          </w:tcPr>
          <w:p w14:paraId="0E9406D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likely to be some technical challenges, time and cost to implement (dependent on solution). Will need funding support to be viable. </w:t>
            </w:r>
          </w:p>
        </w:tc>
      </w:tr>
      <w:tr w:rsidR="00E32B12" w:rsidRPr="00E32B12" w14:paraId="59F13478"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CE4D6"/>
            <w:vAlign w:val="center"/>
            <w:hideMark/>
          </w:tcPr>
          <w:p w14:paraId="79EC4AFF"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TO4</w:t>
            </w:r>
          </w:p>
        </w:tc>
        <w:tc>
          <w:tcPr>
            <w:tcW w:w="1485" w:type="dxa"/>
            <w:tcBorders>
              <w:top w:val="nil"/>
              <w:left w:val="nil"/>
              <w:bottom w:val="single" w:sz="4" w:space="0" w:color="auto"/>
              <w:right w:val="single" w:sz="4" w:space="0" w:color="auto"/>
            </w:tcBorders>
            <w:shd w:val="clear" w:color="000000" w:fill="FCE4D6"/>
            <w:vAlign w:val="center"/>
            <w:hideMark/>
          </w:tcPr>
          <w:p w14:paraId="790604E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Traffic management </w:t>
            </w:r>
          </w:p>
        </w:tc>
        <w:tc>
          <w:tcPr>
            <w:tcW w:w="3979" w:type="dxa"/>
            <w:tcBorders>
              <w:top w:val="nil"/>
              <w:left w:val="nil"/>
              <w:bottom w:val="single" w:sz="4" w:space="0" w:color="auto"/>
              <w:right w:val="single" w:sz="4" w:space="0" w:color="auto"/>
            </w:tcBorders>
            <w:shd w:val="clear" w:color="000000" w:fill="FCE4D6"/>
            <w:vAlign w:val="center"/>
            <w:hideMark/>
          </w:tcPr>
          <w:p w14:paraId="76F7244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Invest in Urban Traffic Management and Control (UTMC) systems on A4 corridor and other roads </w:t>
            </w:r>
          </w:p>
        </w:tc>
        <w:tc>
          <w:tcPr>
            <w:tcW w:w="1644" w:type="dxa"/>
            <w:tcBorders>
              <w:top w:val="nil"/>
              <w:left w:val="nil"/>
              <w:bottom w:val="single" w:sz="4" w:space="0" w:color="auto"/>
              <w:right w:val="single" w:sz="4" w:space="0" w:color="auto"/>
            </w:tcBorders>
            <w:shd w:val="clear" w:color="000000" w:fill="FCE4D6"/>
            <w:vAlign w:val="center"/>
            <w:hideMark/>
          </w:tcPr>
          <w:p w14:paraId="0236A1B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LTP3, AQAP 1-4</w:t>
            </w:r>
          </w:p>
        </w:tc>
        <w:tc>
          <w:tcPr>
            <w:tcW w:w="1134" w:type="dxa"/>
            <w:tcBorders>
              <w:top w:val="nil"/>
              <w:left w:val="nil"/>
              <w:bottom w:val="single" w:sz="4" w:space="0" w:color="auto"/>
              <w:right w:val="single" w:sz="12" w:space="0" w:color="auto"/>
            </w:tcBorders>
            <w:shd w:val="clear" w:color="000000" w:fill="FCE4D6"/>
            <w:vAlign w:val="center"/>
            <w:hideMark/>
          </w:tcPr>
          <w:p w14:paraId="04E6A3B4"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F22E90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952FB6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1F8302F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015481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B7C26D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74EBAF75"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20</w:t>
            </w:r>
          </w:p>
        </w:tc>
        <w:tc>
          <w:tcPr>
            <w:tcW w:w="4833" w:type="dxa"/>
            <w:tcBorders>
              <w:top w:val="nil"/>
              <w:left w:val="nil"/>
              <w:bottom w:val="single" w:sz="4" w:space="0" w:color="auto"/>
              <w:right w:val="single" w:sz="4" w:space="0" w:color="auto"/>
            </w:tcBorders>
            <w:shd w:val="clear" w:color="auto" w:fill="auto"/>
            <w:hideMark/>
          </w:tcPr>
          <w:p w14:paraId="10B71018"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if system manages congestion better, particularly on A4. Technically feasible as system exists (in reduced form) but will take time and money to implement. Not currently funded. </w:t>
            </w:r>
          </w:p>
        </w:tc>
      </w:tr>
      <w:tr w:rsidR="00E32B12" w:rsidRPr="00E32B12" w14:paraId="6AC718BE" w14:textId="77777777" w:rsidTr="00D655F2">
        <w:trPr>
          <w:trHeight w:val="1000"/>
        </w:trPr>
        <w:tc>
          <w:tcPr>
            <w:tcW w:w="967" w:type="dxa"/>
            <w:tcBorders>
              <w:top w:val="nil"/>
              <w:left w:val="single" w:sz="4" w:space="0" w:color="auto"/>
              <w:bottom w:val="single" w:sz="4" w:space="0" w:color="auto"/>
              <w:right w:val="single" w:sz="4" w:space="0" w:color="auto"/>
            </w:tcBorders>
            <w:shd w:val="clear" w:color="000000" w:fill="FCE4D6"/>
            <w:vAlign w:val="center"/>
            <w:hideMark/>
          </w:tcPr>
          <w:p w14:paraId="1576D1F0"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TO4</w:t>
            </w:r>
          </w:p>
        </w:tc>
        <w:tc>
          <w:tcPr>
            <w:tcW w:w="1485" w:type="dxa"/>
            <w:tcBorders>
              <w:top w:val="nil"/>
              <w:left w:val="nil"/>
              <w:bottom w:val="single" w:sz="4" w:space="0" w:color="auto"/>
              <w:right w:val="single" w:sz="4" w:space="0" w:color="auto"/>
            </w:tcBorders>
            <w:shd w:val="clear" w:color="000000" w:fill="FCE4D6"/>
            <w:vAlign w:val="center"/>
            <w:hideMark/>
          </w:tcPr>
          <w:p w14:paraId="0A609EB6"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Traffic management </w:t>
            </w:r>
          </w:p>
        </w:tc>
        <w:tc>
          <w:tcPr>
            <w:tcW w:w="3979" w:type="dxa"/>
            <w:tcBorders>
              <w:top w:val="nil"/>
              <w:left w:val="nil"/>
              <w:bottom w:val="single" w:sz="4" w:space="0" w:color="auto"/>
              <w:right w:val="single" w:sz="4" w:space="0" w:color="auto"/>
            </w:tcBorders>
            <w:shd w:val="clear" w:color="000000" w:fill="FCE4D6"/>
            <w:vAlign w:val="center"/>
            <w:hideMark/>
          </w:tcPr>
          <w:p w14:paraId="37B55A46"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Explore greater use of variable message signs and other technology to guide drivers (e.g. to reduce circulating car park traffic in the town centre, directing vehicles to under-utilised car parks), implement temporary speed limits and inform drivers of incidents </w:t>
            </w:r>
          </w:p>
        </w:tc>
        <w:tc>
          <w:tcPr>
            <w:tcW w:w="1644" w:type="dxa"/>
            <w:tcBorders>
              <w:top w:val="nil"/>
              <w:left w:val="nil"/>
              <w:bottom w:val="single" w:sz="4" w:space="0" w:color="auto"/>
              <w:right w:val="single" w:sz="4" w:space="0" w:color="auto"/>
            </w:tcBorders>
            <w:shd w:val="clear" w:color="000000" w:fill="FCE4D6"/>
            <w:vAlign w:val="center"/>
            <w:hideMark/>
          </w:tcPr>
          <w:p w14:paraId="4355051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AQAP3&amp;4</w:t>
            </w:r>
          </w:p>
        </w:tc>
        <w:tc>
          <w:tcPr>
            <w:tcW w:w="1134" w:type="dxa"/>
            <w:tcBorders>
              <w:top w:val="nil"/>
              <w:left w:val="nil"/>
              <w:bottom w:val="single" w:sz="4" w:space="0" w:color="auto"/>
              <w:right w:val="single" w:sz="12" w:space="0" w:color="auto"/>
            </w:tcBorders>
            <w:shd w:val="clear" w:color="000000" w:fill="FCE4D6"/>
            <w:vAlign w:val="center"/>
            <w:hideMark/>
          </w:tcPr>
          <w:p w14:paraId="2FB074F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F849B2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D41C69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F6C865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16B932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6F7F75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61D8675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21</w:t>
            </w:r>
          </w:p>
        </w:tc>
        <w:tc>
          <w:tcPr>
            <w:tcW w:w="4833" w:type="dxa"/>
            <w:tcBorders>
              <w:top w:val="nil"/>
              <w:left w:val="nil"/>
              <w:bottom w:val="single" w:sz="4" w:space="0" w:color="auto"/>
              <w:right w:val="single" w:sz="4" w:space="0" w:color="auto"/>
            </w:tcBorders>
            <w:shd w:val="clear" w:color="auto" w:fill="auto"/>
            <w:hideMark/>
          </w:tcPr>
          <w:p w14:paraId="46028C24"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(links with UTMC system), technically feasible as some signage already exists, but may take time to implement and is costly. Not currently funded. </w:t>
            </w:r>
          </w:p>
        </w:tc>
      </w:tr>
      <w:tr w:rsidR="00E32B12" w:rsidRPr="00E32B12" w14:paraId="363F6676" w14:textId="77777777" w:rsidTr="00D655F2">
        <w:trPr>
          <w:trHeight w:val="187"/>
        </w:trPr>
        <w:tc>
          <w:tcPr>
            <w:tcW w:w="967" w:type="dxa"/>
            <w:tcBorders>
              <w:top w:val="nil"/>
              <w:left w:val="single" w:sz="4" w:space="0" w:color="auto"/>
              <w:bottom w:val="single" w:sz="4" w:space="0" w:color="auto"/>
              <w:right w:val="single" w:sz="4" w:space="0" w:color="auto"/>
            </w:tcBorders>
            <w:shd w:val="clear" w:color="000000" w:fill="FFF2CC"/>
            <w:vAlign w:val="center"/>
            <w:hideMark/>
          </w:tcPr>
          <w:p w14:paraId="730D1ECA"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TO5</w:t>
            </w:r>
          </w:p>
        </w:tc>
        <w:tc>
          <w:tcPr>
            <w:tcW w:w="1485" w:type="dxa"/>
            <w:tcBorders>
              <w:top w:val="nil"/>
              <w:left w:val="nil"/>
              <w:bottom w:val="single" w:sz="4" w:space="0" w:color="auto"/>
              <w:right w:val="single" w:sz="4" w:space="0" w:color="auto"/>
            </w:tcBorders>
            <w:shd w:val="clear" w:color="000000" w:fill="FFF2CC"/>
            <w:noWrap/>
            <w:vAlign w:val="center"/>
            <w:hideMark/>
          </w:tcPr>
          <w:p w14:paraId="59632FA1"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Cycling</w:t>
            </w:r>
          </w:p>
        </w:tc>
        <w:tc>
          <w:tcPr>
            <w:tcW w:w="3979" w:type="dxa"/>
            <w:tcBorders>
              <w:top w:val="nil"/>
              <w:left w:val="nil"/>
              <w:bottom w:val="single" w:sz="4" w:space="0" w:color="auto"/>
              <w:right w:val="single" w:sz="4" w:space="0" w:color="auto"/>
            </w:tcBorders>
            <w:shd w:val="clear" w:color="000000" w:fill="FFF2CC"/>
            <w:vAlign w:val="center"/>
            <w:hideMark/>
          </w:tcPr>
          <w:p w14:paraId="4D272441" w14:textId="4B4481FD"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Implement Slough </w:t>
            </w:r>
            <w:r w:rsidR="00FC2804">
              <w:rPr>
                <w:rFonts w:cs="Arial"/>
                <w:sz w:val="18"/>
                <w:szCs w:val="18"/>
                <w:lang w:eastAsia="en-GB"/>
              </w:rPr>
              <w:t xml:space="preserve">Electric </w:t>
            </w:r>
            <w:r w:rsidRPr="00E32B12">
              <w:rPr>
                <w:rFonts w:cs="Arial"/>
                <w:sz w:val="18"/>
                <w:szCs w:val="18"/>
                <w:lang w:eastAsia="en-GB"/>
              </w:rPr>
              <w:t>Cycle and Scooter Infrastructure and Hire programme, connecting key locations across the borough</w:t>
            </w:r>
            <w:r w:rsidR="006E6D92">
              <w:rPr>
                <w:rFonts w:cs="Arial"/>
                <w:sz w:val="18"/>
                <w:szCs w:val="18"/>
                <w:lang w:eastAsia="en-GB"/>
              </w:rPr>
              <w:t xml:space="preserve"> (TM1)</w:t>
            </w:r>
          </w:p>
        </w:tc>
        <w:tc>
          <w:tcPr>
            <w:tcW w:w="1644" w:type="dxa"/>
            <w:tcBorders>
              <w:top w:val="nil"/>
              <w:left w:val="nil"/>
              <w:bottom w:val="single" w:sz="4" w:space="0" w:color="auto"/>
              <w:right w:val="single" w:sz="4" w:space="0" w:color="auto"/>
            </w:tcBorders>
            <w:shd w:val="clear" w:color="000000" w:fill="FFF2CC"/>
            <w:vAlign w:val="center"/>
            <w:hideMark/>
          </w:tcPr>
          <w:p w14:paraId="71A6B99C"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ST, LTP3, LES Programme </w:t>
            </w:r>
          </w:p>
        </w:tc>
        <w:tc>
          <w:tcPr>
            <w:tcW w:w="1134" w:type="dxa"/>
            <w:tcBorders>
              <w:top w:val="nil"/>
              <w:left w:val="nil"/>
              <w:bottom w:val="single" w:sz="4" w:space="0" w:color="auto"/>
              <w:right w:val="single" w:sz="12" w:space="0" w:color="auto"/>
            </w:tcBorders>
            <w:shd w:val="clear" w:color="000000" w:fill="FFF2CC"/>
            <w:vAlign w:val="center"/>
            <w:hideMark/>
          </w:tcPr>
          <w:p w14:paraId="242B9A5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7CDFC5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4574B0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53E75F0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E3594F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18A19B02"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AC4613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8</w:t>
            </w:r>
          </w:p>
        </w:tc>
        <w:tc>
          <w:tcPr>
            <w:tcW w:w="4833" w:type="dxa"/>
            <w:tcBorders>
              <w:top w:val="nil"/>
              <w:left w:val="nil"/>
              <w:bottom w:val="single" w:sz="4" w:space="0" w:color="auto"/>
              <w:right w:val="single" w:sz="4" w:space="0" w:color="auto"/>
            </w:tcBorders>
            <w:shd w:val="clear" w:color="auto" w:fill="auto"/>
            <w:hideMark/>
          </w:tcPr>
          <w:p w14:paraId="2AD1308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Direct positive AQ impact, already in development. Expensive but not council funded (self funded).</w:t>
            </w:r>
          </w:p>
        </w:tc>
      </w:tr>
      <w:tr w:rsidR="00E32B12" w:rsidRPr="00E32B12" w14:paraId="4764686F" w14:textId="77777777" w:rsidTr="00D655F2">
        <w:trPr>
          <w:trHeight w:val="59"/>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394A9848"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TO5</w:t>
            </w:r>
          </w:p>
        </w:tc>
        <w:tc>
          <w:tcPr>
            <w:tcW w:w="1485" w:type="dxa"/>
            <w:tcBorders>
              <w:top w:val="nil"/>
              <w:left w:val="nil"/>
              <w:bottom w:val="single" w:sz="4" w:space="0" w:color="auto"/>
              <w:right w:val="single" w:sz="4" w:space="0" w:color="auto"/>
            </w:tcBorders>
            <w:shd w:val="clear" w:color="000000" w:fill="FCE4D6"/>
            <w:noWrap/>
            <w:vAlign w:val="center"/>
            <w:hideMark/>
          </w:tcPr>
          <w:p w14:paraId="7DC0CCB5"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Cycling</w:t>
            </w:r>
          </w:p>
        </w:tc>
        <w:tc>
          <w:tcPr>
            <w:tcW w:w="3979" w:type="dxa"/>
            <w:tcBorders>
              <w:top w:val="nil"/>
              <w:left w:val="nil"/>
              <w:bottom w:val="single" w:sz="4" w:space="0" w:color="auto"/>
              <w:right w:val="single" w:sz="4" w:space="0" w:color="auto"/>
            </w:tcBorders>
            <w:shd w:val="clear" w:color="000000" w:fill="FCE4D6"/>
            <w:vAlign w:val="center"/>
            <w:hideMark/>
          </w:tcPr>
          <w:p w14:paraId="687A31B0"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Provide secure undercover cycle storage with welfare/repair facilities in strategic locations e.g. within an existing building such as community hubs or shopping centre. </w:t>
            </w:r>
          </w:p>
        </w:tc>
        <w:tc>
          <w:tcPr>
            <w:tcW w:w="1644" w:type="dxa"/>
            <w:tcBorders>
              <w:top w:val="nil"/>
              <w:left w:val="nil"/>
              <w:bottom w:val="single" w:sz="4" w:space="0" w:color="auto"/>
              <w:right w:val="single" w:sz="4" w:space="0" w:color="auto"/>
            </w:tcBorders>
            <w:shd w:val="clear" w:color="000000" w:fill="FCE4D6"/>
            <w:vAlign w:val="center"/>
            <w:hideMark/>
          </w:tcPr>
          <w:p w14:paraId="32D1298B" w14:textId="226D0992" w:rsidR="00E32B12" w:rsidRPr="00E32B12" w:rsidRDefault="008C07E4" w:rsidP="00E32B12">
            <w:pPr>
              <w:spacing w:before="0" w:after="0" w:line="240" w:lineRule="auto"/>
              <w:jc w:val="center"/>
              <w:rPr>
                <w:rFonts w:cs="Arial"/>
                <w:color w:val="000000"/>
                <w:sz w:val="18"/>
                <w:szCs w:val="18"/>
                <w:lang w:eastAsia="en-GB"/>
              </w:rPr>
            </w:pPr>
            <w:r>
              <w:rPr>
                <w:rFonts w:cs="Arial"/>
                <w:color w:val="000000"/>
                <w:sz w:val="18"/>
                <w:szCs w:val="18"/>
                <w:lang w:eastAsia="en-GB"/>
              </w:rPr>
              <w:t>New</w:t>
            </w:r>
            <w:r w:rsidR="00E32B12" w:rsidRPr="00E32B12">
              <w:rPr>
                <w:rFonts w:cs="Arial"/>
                <w:color w:val="000000"/>
                <w:sz w:val="18"/>
                <w:szCs w:val="18"/>
                <w:lang w:eastAsia="en-GB"/>
              </w:rPr>
              <w:t> </w:t>
            </w:r>
          </w:p>
        </w:tc>
        <w:tc>
          <w:tcPr>
            <w:tcW w:w="1134" w:type="dxa"/>
            <w:tcBorders>
              <w:top w:val="nil"/>
              <w:left w:val="nil"/>
              <w:bottom w:val="single" w:sz="4" w:space="0" w:color="auto"/>
              <w:right w:val="single" w:sz="12" w:space="0" w:color="auto"/>
            </w:tcBorders>
            <w:shd w:val="clear" w:color="000000" w:fill="FCE4D6"/>
            <w:vAlign w:val="center"/>
            <w:hideMark/>
          </w:tcPr>
          <w:p w14:paraId="1D3395F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F0CB76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5E4339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E9B4361"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574A3D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6BDA95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516910D"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17</w:t>
            </w:r>
          </w:p>
        </w:tc>
        <w:tc>
          <w:tcPr>
            <w:tcW w:w="4833" w:type="dxa"/>
            <w:tcBorders>
              <w:top w:val="nil"/>
              <w:left w:val="nil"/>
              <w:bottom w:val="single" w:sz="4" w:space="0" w:color="auto"/>
              <w:right w:val="single" w:sz="4" w:space="0" w:color="auto"/>
            </w:tcBorders>
            <w:shd w:val="clear" w:color="auto" w:fill="auto"/>
            <w:hideMark/>
          </w:tcPr>
          <w:p w14:paraId="5DC771C5"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Direct positive AQ impact, may include some technical challenges (e.g. space/capacity), but may be quick and low cost to implement if utilising existing spaces. Funding support is likely to be needed. </w:t>
            </w:r>
          </w:p>
        </w:tc>
      </w:tr>
      <w:tr w:rsidR="00E32B12" w:rsidRPr="00E32B12" w14:paraId="6019C581" w14:textId="77777777" w:rsidTr="00D655F2">
        <w:trPr>
          <w:trHeight w:val="164"/>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72074A4E"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TO5</w:t>
            </w:r>
          </w:p>
        </w:tc>
        <w:tc>
          <w:tcPr>
            <w:tcW w:w="1485" w:type="dxa"/>
            <w:tcBorders>
              <w:top w:val="nil"/>
              <w:left w:val="nil"/>
              <w:bottom w:val="single" w:sz="4" w:space="0" w:color="auto"/>
              <w:right w:val="single" w:sz="4" w:space="0" w:color="auto"/>
            </w:tcBorders>
            <w:shd w:val="clear" w:color="000000" w:fill="FCE4D6"/>
            <w:vAlign w:val="center"/>
            <w:hideMark/>
          </w:tcPr>
          <w:p w14:paraId="1CBA8654"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Cycling</w:t>
            </w:r>
          </w:p>
        </w:tc>
        <w:tc>
          <w:tcPr>
            <w:tcW w:w="3979" w:type="dxa"/>
            <w:tcBorders>
              <w:top w:val="nil"/>
              <w:left w:val="nil"/>
              <w:bottom w:val="single" w:sz="4" w:space="0" w:color="auto"/>
              <w:right w:val="single" w:sz="4" w:space="0" w:color="auto"/>
            </w:tcBorders>
            <w:shd w:val="clear" w:color="000000" w:fill="FCE4D6"/>
            <w:vAlign w:val="center"/>
            <w:hideMark/>
          </w:tcPr>
          <w:p w14:paraId="3ABFFEE3"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 xml:space="preserve">Introduce cargo bikes into the network for businesses and residents </w:t>
            </w:r>
          </w:p>
        </w:tc>
        <w:tc>
          <w:tcPr>
            <w:tcW w:w="1644" w:type="dxa"/>
            <w:tcBorders>
              <w:top w:val="nil"/>
              <w:left w:val="nil"/>
              <w:bottom w:val="single" w:sz="4" w:space="0" w:color="auto"/>
              <w:right w:val="single" w:sz="4" w:space="0" w:color="auto"/>
            </w:tcBorders>
            <w:shd w:val="clear" w:color="000000" w:fill="FCE4D6"/>
            <w:vAlign w:val="center"/>
            <w:hideMark/>
          </w:tcPr>
          <w:p w14:paraId="72A2110B" w14:textId="7A2CC420" w:rsidR="00E32B12" w:rsidRPr="00E32B12" w:rsidRDefault="008C07E4" w:rsidP="00E32B12">
            <w:pPr>
              <w:spacing w:before="0" w:after="0" w:line="240" w:lineRule="auto"/>
              <w:jc w:val="center"/>
              <w:rPr>
                <w:rFonts w:cs="Arial"/>
                <w:color w:val="000000"/>
                <w:sz w:val="18"/>
                <w:szCs w:val="18"/>
                <w:lang w:eastAsia="en-GB"/>
              </w:rPr>
            </w:pPr>
            <w:r>
              <w:rPr>
                <w:rFonts w:cs="Arial"/>
                <w:color w:val="000000"/>
                <w:sz w:val="18"/>
                <w:szCs w:val="18"/>
                <w:lang w:eastAsia="en-GB"/>
              </w:rPr>
              <w:t>New</w:t>
            </w:r>
            <w:r w:rsidR="00E32B12" w:rsidRPr="00E32B12">
              <w:rPr>
                <w:rFonts w:cs="Arial"/>
                <w:color w:val="000000"/>
                <w:sz w:val="18"/>
                <w:szCs w:val="18"/>
                <w:lang w:eastAsia="en-GB"/>
              </w:rPr>
              <w:t> </w:t>
            </w:r>
          </w:p>
        </w:tc>
        <w:tc>
          <w:tcPr>
            <w:tcW w:w="1134" w:type="dxa"/>
            <w:tcBorders>
              <w:top w:val="nil"/>
              <w:left w:val="nil"/>
              <w:bottom w:val="single" w:sz="4" w:space="0" w:color="auto"/>
              <w:right w:val="single" w:sz="12" w:space="0" w:color="auto"/>
            </w:tcBorders>
            <w:shd w:val="clear" w:color="000000" w:fill="FCE4D6"/>
            <w:vAlign w:val="center"/>
            <w:hideMark/>
          </w:tcPr>
          <w:p w14:paraId="4E74D73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372564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4653CE3"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ADD8870"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FC7FE76"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1679E38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D1AE379"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21</w:t>
            </w:r>
          </w:p>
        </w:tc>
        <w:tc>
          <w:tcPr>
            <w:tcW w:w="4833" w:type="dxa"/>
            <w:tcBorders>
              <w:top w:val="nil"/>
              <w:left w:val="nil"/>
              <w:bottom w:val="single" w:sz="4" w:space="0" w:color="auto"/>
              <w:right w:val="single" w:sz="4" w:space="0" w:color="auto"/>
            </w:tcBorders>
            <w:shd w:val="clear" w:color="auto" w:fill="auto"/>
            <w:hideMark/>
          </w:tcPr>
          <w:p w14:paraId="6B957797"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Addresses cycle journeys that require transportation of items, positive AQ impact as it would help to reduce vehicle trips. Only at stage where cycle/scooter scheme is being reintroduced, likely to be expensive to integrate and no funding available at this stage.</w:t>
            </w:r>
          </w:p>
        </w:tc>
      </w:tr>
      <w:tr w:rsidR="00E5507F" w:rsidRPr="00E32B12" w14:paraId="05B4A110" w14:textId="77777777" w:rsidTr="00E5507F">
        <w:trPr>
          <w:trHeight w:val="59"/>
        </w:trPr>
        <w:tc>
          <w:tcPr>
            <w:tcW w:w="967" w:type="dxa"/>
            <w:tcBorders>
              <w:top w:val="nil"/>
              <w:left w:val="single" w:sz="4" w:space="0" w:color="auto"/>
              <w:bottom w:val="single" w:sz="4" w:space="0" w:color="auto"/>
              <w:right w:val="single" w:sz="4" w:space="0" w:color="auto"/>
            </w:tcBorders>
            <w:shd w:val="clear" w:color="000000" w:fill="FCE4D6"/>
            <w:noWrap/>
            <w:vAlign w:val="center"/>
            <w:hideMark/>
          </w:tcPr>
          <w:p w14:paraId="57BAC432"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TO5</w:t>
            </w:r>
          </w:p>
        </w:tc>
        <w:tc>
          <w:tcPr>
            <w:tcW w:w="1485" w:type="dxa"/>
            <w:tcBorders>
              <w:top w:val="nil"/>
              <w:left w:val="nil"/>
              <w:bottom w:val="single" w:sz="4" w:space="0" w:color="auto"/>
              <w:right w:val="single" w:sz="4" w:space="0" w:color="auto"/>
            </w:tcBorders>
            <w:shd w:val="clear" w:color="auto" w:fill="FBE4D5" w:themeFill="accent2" w:themeFillTint="33"/>
            <w:noWrap/>
            <w:vAlign w:val="center"/>
            <w:hideMark/>
          </w:tcPr>
          <w:p w14:paraId="3305A64E"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Walking</w:t>
            </w:r>
          </w:p>
        </w:tc>
        <w:tc>
          <w:tcPr>
            <w:tcW w:w="3979" w:type="dxa"/>
            <w:tcBorders>
              <w:top w:val="nil"/>
              <w:left w:val="nil"/>
              <w:bottom w:val="single" w:sz="4" w:space="0" w:color="auto"/>
              <w:right w:val="single" w:sz="4" w:space="0" w:color="auto"/>
            </w:tcBorders>
            <w:shd w:val="clear" w:color="000000" w:fill="FCE4D6"/>
            <w:vAlign w:val="center"/>
            <w:hideMark/>
          </w:tcPr>
          <w:p w14:paraId="7AC9C6A3" w14:textId="77777777" w:rsidR="00E32B12" w:rsidRPr="00E32B12" w:rsidRDefault="00E32B12" w:rsidP="00E32B12">
            <w:pPr>
              <w:spacing w:before="0" w:after="0" w:line="240" w:lineRule="auto"/>
              <w:rPr>
                <w:rFonts w:cs="Arial"/>
                <w:sz w:val="18"/>
                <w:szCs w:val="18"/>
                <w:lang w:eastAsia="en-GB"/>
              </w:rPr>
            </w:pPr>
            <w:r w:rsidRPr="00E32B12">
              <w:rPr>
                <w:rFonts w:cs="Arial"/>
                <w:sz w:val="18"/>
                <w:szCs w:val="18"/>
                <w:lang w:eastAsia="en-GB"/>
              </w:rPr>
              <w:t>Review feasibility of implementing further pedestrian zones to encourage walking &amp; alfresco dining (e.g. timed zones from 10:30am - 5:00pm, York City Centre)</w:t>
            </w:r>
          </w:p>
        </w:tc>
        <w:tc>
          <w:tcPr>
            <w:tcW w:w="1644" w:type="dxa"/>
            <w:tcBorders>
              <w:top w:val="nil"/>
              <w:left w:val="nil"/>
              <w:bottom w:val="single" w:sz="4" w:space="0" w:color="auto"/>
              <w:right w:val="single" w:sz="4" w:space="0" w:color="auto"/>
            </w:tcBorders>
            <w:shd w:val="clear" w:color="000000" w:fill="FCE4D6"/>
            <w:vAlign w:val="center"/>
            <w:hideMark/>
          </w:tcPr>
          <w:p w14:paraId="29D66649" w14:textId="53FF09EE" w:rsidR="00E32B12" w:rsidRPr="00E32B12" w:rsidRDefault="008C07E4" w:rsidP="00E32B12">
            <w:pPr>
              <w:spacing w:before="0" w:after="0" w:line="240" w:lineRule="auto"/>
              <w:jc w:val="center"/>
              <w:rPr>
                <w:rFonts w:cs="Arial"/>
                <w:color w:val="000000"/>
                <w:sz w:val="18"/>
                <w:szCs w:val="18"/>
                <w:lang w:eastAsia="en-GB"/>
              </w:rPr>
            </w:pPr>
            <w:r>
              <w:rPr>
                <w:rFonts w:cs="Arial"/>
                <w:color w:val="000000"/>
                <w:sz w:val="18"/>
                <w:szCs w:val="18"/>
                <w:lang w:eastAsia="en-GB"/>
              </w:rPr>
              <w:t>New</w:t>
            </w:r>
            <w:r w:rsidR="00E32B12" w:rsidRPr="00E32B12">
              <w:rPr>
                <w:rFonts w:cs="Arial"/>
                <w:color w:val="000000"/>
                <w:sz w:val="18"/>
                <w:szCs w:val="18"/>
                <w:lang w:eastAsia="en-GB"/>
              </w:rPr>
              <w:t> </w:t>
            </w:r>
          </w:p>
        </w:tc>
        <w:tc>
          <w:tcPr>
            <w:tcW w:w="1134" w:type="dxa"/>
            <w:tcBorders>
              <w:top w:val="nil"/>
              <w:left w:val="nil"/>
              <w:bottom w:val="single" w:sz="4" w:space="0" w:color="auto"/>
              <w:right w:val="single" w:sz="12" w:space="0" w:color="auto"/>
            </w:tcBorders>
            <w:shd w:val="clear" w:color="000000" w:fill="FCE4D6"/>
            <w:vAlign w:val="center"/>
            <w:hideMark/>
          </w:tcPr>
          <w:p w14:paraId="211EB6CB"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 xml:space="preserve">AQMA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2574D08"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A330A1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316FA8E"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397107F"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560BC2A"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B1F83E7" w14:textId="77777777" w:rsidR="00E32B12" w:rsidRPr="00E32B12" w:rsidRDefault="00E32B12" w:rsidP="00E32B12">
            <w:pPr>
              <w:spacing w:before="0" w:after="0" w:line="240" w:lineRule="auto"/>
              <w:jc w:val="center"/>
              <w:rPr>
                <w:rFonts w:cs="Arial"/>
                <w:color w:val="000000"/>
                <w:sz w:val="18"/>
                <w:szCs w:val="18"/>
                <w:lang w:eastAsia="en-GB"/>
              </w:rPr>
            </w:pPr>
            <w:r w:rsidRPr="00E32B12">
              <w:rPr>
                <w:rFonts w:cs="Arial"/>
                <w:color w:val="000000"/>
                <w:sz w:val="18"/>
                <w:szCs w:val="18"/>
                <w:lang w:eastAsia="en-GB"/>
              </w:rPr>
              <w:t>22</w:t>
            </w:r>
          </w:p>
        </w:tc>
        <w:tc>
          <w:tcPr>
            <w:tcW w:w="4833" w:type="dxa"/>
            <w:tcBorders>
              <w:top w:val="nil"/>
              <w:left w:val="nil"/>
              <w:bottom w:val="single" w:sz="4" w:space="0" w:color="auto"/>
              <w:right w:val="single" w:sz="4" w:space="0" w:color="auto"/>
            </w:tcBorders>
            <w:shd w:val="clear" w:color="auto" w:fill="auto"/>
            <w:hideMark/>
          </w:tcPr>
          <w:p w14:paraId="13141D4C" w14:textId="77777777" w:rsidR="00E32B12" w:rsidRPr="00E32B12" w:rsidRDefault="00E32B12" w:rsidP="00E32B12">
            <w:pPr>
              <w:spacing w:before="0" w:after="0" w:line="240" w:lineRule="auto"/>
              <w:rPr>
                <w:rFonts w:cs="Arial"/>
                <w:color w:val="000000"/>
                <w:sz w:val="18"/>
                <w:szCs w:val="18"/>
                <w:lang w:eastAsia="en-GB"/>
              </w:rPr>
            </w:pPr>
            <w:r w:rsidRPr="00E32B12">
              <w:rPr>
                <w:rFonts w:cs="Arial"/>
                <w:color w:val="000000"/>
                <w:sz w:val="18"/>
                <w:szCs w:val="18"/>
                <w:lang w:eastAsia="en-GB"/>
              </w:rPr>
              <w:t xml:space="preserve">Positive AQ impact but limited road space to be implemented, likely to take time and be expensive to deliver. No funding currently. </w:t>
            </w:r>
          </w:p>
        </w:tc>
      </w:tr>
    </w:tbl>
    <w:p w14:paraId="148CA991" w14:textId="77777777" w:rsidR="00540A81" w:rsidRDefault="00540A81" w:rsidP="00540A81"/>
    <w:p w14:paraId="584F3CCD" w14:textId="77777777" w:rsidR="00D655F2" w:rsidRDefault="00D655F2" w:rsidP="00540A81"/>
    <w:p w14:paraId="0CA8FC3A" w14:textId="77777777" w:rsidR="00E97512" w:rsidRDefault="00E97512">
      <w:pPr>
        <w:spacing w:before="0" w:after="0" w:line="240" w:lineRule="auto"/>
      </w:pPr>
      <w:r>
        <w:br w:type="page"/>
      </w:r>
    </w:p>
    <w:p w14:paraId="0D96468B" w14:textId="65CE8224" w:rsidR="00D655F2" w:rsidRPr="00B05F43" w:rsidRDefault="00540A81" w:rsidP="00AE2E6C">
      <w:pPr>
        <w:pStyle w:val="Tables"/>
      </w:pPr>
      <w:bookmarkStart w:id="168" w:name="_Toc160128560"/>
      <w:r w:rsidRPr="00B05F43">
        <w:lastRenderedPageBreak/>
        <w:t xml:space="preserve">Table </w:t>
      </w:r>
      <w:r w:rsidR="00B05F43">
        <w:t>C.2</w:t>
      </w:r>
      <w:r w:rsidRPr="00B05F43">
        <w:t>: Full Long List of Measures - Environment</w:t>
      </w:r>
      <w:bookmarkEnd w:id="168"/>
      <w:r w:rsidRPr="00B05F43">
        <w:t xml:space="preserve"> </w:t>
      </w:r>
    </w:p>
    <w:tbl>
      <w:tblPr>
        <w:tblW w:w="21825" w:type="dxa"/>
        <w:tblLook w:val="04A0" w:firstRow="1" w:lastRow="0" w:firstColumn="1" w:lastColumn="0" w:noHBand="0" w:noVBand="1"/>
      </w:tblPr>
      <w:tblGrid>
        <w:gridCol w:w="741"/>
        <w:gridCol w:w="1664"/>
        <w:gridCol w:w="4111"/>
        <w:gridCol w:w="1536"/>
        <w:gridCol w:w="1157"/>
        <w:gridCol w:w="1276"/>
        <w:gridCol w:w="1276"/>
        <w:gridCol w:w="1275"/>
        <w:gridCol w:w="1276"/>
        <w:gridCol w:w="1276"/>
        <w:gridCol w:w="1559"/>
        <w:gridCol w:w="4678"/>
      </w:tblGrid>
      <w:tr w:rsidR="00D655F2" w:rsidRPr="00D655F2" w14:paraId="70E49A4F" w14:textId="77777777" w:rsidTr="00B64582">
        <w:trPr>
          <w:trHeight w:val="460"/>
          <w:tblHeader/>
        </w:trPr>
        <w:tc>
          <w:tcPr>
            <w:tcW w:w="741"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FC37E2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Aim</w:t>
            </w:r>
          </w:p>
        </w:tc>
        <w:tc>
          <w:tcPr>
            <w:tcW w:w="1664" w:type="dxa"/>
            <w:tcBorders>
              <w:top w:val="single" w:sz="4" w:space="0" w:color="auto"/>
              <w:left w:val="nil"/>
              <w:bottom w:val="single" w:sz="4" w:space="0" w:color="auto"/>
              <w:right w:val="single" w:sz="4" w:space="0" w:color="auto"/>
            </w:tcBorders>
            <w:shd w:val="clear" w:color="000000" w:fill="C6E0B4"/>
            <w:vAlign w:val="center"/>
            <w:hideMark/>
          </w:tcPr>
          <w:p w14:paraId="09CBFD8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Theme </w:t>
            </w:r>
          </w:p>
        </w:tc>
        <w:tc>
          <w:tcPr>
            <w:tcW w:w="4111" w:type="dxa"/>
            <w:tcBorders>
              <w:top w:val="single" w:sz="4" w:space="0" w:color="auto"/>
              <w:left w:val="nil"/>
              <w:bottom w:val="single" w:sz="4" w:space="0" w:color="auto"/>
              <w:right w:val="single" w:sz="4" w:space="0" w:color="auto"/>
            </w:tcBorders>
            <w:shd w:val="clear" w:color="000000" w:fill="C6E0B4"/>
            <w:vAlign w:val="center"/>
            <w:hideMark/>
          </w:tcPr>
          <w:p w14:paraId="71CA100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Objective / Measure /Action</w:t>
            </w:r>
          </w:p>
        </w:tc>
        <w:tc>
          <w:tcPr>
            <w:tcW w:w="1536" w:type="dxa"/>
            <w:tcBorders>
              <w:top w:val="single" w:sz="4" w:space="0" w:color="auto"/>
              <w:left w:val="nil"/>
              <w:bottom w:val="single" w:sz="4" w:space="0" w:color="auto"/>
              <w:right w:val="single" w:sz="4" w:space="0" w:color="auto"/>
            </w:tcBorders>
            <w:shd w:val="clear" w:color="000000" w:fill="C6E0B4"/>
            <w:vAlign w:val="center"/>
            <w:hideMark/>
          </w:tcPr>
          <w:p w14:paraId="6FD5397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Policy / Strategy Alignment</w:t>
            </w:r>
          </w:p>
        </w:tc>
        <w:tc>
          <w:tcPr>
            <w:tcW w:w="1157" w:type="dxa"/>
            <w:tcBorders>
              <w:top w:val="single" w:sz="4" w:space="0" w:color="auto"/>
              <w:left w:val="nil"/>
              <w:bottom w:val="single" w:sz="4" w:space="0" w:color="auto"/>
              <w:right w:val="single" w:sz="12" w:space="0" w:color="auto"/>
            </w:tcBorders>
            <w:shd w:val="clear" w:color="000000" w:fill="C6E0B4"/>
            <w:vAlign w:val="center"/>
            <w:hideMark/>
          </w:tcPr>
          <w:p w14:paraId="620AD6D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Affected AQMAs</w:t>
            </w:r>
          </w:p>
        </w:tc>
        <w:tc>
          <w:tcPr>
            <w:tcW w:w="1276" w:type="dxa"/>
            <w:tcBorders>
              <w:top w:val="single" w:sz="4" w:space="0" w:color="auto"/>
              <w:left w:val="single" w:sz="12" w:space="0" w:color="auto"/>
              <w:bottom w:val="single" w:sz="4" w:space="0" w:color="auto"/>
              <w:right w:val="single" w:sz="4" w:space="0" w:color="auto"/>
            </w:tcBorders>
            <w:shd w:val="clear" w:color="000000" w:fill="91C36F"/>
            <w:vAlign w:val="center"/>
            <w:hideMark/>
          </w:tcPr>
          <w:p w14:paraId="54E1922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Potential for Reduction</w:t>
            </w:r>
          </w:p>
        </w:tc>
        <w:tc>
          <w:tcPr>
            <w:tcW w:w="1276" w:type="dxa"/>
            <w:tcBorders>
              <w:top w:val="single" w:sz="4" w:space="0" w:color="auto"/>
              <w:left w:val="nil"/>
              <w:bottom w:val="single" w:sz="4" w:space="0" w:color="auto"/>
              <w:right w:val="single" w:sz="4" w:space="0" w:color="auto"/>
            </w:tcBorders>
            <w:shd w:val="clear" w:color="000000" w:fill="91C36F"/>
            <w:vAlign w:val="center"/>
            <w:hideMark/>
          </w:tcPr>
          <w:p w14:paraId="6CB0F95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Technical Feasibility</w:t>
            </w:r>
          </w:p>
        </w:tc>
        <w:tc>
          <w:tcPr>
            <w:tcW w:w="1275" w:type="dxa"/>
            <w:tcBorders>
              <w:top w:val="single" w:sz="4" w:space="0" w:color="auto"/>
              <w:left w:val="nil"/>
              <w:bottom w:val="single" w:sz="4" w:space="0" w:color="auto"/>
              <w:right w:val="single" w:sz="4" w:space="0" w:color="auto"/>
            </w:tcBorders>
            <w:shd w:val="clear" w:color="000000" w:fill="91C36F"/>
            <w:vAlign w:val="center"/>
            <w:hideMark/>
          </w:tcPr>
          <w:p w14:paraId="5C5BA07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Timeframe</w:t>
            </w:r>
          </w:p>
        </w:tc>
        <w:tc>
          <w:tcPr>
            <w:tcW w:w="1276" w:type="dxa"/>
            <w:tcBorders>
              <w:top w:val="single" w:sz="4" w:space="0" w:color="auto"/>
              <w:left w:val="nil"/>
              <w:bottom w:val="single" w:sz="4" w:space="0" w:color="auto"/>
              <w:right w:val="single" w:sz="4" w:space="0" w:color="auto"/>
            </w:tcBorders>
            <w:shd w:val="clear" w:color="000000" w:fill="91C36F"/>
            <w:vAlign w:val="center"/>
            <w:hideMark/>
          </w:tcPr>
          <w:p w14:paraId="422868F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Cost</w:t>
            </w:r>
          </w:p>
        </w:tc>
        <w:tc>
          <w:tcPr>
            <w:tcW w:w="1276" w:type="dxa"/>
            <w:tcBorders>
              <w:top w:val="single" w:sz="4" w:space="0" w:color="auto"/>
              <w:left w:val="nil"/>
              <w:bottom w:val="single" w:sz="4" w:space="0" w:color="auto"/>
              <w:right w:val="single" w:sz="4" w:space="0" w:color="auto"/>
            </w:tcBorders>
            <w:shd w:val="clear" w:color="000000" w:fill="91C36F"/>
            <w:vAlign w:val="center"/>
            <w:hideMark/>
          </w:tcPr>
          <w:p w14:paraId="234FED9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Funding</w:t>
            </w:r>
          </w:p>
        </w:tc>
        <w:tc>
          <w:tcPr>
            <w:tcW w:w="1559" w:type="dxa"/>
            <w:tcBorders>
              <w:top w:val="single" w:sz="4" w:space="0" w:color="auto"/>
              <w:left w:val="nil"/>
              <w:bottom w:val="single" w:sz="4" w:space="0" w:color="auto"/>
              <w:right w:val="single" w:sz="4" w:space="0" w:color="auto"/>
            </w:tcBorders>
            <w:shd w:val="clear" w:color="000000" w:fill="91C36F"/>
            <w:vAlign w:val="center"/>
            <w:hideMark/>
          </w:tcPr>
          <w:p w14:paraId="4C5A076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Viability Score</w:t>
            </w:r>
          </w:p>
        </w:tc>
        <w:tc>
          <w:tcPr>
            <w:tcW w:w="4678" w:type="dxa"/>
            <w:tcBorders>
              <w:top w:val="single" w:sz="4" w:space="0" w:color="auto"/>
              <w:left w:val="nil"/>
              <w:bottom w:val="single" w:sz="4" w:space="0" w:color="auto"/>
              <w:right w:val="single" w:sz="4" w:space="0" w:color="auto"/>
            </w:tcBorders>
            <w:shd w:val="clear" w:color="000000" w:fill="C6E0B4"/>
            <w:vAlign w:val="center"/>
            <w:hideMark/>
          </w:tcPr>
          <w:p w14:paraId="34DBD76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Comment / Justification</w:t>
            </w:r>
          </w:p>
        </w:tc>
      </w:tr>
      <w:tr w:rsidR="00D655F2" w:rsidRPr="00D655F2" w14:paraId="2A01B741" w14:textId="77777777" w:rsidTr="00B64582">
        <w:trPr>
          <w:trHeight w:val="90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D00B28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EO1</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6ECC9E4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Air quality monitoring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AE027F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Provide a robust framework for monitoring and modelling air quality across Slough (implementation of 10 year Air Quality Monitoring programme)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4468F3A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LES Programme </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095778B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BBE459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D81890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D72A81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2A725F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16843C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7FD1B5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vAlign w:val="center"/>
            <w:hideMark/>
          </w:tcPr>
          <w:p w14:paraId="340E774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Monitoring doesn't result in AQ reductions itself, but increases understanding of trends (indirect influence).  Some technical challenges with installing new sites,  already implemented/ongoing, cost is medium, and only partially funded by GF (support from S106)</w:t>
            </w:r>
          </w:p>
        </w:tc>
      </w:tr>
      <w:tr w:rsidR="00D655F2" w:rsidRPr="00D655F2" w14:paraId="17E4BFDC"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E00CC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EO1</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145647A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Air quality monitoring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D073E43"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Maintain a database of private monitoring data undertaken in the borough, with data shared with the council on an annual basis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9EC6875" w14:textId="46FF8786"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6D701B5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0D65D8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ACE09F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D61E68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FD4E5F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587EFC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B07840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1A610AB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impact on AQ, some technical challenges with accessing data, expect engagement with data holders over 6-12 months, no expected cost to the Council</w:t>
            </w:r>
          </w:p>
        </w:tc>
      </w:tr>
      <w:tr w:rsidR="00D655F2" w:rsidRPr="00D655F2" w14:paraId="38121278"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DA1294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EO1</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6ABA224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Air quality monitoring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1C2A7B6"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Establish PM</w:t>
            </w:r>
            <w:r w:rsidRPr="00A23144">
              <w:rPr>
                <w:rFonts w:cs="Arial"/>
                <w:sz w:val="18"/>
                <w:szCs w:val="18"/>
                <w:vertAlign w:val="subscript"/>
                <w:lang w:eastAsia="en-GB"/>
              </w:rPr>
              <w:t>2.5</w:t>
            </w:r>
            <w:r w:rsidRPr="00D655F2">
              <w:rPr>
                <w:rFonts w:cs="Arial"/>
                <w:sz w:val="18"/>
                <w:szCs w:val="18"/>
                <w:lang w:eastAsia="en-GB"/>
              </w:rPr>
              <w:t xml:space="preserve"> monitoring in the borough, either as part of the Slough network or as part of the national network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3A8AC63" w14:textId="00BBFDAD"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18EA1F7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8C51BD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CCA3FF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604519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EBB526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354B1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31DE5F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4678" w:type="dxa"/>
            <w:tcBorders>
              <w:top w:val="nil"/>
              <w:left w:val="nil"/>
              <w:bottom w:val="single" w:sz="4" w:space="0" w:color="auto"/>
              <w:right w:val="single" w:sz="4" w:space="0" w:color="auto"/>
            </w:tcBorders>
            <w:shd w:val="clear" w:color="auto" w:fill="auto"/>
            <w:vAlign w:val="center"/>
            <w:hideMark/>
          </w:tcPr>
          <w:p w14:paraId="4D0AF2D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Current proposal that Defra will have PM</w:t>
            </w:r>
            <w:r w:rsidRPr="00A23144">
              <w:rPr>
                <w:rFonts w:cs="Arial"/>
                <w:color w:val="000000"/>
                <w:sz w:val="18"/>
                <w:szCs w:val="18"/>
                <w:vertAlign w:val="subscript"/>
                <w:lang w:eastAsia="en-GB"/>
              </w:rPr>
              <w:t>2.5</w:t>
            </w:r>
            <w:r w:rsidRPr="00D655F2">
              <w:rPr>
                <w:rFonts w:cs="Arial"/>
                <w:color w:val="000000"/>
                <w:sz w:val="18"/>
                <w:szCs w:val="18"/>
                <w:lang w:eastAsia="en-GB"/>
              </w:rPr>
              <w:t xml:space="preserve"> monitor in Slough - continue to support this. Indirect AQ impact but will provide invaluable PM</w:t>
            </w:r>
            <w:r w:rsidRPr="00A23144">
              <w:rPr>
                <w:rFonts w:cs="Arial"/>
                <w:color w:val="000000"/>
                <w:sz w:val="18"/>
                <w:szCs w:val="18"/>
                <w:vertAlign w:val="subscript"/>
                <w:lang w:eastAsia="en-GB"/>
              </w:rPr>
              <w:t>2.5</w:t>
            </w:r>
            <w:r w:rsidRPr="00D655F2">
              <w:rPr>
                <w:rFonts w:cs="Arial"/>
                <w:color w:val="000000"/>
                <w:sz w:val="18"/>
                <w:szCs w:val="18"/>
                <w:lang w:eastAsia="en-GB"/>
              </w:rPr>
              <w:t xml:space="preserve"> data. Feasibility is dependent on location, expected to be implemented in 1-2 years. No cost to Council</w:t>
            </w:r>
          </w:p>
        </w:tc>
      </w:tr>
      <w:tr w:rsidR="00D655F2" w:rsidRPr="00D655F2" w14:paraId="64025D1B"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85B579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EO1</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33B249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Air quality management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EF6FF82"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 xml:space="preserve">Review and manage Part A2 and Part B processes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4B4EB7B" w14:textId="3CAE2B32"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2BBA8B9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E89619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771B9D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10F4559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884307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243F7F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48C4AB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4678" w:type="dxa"/>
            <w:tcBorders>
              <w:top w:val="nil"/>
              <w:left w:val="nil"/>
              <w:bottom w:val="single" w:sz="4" w:space="0" w:color="auto"/>
              <w:right w:val="single" w:sz="4" w:space="0" w:color="auto"/>
            </w:tcBorders>
            <w:shd w:val="clear" w:color="auto" w:fill="auto"/>
            <w:vAlign w:val="center"/>
            <w:hideMark/>
          </w:tcPr>
          <w:p w14:paraId="651B511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Environmental permitting restricts emissions from processes so results in AQ improvements, very feasible and already implemented as this is an ongoing duty, income generating therefore no cost to the council </w:t>
            </w:r>
          </w:p>
        </w:tc>
      </w:tr>
      <w:tr w:rsidR="00D655F2" w:rsidRPr="00D655F2" w14:paraId="5F9C70ED"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9BAC3C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EO1</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1CF5838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Air quality management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1C2E061" w14:textId="7096EB4A" w:rsidR="00D655F2" w:rsidRPr="00D655F2" w:rsidRDefault="00E927ED" w:rsidP="00D655F2">
            <w:pPr>
              <w:spacing w:before="0" w:after="0" w:line="240" w:lineRule="auto"/>
              <w:rPr>
                <w:rFonts w:cs="Arial"/>
                <w:sz w:val="18"/>
                <w:szCs w:val="18"/>
                <w:lang w:eastAsia="en-GB"/>
              </w:rPr>
            </w:pPr>
            <w:r w:rsidRPr="00D655F2">
              <w:rPr>
                <w:rFonts w:cs="Arial"/>
                <w:sz w:val="18"/>
                <w:szCs w:val="18"/>
                <w:lang w:eastAsia="en-GB"/>
              </w:rPr>
              <w:t>Annual</w:t>
            </w:r>
            <w:r>
              <w:rPr>
                <w:rFonts w:cs="Arial"/>
                <w:sz w:val="18"/>
                <w:szCs w:val="18"/>
                <w:lang w:eastAsia="en-GB"/>
              </w:rPr>
              <w:t>ly</w:t>
            </w:r>
            <w:r w:rsidR="00D655F2" w:rsidRPr="00D655F2">
              <w:rPr>
                <w:rFonts w:cs="Arial"/>
                <w:sz w:val="18"/>
                <w:szCs w:val="18"/>
                <w:lang w:eastAsia="en-GB"/>
              </w:rPr>
              <w:t xml:space="preserve"> review Slough’s air quality trends and measures progress via the Annual Status Report to Defra</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C26AE05" w14:textId="2709C3ED"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72EEEC4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2EB406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61181F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8B3811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96C87E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3A6915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823A4E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7A7B19D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No direct impact on AQ, very feasible and already implemented as this is an ongoing duty, no cost to the Council </w:t>
            </w:r>
          </w:p>
        </w:tc>
      </w:tr>
      <w:tr w:rsidR="00D655F2" w:rsidRPr="00D655F2" w14:paraId="41E16B4C"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FA52A1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E4D513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732353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Adoption of AQ planning guidance to provide clarity to developers through the planning system and outline assessment and mitigation requirements for both air quality and transport.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C2FCD8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LTP3, AQAP 1&amp;2, AQAP3&amp;4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0EC926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EB8610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26E9EC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8CD5D2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97C8C5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A20F59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D7B8C9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4678" w:type="dxa"/>
            <w:tcBorders>
              <w:top w:val="nil"/>
              <w:left w:val="nil"/>
              <w:bottom w:val="single" w:sz="4" w:space="0" w:color="auto"/>
              <w:right w:val="single" w:sz="4" w:space="0" w:color="auto"/>
            </w:tcBorders>
            <w:shd w:val="clear" w:color="auto" w:fill="auto"/>
            <w:vAlign w:val="center"/>
            <w:hideMark/>
          </w:tcPr>
          <w:p w14:paraId="67CD166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Mitigation requirements will result in air quality improvements,  feasible and already implemented, no cost to the council</w:t>
            </w:r>
          </w:p>
        </w:tc>
      </w:tr>
      <w:tr w:rsidR="00D655F2" w:rsidRPr="00D655F2" w14:paraId="40B9A2E7" w14:textId="77777777" w:rsidTr="00B64582">
        <w:trPr>
          <w:trHeight w:val="12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FDE227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07DC2F1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507E19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 line with our Air Quality &amp; Planning Guidance, work with developers to provide practical charging solutions and support plug-in vehicle demonstration schemes on new residential and commercial developments.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A6571C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0CBEEE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A98486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F1DFA9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C228F8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4E800E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376C0B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DCBBB1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7BD54B6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impacts, very few technical challenges, quick to implement, no cost to Council. Only effective if repeated. </w:t>
            </w:r>
          </w:p>
        </w:tc>
      </w:tr>
      <w:tr w:rsidR="00D655F2" w:rsidRPr="00D655F2" w14:paraId="527B4F11"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CAB49A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235DF1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7BD4C0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Refresh travel planning guidance to align with Low Emission Strategy modal shift aims, including incentives for walking, cycling, public transport and low emission vehicle measures e.g. charging and car clubs.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4198E7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037C403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0B8E3B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004938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A9BCCA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605ED4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C6C2D0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D096CB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6D9D9C1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improvements, not technically challenging, may take time to refresh, no cost to the Council </w:t>
            </w:r>
          </w:p>
        </w:tc>
      </w:tr>
      <w:tr w:rsidR="00D655F2" w:rsidRPr="00D655F2" w14:paraId="12552960"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F95181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75CB01A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80C2E5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Refresh the developers guide on guidance for air quality assessment scope and methodology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565A1652" w14:textId="4C064173"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59171E6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6F654B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31D07F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5BC8330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A5A5D4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7B9161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290DA5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4A1492E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impact on AQ, not technically challenging, quick to implement and no cost to Council </w:t>
            </w:r>
          </w:p>
        </w:tc>
      </w:tr>
      <w:tr w:rsidR="00D655F2" w:rsidRPr="00D655F2" w14:paraId="157D3171"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820FF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503F59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3F229F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Develop supplementary planning documents for both air quality and carbon management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4C414086" w14:textId="04F1D1B2"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E55335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59E6DB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9E3BD7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0E7D8E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97977A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3F10C8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17B5BD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4678" w:type="dxa"/>
            <w:tcBorders>
              <w:top w:val="nil"/>
              <w:left w:val="nil"/>
              <w:bottom w:val="single" w:sz="4" w:space="0" w:color="auto"/>
              <w:right w:val="single" w:sz="4" w:space="0" w:color="auto"/>
            </w:tcBorders>
            <w:shd w:val="clear" w:color="auto" w:fill="auto"/>
            <w:vAlign w:val="center"/>
            <w:hideMark/>
          </w:tcPr>
          <w:p w14:paraId="647FCA3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Likely to result in AQ improvements dependent on content, currently technically challenging and long to implement due to links with the delayed Local Plan, no cost to Council expected</w:t>
            </w:r>
          </w:p>
        </w:tc>
      </w:tr>
      <w:tr w:rsidR="00D655F2" w:rsidRPr="00D655F2" w14:paraId="72356EA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EDE7BE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3843AA6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6EC08E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Maintain a construction vehicle and NRMM register for developers to demonstrate compliance against conditions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81E729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31DE6B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D27C8D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A502D2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0E11D9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738FD5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05B405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7BFB4E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408CBCD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Will hold developers accountable so likely to result in indirect AQ improvements, possibly some data sharing challenges, may take time to develop as it is reliant on developers sharing information, no cost to Council expected</w:t>
            </w:r>
          </w:p>
        </w:tc>
      </w:tr>
      <w:tr w:rsidR="00D655F2" w:rsidRPr="00D655F2" w14:paraId="6B79A91B" w14:textId="77777777" w:rsidTr="00B64582">
        <w:trPr>
          <w:trHeight w:val="447"/>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E2E1C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8FB379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88FDE6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Introduce planning requirement for major developments to consider indoor air quality where developments are close to a pollution source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2546471" w14:textId="11FF29C3"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2A9E3E6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3CC0E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66234C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08ECA7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0FA4F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DBCA5F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939255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205B593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lack of guidance and limit values may cause some technical challenges, research piece needed before implementation, no cost to Council</w:t>
            </w:r>
          </w:p>
        </w:tc>
      </w:tr>
      <w:tr w:rsidR="00D655F2" w:rsidRPr="00D655F2" w14:paraId="1FF790F9"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55957C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EO2</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3F889D7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Land use planning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70ED9D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Explore the impact of green infrastructure on air dispersion and select suitable locations for green infrastructure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FC7081C" w14:textId="1C1CA553"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18EE44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1D843E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0B27D3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A798D1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4260EA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30D2D8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B978BF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4FE1AEB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Likely to have positive AQ impacts but limited space may affect feasibility, research piece needed before implementation, no cost to the Council</w:t>
            </w:r>
          </w:p>
        </w:tc>
      </w:tr>
      <w:tr w:rsidR="00D655F2" w:rsidRPr="00D655F2" w14:paraId="35EA929B"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815DA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EO3</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38F378A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(vehicles)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F69AC4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Set minimum emission standards for all major contracts including maintenance, where vehicle use is inherent in the contract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440451A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LTP3, FC, CMP, AQAP 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4BC5BE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91FE6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7E7D29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387013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D4749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2E89E7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11306A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11F317F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Positive AQ impact, not technically challenging, may take time to integrate requirement into procurement, no cost to Council</w:t>
            </w:r>
          </w:p>
        </w:tc>
      </w:tr>
      <w:tr w:rsidR="00D655F2" w:rsidRPr="00D655F2" w14:paraId="45AFA57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307092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EO3</w:t>
            </w:r>
          </w:p>
        </w:tc>
        <w:tc>
          <w:tcPr>
            <w:tcW w:w="1664" w:type="dxa"/>
            <w:tcBorders>
              <w:top w:val="nil"/>
              <w:left w:val="nil"/>
              <w:bottom w:val="single" w:sz="4" w:space="0" w:color="auto"/>
              <w:right w:val="single" w:sz="4" w:space="0" w:color="auto"/>
            </w:tcBorders>
            <w:shd w:val="clear" w:color="auto" w:fill="FBE4D5" w:themeFill="accent2" w:themeFillTint="33"/>
            <w:vAlign w:val="center"/>
            <w:hideMark/>
          </w:tcPr>
          <w:p w14:paraId="3FF78DB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(vehicles)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1703755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Improve emissions from the council's operational fleet, including waste and recycling, light commercial and community service fleet </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7AB8E09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218C1EB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78294F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7999CB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B1D581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FCA4F9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F5D164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212C45E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19</w:t>
            </w:r>
          </w:p>
        </w:tc>
        <w:tc>
          <w:tcPr>
            <w:tcW w:w="4678" w:type="dxa"/>
            <w:tcBorders>
              <w:top w:val="nil"/>
              <w:left w:val="nil"/>
              <w:bottom w:val="single" w:sz="4" w:space="0" w:color="auto"/>
              <w:right w:val="single" w:sz="4" w:space="0" w:color="auto"/>
            </w:tcBorders>
            <w:shd w:val="clear" w:color="auto" w:fill="auto"/>
            <w:vAlign w:val="center"/>
            <w:hideMark/>
          </w:tcPr>
          <w:p w14:paraId="3A82C44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Positive AQ impact, not technically difficult. ULEVs may be cost prohibitive unless leased, but there may be cheaper, cleaner alternatives. Needs further work to understand costs. </w:t>
            </w:r>
          </w:p>
        </w:tc>
      </w:tr>
      <w:tr w:rsidR="00D655F2" w:rsidRPr="00D655F2" w14:paraId="01A6E0BB"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E6B946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lastRenderedPageBreak/>
              <w:t>EO3</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0028386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(vehicles)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207FE3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Ensure a mandatory environmental reporting requirement is built into tender specifications, with a focus on carbon emissions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7B04C1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LTP3, CMP (Priority 6)</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162E00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9381FD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92A4BA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6A529A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93A9E7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8DD1B2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568B48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7CE1E8A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not technically challenging, may take time to integrate requirement into procurement, no cost to Council</w:t>
            </w:r>
          </w:p>
        </w:tc>
      </w:tr>
      <w:tr w:rsidR="00D655F2" w:rsidRPr="00D655F2" w14:paraId="66EE6683" w14:textId="77777777" w:rsidTr="00B64582">
        <w:trPr>
          <w:trHeight w:val="102"/>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A0810D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EO3</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227BF19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(vehicles)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7EEE95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Use whole life costs in the evaluation of vehicle procurement exercises (CVTR Regs), including the consideration of alternatives to diesel technology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379B79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F86178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6410B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856B09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0C1526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383AA3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D26B83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1759F1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5866483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improvements, not technically challenging, may take time to integrate into procurement, no cost to the Council</w:t>
            </w:r>
          </w:p>
        </w:tc>
      </w:tr>
      <w:tr w:rsidR="00D655F2" w:rsidRPr="00D655F2" w14:paraId="5FFC2C86"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62DF905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EO4</w:t>
            </w:r>
          </w:p>
        </w:tc>
        <w:tc>
          <w:tcPr>
            <w:tcW w:w="1664" w:type="dxa"/>
            <w:tcBorders>
              <w:top w:val="nil"/>
              <w:left w:val="nil"/>
              <w:bottom w:val="single" w:sz="4" w:space="0" w:color="auto"/>
              <w:right w:val="single" w:sz="4" w:space="0" w:color="auto"/>
            </w:tcBorders>
            <w:shd w:val="clear" w:color="auto" w:fill="FBE4D5" w:themeFill="accent2" w:themeFillTint="33"/>
            <w:noWrap/>
            <w:vAlign w:val="center"/>
            <w:hideMark/>
          </w:tcPr>
          <w:p w14:paraId="35B086B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Staff emissions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02DB82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Ensure the council’s technology infrastructure is sufficient to support and encourage agile working</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04FFAD6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CCS</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5FAC297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ABF033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CEBE23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0518A5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335980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A153B2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6B8A0F8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17</w:t>
            </w:r>
          </w:p>
        </w:tc>
        <w:tc>
          <w:tcPr>
            <w:tcW w:w="4678" w:type="dxa"/>
            <w:tcBorders>
              <w:top w:val="nil"/>
              <w:left w:val="nil"/>
              <w:bottom w:val="single" w:sz="4" w:space="0" w:color="auto"/>
              <w:right w:val="single" w:sz="4" w:space="0" w:color="auto"/>
            </w:tcBorders>
            <w:shd w:val="clear" w:color="auto" w:fill="auto"/>
            <w:vAlign w:val="center"/>
            <w:hideMark/>
          </w:tcPr>
          <w:p w14:paraId="2A82337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already in progress (most staff have WFH access but some roles are not able to be fully remote). Also studies suggest that WFH results in more carbon emissions so a balance is more likely to be effective than full agile working</w:t>
            </w:r>
          </w:p>
        </w:tc>
      </w:tr>
      <w:tr w:rsidR="00D655F2" w:rsidRPr="00D655F2" w14:paraId="773483B9"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6844EC8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EO4</w:t>
            </w:r>
          </w:p>
        </w:tc>
        <w:tc>
          <w:tcPr>
            <w:tcW w:w="1664" w:type="dxa"/>
            <w:tcBorders>
              <w:top w:val="nil"/>
              <w:left w:val="nil"/>
              <w:bottom w:val="single" w:sz="4" w:space="0" w:color="auto"/>
              <w:right w:val="single" w:sz="4" w:space="0" w:color="auto"/>
            </w:tcBorders>
            <w:shd w:val="clear" w:color="auto" w:fill="FBE4D5" w:themeFill="accent2" w:themeFillTint="33"/>
            <w:noWrap/>
            <w:vAlign w:val="center"/>
            <w:hideMark/>
          </w:tcPr>
          <w:p w14:paraId="37335E7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Staff emissions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48BD0B5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Decarbonise SBC vehicle fleet by promoting electric vehicles and explore feasibility of expanding the pool fleet programme (electric cars and e-bikes) </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17692DA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CMP, FC</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3909FF3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F91CC9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763436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61DB23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C4BB69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FA9607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7FE61D8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vAlign w:val="center"/>
            <w:hideMark/>
          </w:tcPr>
          <w:p w14:paraId="3A089B2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Expanding pool fleet reduces need for staff to drive to work so has direct AQ impact, however currently no funding to support expansion of pool fleet so currently on hold. </w:t>
            </w:r>
          </w:p>
        </w:tc>
      </w:tr>
      <w:tr w:rsidR="00D655F2" w:rsidRPr="00D655F2" w14:paraId="1E34984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34AE53A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EO4</w:t>
            </w:r>
          </w:p>
        </w:tc>
        <w:tc>
          <w:tcPr>
            <w:tcW w:w="1664" w:type="dxa"/>
            <w:tcBorders>
              <w:top w:val="nil"/>
              <w:left w:val="nil"/>
              <w:bottom w:val="single" w:sz="4" w:space="0" w:color="auto"/>
              <w:right w:val="single" w:sz="4" w:space="0" w:color="auto"/>
            </w:tcBorders>
            <w:shd w:val="clear" w:color="auto" w:fill="FBE4D5" w:themeFill="accent2" w:themeFillTint="33"/>
            <w:noWrap/>
            <w:vAlign w:val="center"/>
            <w:hideMark/>
          </w:tcPr>
          <w:p w14:paraId="1ECB386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Staff emissions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753FBD5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Explore feasibility of implementing a hire car scheme for longer out of Borough journeys</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2950222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FC</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023B00C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C994DC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4A68D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1A5203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6D2314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8B9535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08BE6B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20</w:t>
            </w:r>
          </w:p>
        </w:tc>
        <w:tc>
          <w:tcPr>
            <w:tcW w:w="4678" w:type="dxa"/>
            <w:tcBorders>
              <w:top w:val="nil"/>
              <w:left w:val="nil"/>
              <w:bottom w:val="single" w:sz="4" w:space="0" w:color="auto"/>
              <w:right w:val="single" w:sz="4" w:space="0" w:color="auto"/>
            </w:tcBorders>
            <w:shd w:val="clear" w:color="auto" w:fill="auto"/>
            <w:vAlign w:val="center"/>
            <w:hideMark/>
          </w:tcPr>
          <w:p w14:paraId="0C2FBB6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Further reduces need for staff to travel to work or use car for work purposes, so has direct AQ impact, however not funded so on hold</w:t>
            </w:r>
          </w:p>
        </w:tc>
      </w:tr>
      <w:tr w:rsidR="00D655F2" w:rsidRPr="00D655F2" w14:paraId="658F2295"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2C301C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EO4</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6E27562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Staff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62003F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Redevelop the Council staff travel plan including a travel hierarchy and reintroduction of the cycle to work scheme, to promote sustainable travel modes to work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4545A5D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1&amp;2</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BF864C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33FE6B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581BC1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D19832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6C8CC2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04DBAD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1063B9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572946D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Semi-indirect impact on AQ, not technically challenging, time needed to develop plan, but no cost to Council </w:t>
            </w:r>
          </w:p>
        </w:tc>
      </w:tr>
      <w:tr w:rsidR="00D655F2" w:rsidRPr="00D655F2" w14:paraId="28F34DD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F2E99BA" w14:textId="77777777" w:rsidR="00D655F2" w:rsidRPr="00D655F2" w:rsidRDefault="00D655F2" w:rsidP="00D655F2">
            <w:pPr>
              <w:spacing w:before="0" w:after="0" w:line="240" w:lineRule="auto"/>
              <w:jc w:val="center"/>
              <w:rPr>
                <w:rFonts w:cs="Arial"/>
                <w:sz w:val="18"/>
                <w:szCs w:val="18"/>
                <w:lang w:eastAsia="en-GB"/>
              </w:rPr>
            </w:pPr>
            <w:r w:rsidRPr="00D655F2">
              <w:rPr>
                <w:rFonts w:cs="Arial"/>
                <w:sz w:val="18"/>
                <w:szCs w:val="18"/>
                <w:lang w:eastAsia="en-GB"/>
              </w:rPr>
              <w:t>EO4</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79CC481D"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Staff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CF76EAE"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Explore feasibility of introducing an environmental awareness module into the council's mandatory training schedule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B5DE3A7"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 xml:space="preserve">CMP </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BF33A5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D12BA3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27E547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37BA24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90CCB4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ADFC5C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5B237D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3115B5F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but effective method of increasing AQ awareness, may need time to develop module and some costs may be incurred, may be possible to fund via public health or S106 </w:t>
            </w:r>
          </w:p>
        </w:tc>
      </w:tr>
      <w:tr w:rsidR="00D655F2" w:rsidRPr="00D655F2" w14:paraId="00E5600C"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8FD8A3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1AC55C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Taxi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5B632EB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Re-introduce minimum emission standards for both hackney carriages and private hire vehicles that comply with national clean air requirements and promote ULEVs.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70445F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TL</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9FD485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4CCCDC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FFF30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BF5475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BBFADF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381241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C522D8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4678" w:type="dxa"/>
            <w:tcBorders>
              <w:top w:val="nil"/>
              <w:left w:val="nil"/>
              <w:bottom w:val="single" w:sz="4" w:space="0" w:color="auto"/>
              <w:right w:val="single" w:sz="4" w:space="0" w:color="auto"/>
            </w:tcBorders>
            <w:shd w:val="clear" w:color="auto" w:fill="auto"/>
            <w:vAlign w:val="center"/>
            <w:hideMark/>
          </w:tcPr>
          <w:p w14:paraId="67AA074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Measure actively reduces taxi emissions, however challenging to implement and will take time to integrate back into policy. Currently on hold. </w:t>
            </w:r>
          </w:p>
        </w:tc>
      </w:tr>
      <w:tr w:rsidR="00D655F2" w:rsidRPr="00D655F2" w14:paraId="42EF3046"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AA2638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2D0401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Taxi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A371A2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Support the development of Smart Apps for taxi drivers to connect with EV charging infrastructure and for customers to connect to ULEV taxis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EF330A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29EFC8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84B33F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81571E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9BFAFC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9C6CDF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AD9504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DEAA1A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0D48F51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 some technical challenges with taxi trade, but fairly quick to implement, may be delivered using S106 or defra funding as part of the demo scheme </w:t>
            </w:r>
          </w:p>
        </w:tc>
      </w:tr>
      <w:tr w:rsidR="00D655F2" w:rsidRPr="00D655F2" w14:paraId="4492DD4E"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D1BBAC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BD8695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Taxi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84DDF6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Facilitate trade days for taxi drivers to meet with ULEV taxi manufacturers/retailers, infrastructure providers and other support organisations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E7F95F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FA8AC4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4E6C6C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464EB8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EAB8F9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6AFE0D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4510A7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40B752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769B72D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 quick and simple to implement, no cost to Council. Only effective if repeated. </w:t>
            </w:r>
          </w:p>
        </w:tc>
      </w:tr>
      <w:tr w:rsidR="00D655F2" w:rsidRPr="00D655F2" w14:paraId="498B224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140E2C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1481C1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Taxi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66B9D7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Work with taxi operators to improve the environmental performance of their vehicles and operations e.g. through promoting best practice use of ranks, improvements in engine maintenance and technology, fuel efficient driving and anti-idling</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984ADA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2206CE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A20DE3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9F957C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DA8E3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320218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2B3B66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36A40C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4678" w:type="dxa"/>
            <w:tcBorders>
              <w:top w:val="nil"/>
              <w:left w:val="nil"/>
              <w:bottom w:val="single" w:sz="4" w:space="0" w:color="auto"/>
              <w:right w:val="single" w:sz="4" w:space="0" w:color="auto"/>
            </w:tcBorders>
            <w:shd w:val="clear" w:color="auto" w:fill="auto"/>
            <w:vAlign w:val="center"/>
            <w:hideMark/>
          </w:tcPr>
          <w:p w14:paraId="3E43C93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quick and simple to implement, no cost to Council</w:t>
            </w:r>
          </w:p>
        </w:tc>
      </w:tr>
      <w:tr w:rsidR="00D655F2" w:rsidRPr="00D655F2" w14:paraId="59E2D589" w14:textId="77777777" w:rsidTr="00B64582">
        <w:trPr>
          <w:trHeight w:val="574"/>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79AF4C8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BE4D5" w:themeFill="accent2" w:themeFillTint="33"/>
            <w:vAlign w:val="center"/>
            <w:hideMark/>
          </w:tcPr>
          <w:p w14:paraId="551769C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Bus emissions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7E41BAA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Support introduction of electric buses on the network, by continuing to support short term electric bus route trials and develop proposals to deliver the electric bus A4 smart service programme </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3AA27DD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06C1C3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276A4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C852A8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BBDC1F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09C694F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24DB41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A022FC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23</w:t>
            </w:r>
          </w:p>
        </w:tc>
        <w:tc>
          <w:tcPr>
            <w:tcW w:w="4678" w:type="dxa"/>
            <w:tcBorders>
              <w:top w:val="nil"/>
              <w:left w:val="nil"/>
              <w:bottom w:val="single" w:sz="4" w:space="0" w:color="auto"/>
              <w:right w:val="single" w:sz="4" w:space="0" w:color="auto"/>
            </w:tcBorders>
            <w:shd w:val="clear" w:color="auto" w:fill="auto"/>
            <w:vAlign w:val="center"/>
            <w:hideMark/>
          </w:tcPr>
          <w:p w14:paraId="60EF5D8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Electric buses would improve AQ however technically difficult due to lack of available charging infrastructure, expensive, likely to take time to develop solutions</w:t>
            </w:r>
          </w:p>
        </w:tc>
      </w:tr>
      <w:tr w:rsidR="00D655F2" w:rsidRPr="00D655F2" w14:paraId="7B78F5BD"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E26C10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5FC84F0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Bus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28DD5B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Work with bus operators through the Enhanced Bus Partnership to achieve continuing improvements in bus emissions, promote ultra-low emission buses and consider alternatives to diesel technology such as methane / biomethane, hydrogen and electric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64D344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LTP3, AQAP1-4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ADAB33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319829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4B3DD9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3495BB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050AEE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253E1C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4709C9A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14</w:t>
            </w:r>
          </w:p>
        </w:tc>
        <w:tc>
          <w:tcPr>
            <w:tcW w:w="4678" w:type="dxa"/>
            <w:tcBorders>
              <w:top w:val="nil"/>
              <w:left w:val="nil"/>
              <w:bottom w:val="single" w:sz="4" w:space="0" w:color="auto"/>
              <w:right w:val="single" w:sz="4" w:space="0" w:color="auto"/>
            </w:tcBorders>
            <w:shd w:val="clear" w:color="auto" w:fill="auto"/>
            <w:vAlign w:val="center"/>
            <w:hideMark/>
          </w:tcPr>
          <w:p w14:paraId="5D89687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Improved emissions, but likely to be technically challenging to deliver and would likely be a longer term aim. Some funding availability but not yet allocated and not enough to support full delivery of measure</w:t>
            </w:r>
          </w:p>
        </w:tc>
      </w:tr>
      <w:tr w:rsidR="00D655F2" w:rsidRPr="00D655F2" w14:paraId="054E494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A785E6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26CB64B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Bus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3E3E0F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Work with operators to promote programmes to encourage fuel efficient driving and switching off engines when stationary.</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83AB38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F05502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9E0BE6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DF59E9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2D27FB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0798BE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1F91E9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D187D5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4F8D930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Likely to result in AQ improvements if successful, possibly some technical challenges, efficient driving techniques likely to take time to deliver to operators, no cost to the Council. Only effective if repeated. </w:t>
            </w:r>
          </w:p>
        </w:tc>
      </w:tr>
      <w:tr w:rsidR="00D655F2" w:rsidRPr="00D655F2" w14:paraId="2E84412E"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5D616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EO5</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46DE8D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Bus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78A135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Explore and support, where possible, funding opportunities to reduce emissions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1715A46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45130E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9CCEE5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5DF9DA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5EB0C0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DC95F6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15CEEB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53DF01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042F881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Facilitiates AQ improvement but no improvement itself. Exploring funding is very feasible, quick to undertake and at no cost </w:t>
            </w:r>
          </w:p>
        </w:tc>
      </w:tr>
      <w:tr w:rsidR="00D655F2" w:rsidRPr="00D655F2" w14:paraId="51212BFE"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22C55A5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lastRenderedPageBreak/>
              <w:t>EO6</w:t>
            </w:r>
          </w:p>
        </w:tc>
        <w:tc>
          <w:tcPr>
            <w:tcW w:w="1664" w:type="dxa"/>
            <w:tcBorders>
              <w:top w:val="nil"/>
              <w:left w:val="nil"/>
              <w:bottom w:val="single" w:sz="4" w:space="0" w:color="auto"/>
              <w:right w:val="single" w:sz="4" w:space="0" w:color="auto"/>
            </w:tcBorders>
            <w:shd w:val="clear" w:color="auto" w:fill="FBE4D5" w:themeFill="accent2" w:themeFillTint="33"/>
            <w:vAlign w:val="center"/>
            <w:hideMark/>
          </w:tcPr>
          <w:p w14:paraId="082803F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(buildings)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022CE95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Take all opportunities during refurbishment works to install the most energy efficient plant and building operation methods, include energy efficiency into asset management plans and develop a sustainable energy model/plan (CMP priority 1)</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10002A1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CMP</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715C51E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DBF2B0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9E2FEE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45A409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56C6B5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B5EF94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058E826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20</w:t>
            </w:r>
          </w:p>
        </w:tc>
        <w:tc>
          <w:tcPr>
            <w:tcW w:w="4678" w:type="dxa"/>
            <w:tcBorders>
              <w:top w:val="nil"/>
              <w:left w:val="nil"/>
              <w:bottom w:val="single" w:sz="4" w:space="0" w:color="auto"/>
              <w:right w:val="single" w:sz="4" w:space="0" w:color="auto"/>
            </w:tcBorders>
            <w:shd w:val="clear" w:color="auto" w:fill="auto"/>
            <w:vAlign w:val="center"/>
            <w:hideMark/>
          </w:tcPr>
          <w:p w14:paraId="472E2A7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Likely to result in positive AQ impact, some technical challenges. Refurbishment works take time to implement and are likely to be expensive to install initally, but result in savings later. Only viable if fully grant funded, therefore currently on hold </w:t>
            </w:r>
          </w:p>
        </w:tc>
      </w:tr>
      <w:tr w:rsidR="00D655F2" w:rsidRPr="00D655F2" w14:paraId="1304DB6D"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0A191A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BE4D5" w:themeFill="accent2" w:themeFillTint="33"/>
            <w:vAlign w:val="center"/>
            <w:hideMark/>
          </w:tcPr>
          <w:p w14:paraId="515DA07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Operational emissions (buildings)</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0FE1C52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Continue implementation of RE:FIT Programme (Energy efficiency and renewable energy refurbishment scheme) to improve the energy efficiency of Council corporate building estate. </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635653B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CMP</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01D79EA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7EE457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AEB7CB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71C2F7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6F56419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B1F621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E0338E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22</w:t>
            </w:r>
          </w:p>
        </w:tc>
        <w:tc>
          <w:tcPr>
            <w:tcW w:w="4678" w:type="dxa"/>
            <w:tcBorders>
              <w:top w:val="nil"/>
              <w:left w:val="nil"/>
              <w:bottom w:val="single" w:sz="4" w:space="0" w:color="auto"/>
              <w:right w:val="single" w:sz="4" w:space="0" w:color="auto"/>
            </w:tcBorders>
            <w:shd w:val="clear" w:color="auto" w:fill="auto"/>
            <w:vAlign w:val="center"/>
            <w:hideMark/>
          </w:tcPr>
          <w:p w14:paraId="3CAB4F1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Likely to result in positive AQ impact, some technical challenges. Refurbishment works take time to implement and are likely to be expensive to install initally, but result in savings later. Only viable if fully grant funded, therefore currently on hold </w:t>
            </w:r>
          </w:p>
        </w:tc>
      </w:tr>
      <w:tr w:rsidR="00D655F2" w:rsidRPr="00D655F2" w14:paraId="747CADEF"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62AA6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303122E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Partnerships - Communities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8145201"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Support residents of Slough to reduce heating emissions through government funded retrofit projects such as the Home Upgrade Grant (HUG2) scheme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E9ACDA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CMP</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43D0389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AQMA 3 +Ext, 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618BAA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DBE37F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575022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4DF5C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7F98E6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BD9E22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10C519D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HUG2 scheme can help to reduce domestic portion of background emissions. Scheme overall is technically challenging spanning 1-2 years, but grant funded</w:t>
            </w:r>
          </w:p>
        </w:tc>
      </w:tr>
      <w:tr w:rsidR="00D655F2" w:rsidRPr="00D655F2" w14:paraId="4832592A" w14:textId="77777777" w:rsidTr="00B64582">
        <w:trPr>
          <w:trHeight w:val="215"/>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E29947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C30C58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Communities / Businesses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616F6CF"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 xml:space="preserve">Support implementation of District Heating plans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A07151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CCS</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3CC15F3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AQMA 3 +Ext, AQMA 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16F640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95C40B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32BC2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30C5822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41E0BE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FBB3D3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3D28257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Reduces domestic portion of background emissions, some technical challenges but likely to take 2+ years to implement at high cost, although expected cost covered by supplier</w:t>
            </w:r>
          </w:p>
        </w:tc>
      </w:tr>
      <w:tr w:rsidR="00D655F2" w:rsidRPr="00D655F2" w14:paraId="14BBEF4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E9381A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0BE235B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(Freight Partnership)</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032A67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Initiate Freight Quality Partnership to develop freight management plans which consider solutions to delivery congestion, lorry parking, routing options to avoid AQMAs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228CA9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LTP3, AQAP 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1F0046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FE4CE1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7C2FB7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E358CB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76376A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DCBFDC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5D265C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639636A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not technically challenging, relatively quick to implement, at no cost to Council</w:t>
            </w:r>
          </w:p>
        </w:tc>
      </w:tr>
      <w:tr w:rsidR="00D655F2" w:rsidRPr="00D655F2" w14:paraId="074851A0"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8D7304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263606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975C54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Work with commercial fleet operators to develop social value/ corporate social responsibility procurement criteria which uses whole-life costing during vehicle procurement to promote economic as well as environmental and health benefits from low emission HGVs and LGVs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61F072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5F62E18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F73AB6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383455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E07F9F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30E418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4F4404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95340D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39EAFF1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some technical challenges, may take time to implement but no cost to the council</w:t>
            </w:r>
          </w:p>
        </w:tc>
      </w:tr>
      <w:tr w:rsidR="00D655F2" w:rsidRPr="00D655F2" w14:paraId="6B26B6B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C7012C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728E651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hideMark/>
          </w:tcPr>
          <w:p w14:paraId="5BC81D4F" w14:textId="77777777" w:rsidR="00D655F2" w:rsidRPr="00D655F2" w:rsidRDefault="00D655F2" w:rsidP="00D655F2">
            <w:pPr>
              <w:spacing w:before="0" w:after="240" w:line="240" w:lineRule="auto"/>
              <w:rPr>
                <w:rFonts w:cs="Arial"/>
                <w:color w:val="000000"/>
                <w:sz w:val="18"/>
                <w:szCs w:val="18"/>
                <w:lang w:eastAsia="en-GB"/>
              </w:rPr>
            </w:pPr>
            <w:r w:rsidRPr="00D655F2">
              <w:rPr>
                <w:rFonts w:cs="Arial"/>
                <w:color w:val="000000"/>
                <w:sz w:val="18"/>
                <w:szCs w:val="18"/>
                <w:lang w:eastAsia="en-GB"/>
              </w:rPr>
              <w:t>Working with freight and logistics operators to improve the environmental performance of their lorry and van fleets and operations with greater use of cleaner technology and alternative fuels.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7193B5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0E0631B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EAD899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284B02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766FF3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559D7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2ADE16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3AE2A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0B94EBC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some technical challenges, may take time to implement but no cost to the council</w:t>
            </w:r>
          </w:p>
        </w:tc>
      </w:tr>
      <w:tr w:rsidR="00D655F2" w:rsidRPr="00D655F2" w14:paraId="1FBD6BE6"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73C80D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77289E2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C49739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Explore ways of improving fleet fuel efficiency performance including potential introduction of ECO Stars Fleet Recognition Scheme award scheme for efficient and cleaner fleet vehicles.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58E49E9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55A57B0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86E53E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B96796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6BC10C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7DC6A2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DE1151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EF1D7C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1EF1079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some technical challenges, may take time to implement but no cost to the council</w:t>
            </w:r>
          </w:p>
        </w:tc>
      </w:tr>
      <w:tr w:rsidR="00D655F2" w:rsidRPr="00D655F2" w14:paraId="500ED381"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0E11EF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176CA28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DA2BCA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Work with operators to encourage drivers to switch off engines when stationary</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72C165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1616F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1F3094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3B8EE2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893ED9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E0F450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AD8D33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B2C00D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6228BE0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Anti-idling reduces emissions, some technical challenges, may take time to implement but no cost to the council</w:t>
            </w:r>
          </w:p>
        </w:tc>
      </w:tr>
      <w:tr w:rsidR="00D655F2" w:rsidRPr="00D655F2" w14:paraId="336B75C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D4E83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79DD2C1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4F26632" w14:textId="1B2C940E"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Work with freight organisations to look at alternatives to diesel powered </w:t>
            </w:r>
            <w:r w:rsidR="00183E02" w:rsidRPr="00D655F2">
              <w:rPr>
                <w:rFonts w:cs="Arial"/>
                <w:color w:val="000000"/>
                <w:sz w:val="18"/>
                <w:szCs w:val="18"/>
                <w:lang w:eastAsia="en-GB"/>
              </w:rPr>
              <w:t>refrigeration</w:t>
            </w:r>
            <w:r w:rsidRPr="00D655F2">
              <w:rPr>
                <w:rFonts w:cs="Arial"/>
                <w:color w:val="000000"/>
                <w:sz w:val="18"/>
                <w:szCs w:val="18"/>
                <w:lang w:eastAsia="en-GB"/>
              </w:rPr>
              <w:t xml:space="preserve"> units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52476A3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8C1FEC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5588A8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0C78CF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5278192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46AC2B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EBBD6F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733AE2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4678" w:type="dxa"/>
            <w:tcBorders>
              <w:top w:val="nil"/>
              <w:left w:val="nil"/>
              <w:bottom w:val="single" w:sz="4" w:space="0" w:color="auto"/>
              <w:right w:val="single" w:sz="4" w:space="0" w:color="auto"/>
            </w:tcBorders>
            <w:shd w:val="clear" w:color="auto" w:fill="auto"/>
            <w:vAlign w:val="center"/>
            <w:hideMark/>
          </w:tcPr>
          <w:p w14:paraId="54AE07B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very few technical challenges, quick to implement, no cost to Council</w:t>
            </w:r>
          </w:p>
        </w:tc>
      </w:tr>
      <w:tr w:rsidR="00D655F2" w:rsidRPr="00D655F2" w14:paraId="3094886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928C9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5D285E4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0B50F4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Arrange demonstration schemes to encourage use of electric delivery vehicles, especially in relation to last mile delivery operations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D17CF9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583A1B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5DF6C1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74308F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1BCF9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9BD702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385812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3B7C8E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1CA2E76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 very few technical challenges, quick to implement, no cost to Council. Only effective if repeated. </w:t>
            </w:r>
          </w:p>
        </w:tc>
      </w:tr>
      <w:tr w:rsidR="00D655F2" w:rsidRPr="00D655F2" w14:paraId="6F87CA1D"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D41A86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6AE6D1E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40FA49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Collaborate with the Thames Valley Berkshire Local Enterprise Partnership to help businesses achieve resource efficiency savings and to attract investment in ULEV technology and infrastructure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572A4A0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0C672DE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D591A0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E48B5A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66E384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D7145B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D8B91F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E6B4B1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452D224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some technical challenges, will take time to implement but no cost to the council</w:t>
            </w:r>
          </w:p>
        </w:tc>
      </w:tr>
      <w:tr w:rsidR="00D655F2" w:rsidRPr="00D655F2" w14:paraId="4CACEB0C"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761A4B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07F89C6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795F84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Explore options to increase access to electric infrastructure to support ultra low emission freight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F62D79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0DF4C7B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29EA30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AE029F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4B5CE7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DBE290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339F40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153606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06A6EBB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research piece needed may take some time, but very feasible and no cost to Council</w:t>
            </w:r>
          </w:p>
        </w:tc>
      </w:tr>
      <w:tr w:rsidR="00D655F2" w:rsidRPr="00D655F2" w14:paraId="7A5EB73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0C20DF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F9E981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23CAE2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Support projects which promote alternative fuelling facilities such as gas, biomethane and hydrogen</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CF0D55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E34808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F32CD4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AF9CC6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C223F7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8E981B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122EA7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38A3AB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18FB43A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likely to take time to support viable alternatives for promotion to be effective, no cost to Council</w:t>
            </w:r>
          </w:p>
        </w:tc>
      </w:tr>
      <w:tr w:rsidR="00D655F2" w:rsidRPr="00D655F2" w14:paraId="3830FAB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A8254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lastRenderedPageBreak/>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33ABF74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(vehicle emissions)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73A45B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Investigate trials for new technology where appropriate and act as a point of information for businesses and major fleet operators in the area.</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419279E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AQAP1&amp;2</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2B5B00F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D3FBA3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0D8F28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DDD179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5DF8B2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BEAE61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D8A92D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282F432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research piece needed may take some time, but very feasible and no cost to Council</w:t>
            </w:r>
          </w:p>
        </w:tc>
      </w:tr>
      <w:tr w:rsidR="00D655F2" w:rsidRPr="00D655F2" w14:paraId="13E21793"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A0F823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50027CB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(trip reduction)</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A77A6C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Encourage more freight to be transported by rail for long-haul journeys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B4573B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2274E40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95CFBB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F31A27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E33EEA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956602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1B3342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2E36A7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1977617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only feasible for businesses near rail stations, engagement likely needed over longer period, no cost to Council</w:t>
            </w:r>
          </w:p>
        </w:tc>
      </w:tr>
      <w:tr w:rsidR="00D655F2" w:rsidRPr="00D655F2" w14:paraId="50B6B1DD" w14:textId="77777777" w:rsidTr="00B64582">
        <w:trPr>
          <w:trHeight w:val="243"/>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AF2EF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52AA1F1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(trip reduction)</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37768E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Encourage both the public and private sector to consider freight vehicle movements through Delivery Service Plans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70064E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52C870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844001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3C52EB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1E9D850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C05755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873B15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966766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5AD8F83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Semi-indirect AQ impact, engagement likely needed over longer period, no cost to Council</w:t>
            </w:r>
          </w:p>
        </w:tc>
      </w:tr>
      <w:tr w:rsidR="00D655F2" w:rsidRPr="00D655F2" w14:paraId="4A19753B" w14:textId="77777777" w:rsidTr="00B64582">
        <w:trPr>
          <w:trHeight w:val="155"/>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BD2565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BE4D5" w:themeFill="accent2" w:themeFillTint="33"/>
            <w:vAlign w:val="center"/>
            <w:hideMark/>
          </w:tcPr>
          <w:p w14:paraId="1F47D08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Businesses (trip reduction)</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11895D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Explore with freight/ logistics operators the potential for a freight consolidation centre to cater for town centre deliveries.</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4739A3D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AQAP3&amp;4</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09501CB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169901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9CA6BE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59A155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331B30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74AECAA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70A0FC5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vAlign w:val="center"/>
            <w:hideMark/>
          </w:tcPr>
          <w:p w14:paraId="6AFEC00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Direct positive AQ impact, but consolidation centre likely to have technical challenges, take time to implement and be expensive. Would need to be commercially led or grant funded to be viable - no funding available currently</w:t>
            </w:r>
          </w:p>
        </w:tc>
      </w:tr>
      <w:tr w:rsidR="00D655F2" w:rsidRPr="00D655F2" w14:paraId="3F78F665"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DB324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6C80116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National Highways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828F06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Work with National Highways to support vehicle emission reductions for vehicles (all groups) interacting with the M4 and the Slough road transport network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59B00E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AQAP 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67F3A5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9EE2F4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199043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644C0F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6ABF35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DA407A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8C5AB5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124A179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Likely positive AQ impact, likely to be challenging due to volume of traffic and road constraints, expected measures will incurr costs (externally funded) and take time to implement</w:t>
            </w:r>
          </w:p>
        </w:tc>
      </w:tr>
      <w:tr w:rsidR="00D655F2" w:rsidRPr="00D655F2" w14:paraId="75B5CA6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914D0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7457C5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National Highways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FC0955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Work in partnership with the National Highways to investigate measures to manage traffic at M4 junctions, particularly flows onto and off the M4 at Junctions 5 and 6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A2DDBC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1-4</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3C54814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 xml:space="preserve">AQMA </w:t>
            </w:r>
            <w:r w:rsidRPr="00D655F2">
              <w:rPr>
                <w:rFonts w:cs="Arial"/>
                <w:color w:val="000000"/>
                <w:sz w:val="18"/>
                <w:szCs w:val="18"/>
                <w:lang w:eastAsia="en-GB"/>
              </w:rPr>
              <w:br/>
              <w:t>1-3</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0F199C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FA443B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BC6FC6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BCDE05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424839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7D8CF6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11</w:t>
            </w:r>
          </w:p>
        </w:tc>
        <w:tc>
          <w:tcPr>
            <w:tcW w:w="4678" w:type="dxa"/>
            <w:tcBorders>
              <w:top w:val="nil"/>
              <w:left w:val="nil"/>
              <w:bottom w:val="single" w:sz="4" w:space="0" w:color="auto"/>
              <w:right w:val="single" w:sz="4" w:space="0" w:color="auto"/>
            </w:tcBorders>
            <w:shd w:val="clear" w:color="auto" w:fill="auto"/>
            <w:vAlign w:val="center"/>
            <w:hideMark/>
          </w:tcPr>
          <w:p w14:paraId="6398BDC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Likely positive AQ impact, likely to be challenging due to volume of traffic and road constraints, expected measures will incurr costs (externally funded) and take time to implement</w:t>
            </w:r>
          </w:p>
        </w:tc>
      </w:tr>
      <w:tr w:rsidR="00D655F2" w:rsidRPr="00D655F2" w14:paraId="29B00C08"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A2260A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73E1D58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National Highways</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9C9A27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Investigate measures to reduce delays and queuing at Junction 5 through improved signing and junction markings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76A83F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1&amp;2</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C55D20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AQMA 2</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366557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7E8AB2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3FB3F4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8B84D0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170008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0D00B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5849FE5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Likely positive AQ impact, but a lesser degree than others. Tehcnically simple and quick to implement but would need external funding to be viable </w:t>
            </w:r>
          </w:p>
        </w:tc>
      </w:tr>
      <w:tr w:rsidR="00D655F2" w:rsidRPr="00D655F2" w14:paraId="2955A3A8"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1CA450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27C616C0"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Heathrow</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5637FFD"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 xml:space="preserve">Work with Heathrow to collaboratively deliver communication and awareness projects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5320E9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C6760B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4F5675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589D34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37A91B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0344A2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10CC68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22A050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7</w:t>
            </w:r>
          </w:p>
        </w:tc>
        <w:tc>
          <w:tcPr>
            <w:tcW w:w="4678" w:type="dxa"/>
            <w:tcBorders>
              <w:top w:val="nil"/>
              <w:left w:val="nil"/>
              <w:bottom w:val="single" w:sz="4" w:space="0" w:color="auto"/>
              <w:right w:val="single" w:sz="4" w:space="0" w:color="auto"/>
            </w:tcBorders>
            <w:shd w:val="clear" w:color="auto" w:fill="auto"/>
            <w:vAlign w:val="center"/>
            <w:hideMark/>
          </w:tcPr>
          <w:p w14:paraId="310F0C3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simple to implement but will likely take time to deliver projects. No cost to the Council. Only effective if repeated. </w:t>
            </w:r>
          </w:p>
        </w:tc>
      </w:tr>
      <w:tr w:rsidR="00D655F2" w:rsidRPr="00D655F2" w14:paraId="7D99477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574248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63AAD16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Heathrow</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B2FF4E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Work in partnership with Heathrow area Local Authorities (LBs of Hillingdon and Hounslow, Spelthorne BC) to identify measures for reducing nitrogen dioxide concentrations at specified hotspots in the wider Heathrow area, investigate joint initiatives to minimise emissions, including joint publicity campaigns, area wide vehicle emission testing programmes and driver training.</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9D3C46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AQAP1&amp;2, 3&amp;4</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C23300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AQMA 2</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CF6AA1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DE78ED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75EC1C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93C4DE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98463C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6F4246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7F265BB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Measures are likely to have positive AQ impact if well coordinated, collaboration likely to increase timeframes for delivery and may come with technical challenges. Costs likely to be minimal as usually grant funded </w:t>
            </w:r>
          </w:p>
        </w:tc>
      </w:tr>
      <w:tr w:rsidR="00D655F2" w:rsidRPr="00D655F2" w14:paraId="0AE9E8B6"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C57348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38874E4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Heathrow</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9D3B46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Continue to represent the council and its residents at the Heathrow Air Quality Working Group meetings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9BD3B8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BA2390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973CE1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AB51EF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170E94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3B3227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A3CF90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0297EC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32F20D0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quick and simple to implement, no cost to Council</w:t>
            </w:r>
          </w:p>
        </w:tc>
      </w:tr>
      <w:tr w:rsidR="00D655F2" w:rsidRPr="00D655F2" w14:paraId="5346D8DC"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A913F9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EO6</w:t>
            </w:r>
          </w:p>
        </w:tc>
        <w:tc>
          <w:tcPr>
            <w:tcW w:w="1664" w:type="dxa"/>
            <w:tcBorders>
              <w:top w:val="nil"/>
              <w:left w:val="nil"/>
              <w:bottom w:val="single" w:sz="4" w:space="0" w:color="auto"/>
              <w:right w:val="single" w:sz="4" w:space="0" w:color="auto"/>
            </w:tcBorders>
            <w:shd w:val="clear" w:color="auto" w:fill="FFF2CC" w:themeFill="accent4" w:themeFillTint="33"/>
            <w:vAlign w:val="center"/>
            <w:hideMark/>
          </w:tcPr>
          <w:p w14:paraId="4140996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Partnerships - Heathrow</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6491A2B" w14:textId="3A3E55BE"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Work collaboratively with Heathrow to reduce emissions from airport related trips including low emission buses and ULEV taxi </w:t>
            </w:r>
            <w:r w:rsidR="00183E02" w:rsidRPr="00D655F2">
              <w:rPr>
                <w:rFonts w:cs="Arial"/>
                <w:color w:val="000000"/>
                <w:sz w:val="18"/>
                <w:szCs w:val="18"/>
                <w:lang w:eastAsia="en-GB"/>
              </w:rPr>
              <w:t>corridors</w:t>
            </w:r>
            <w:r w:rsidRPr="00D655F2">
              <w:rPr>
                <w:rFonts w:cs="Arial"/>
                <w:color w:val="000000"/>
                <w:sz w:val="18"/>
                <w:szCs w:val="18"/>
                <w:lang w:eastAsia="en-GB"/>
              </w:rPr>
              <w:t xml:space="preserve"> to Heathrow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1D7DCE1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vAlign w:val="center"/>
            <w:hideMark/>
          </w:tcPr>
          <w:p w14:paraId="7E584CD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 xml:space="preserve">AQMA </w:t>
            </w:r>
            <w:r w:rsidRPr="00D655F2">
              <w:rPr>
                <w:rFonts w:cs="Arial"/>
                <w:color w:val="000000"/>
                <w:sz w:val="18"/>
                <w:szCs w:val="18"/>
                <w:lang w:eastAsia="en-GB"/>
              </w:rPr>
              <w:br/>
              <w:t>1 &amp; 2</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C88404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215ABF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47419D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50F725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CA35B4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1F0EE6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22F605B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Likely to have positive AQ impacts, however limited if dedicated lanes are not available. Likely to be some technical challenges and will take time to successfully implement. No expected cost to Council </w:t>
            </w:r>
          </w:p>
        </w:tc>
      </w:tr>
      <w:tr w:rsidR="00D655F2" w:rsidRPr="00D655F2" w14:paraId="33AC2E2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FFA486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1FB8D1D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056FBF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Update the Slough Low Emission Strategy with tightened emission controls, electric vehicle charging standards and construction emissions to incorporate increased standards and provision over time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40C60C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19E8D74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496BE4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60F096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9E7A8A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73ED7F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F0779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4280F8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4678" w:type="dxa"/>
            <w:tcBorders>
              <w:top w:val="nil"/>
              <w:left w:val="nil"/>
              <w:bottom w:val="single" w:sz="4" w:space="0" w:color="auto"/>
              <w:right w:val="single" w:sz="4" w:space="0" w:color="auto"/>
            </w:tcBorders>
            <w:shd w:val="clear" w:color="auto" w:fill="auto"/>
            <w:vAlign w:val="center"/>
            <w:hideMark/>
          </w:tcPr>
          <w:p w14:paraId="3FE79E2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Results in AQ improvements (but lesser degree than other measures as it only applies to new developments), not technically challenging, may take time to refresh, no cost to the Council </w:t>
            </w:r>
          </w:p>
        </w:tc>
      </w:tr>
      <w:tr w:rsidR="00D655F2" w:rsidRPr="00D655F2" w14:paraId="197ED52B"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F72F65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28614A9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777346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Creation of a strategic Slough public charge point network that ensures electric car users reach their destination through a simplistic access, usage and payment model (EV Infrastructure Programme)</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3216FE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LES Programme </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4CF357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C428E0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050DD5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9494C2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BFBF27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B91F88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9F8348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7203DE9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grant funded. </w:t>
            </w:r>
          </w:p>
        </w:tc>
      </w:tr>
      <w:tr w:rsidR="00D655F2" w:rsidRPr="00D655F2" w14:paraId="7208AFF2"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C4A0C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F5890B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3B48C9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Implement EV (rapid and fast) off-street and car park Programme - all new town centre car parks should provide fast electric charging points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2081EA4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LES Programme, PSSD</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305577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EF980D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4D0A7A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3BD5D2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2ABA21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D7749E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445A865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5FE1BC7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grant funded. </w:t>
            </w:r>
          </w:p>
        </w:tc>
      </w:tr>
      <w:tr w:rsidR="00D655F2" w:rsidRPr="00D655F2" w14:paraId="6D822E55"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252BB0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ADD7C1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DED7C6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Implement EV (rapid and fast) on-street Programme - Rapid chargers will be provided on-street in appropriate locations in the town centre and across the borough to support a greater uptake of Evs.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ACB632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LES Programme, PSSD</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7A784D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09F21D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3E2F04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1427C6B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4FEC01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C1CA80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2679ED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5C4566B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grant funded. </w:t>
            </w:r>
          </w:p>
        </w:tc>
      </w:tr>
      <w:tr w:rsidR="00D655F2" w:rsidRPr="00D655F2" w14:paraId="5F3BBD61"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638580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lastRenderedPageBreak/>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2A960D2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5982D69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Develop and implement an electric car club across the borough - residential developments with nil or low car parking provision should contribute to development of car clubs in Slough (includes provision of on-street car club bays)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0B6E9D9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LES Programme, AQAP3&amp;4, PSSD, TV</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2DA0A20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67540F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B49E35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CA3C03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111297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A7071E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6CE834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3B8E5AB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S106 funded. </w:t>
            </w:r>
          </w:p>
        </w:tc>
      </w:tr>
      <w:tr w:rsidR="00D655F2" w:rsidRPr="00D655F2" w14:paraId="188A481E"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1DD1F5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6B07EBB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Programme</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9EA1A7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Install a network of rapid charging facilities to support a high growth rate in plug-in taxis and the use of smart technology to link taxi operators with charging infrastructure and customers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15069C4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9A52C9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0ACD24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10AFE4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DCA9F0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14374D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3E6E0E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B4FEF7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74A27C5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grant funded. </w:t>
            </w:r>
          </w:p>
        </w:tc>
      </w:tr>
      <w:tr w:rsidR="00D655F2" w:rsidRPr="00D655F2" w14:paraId="764D9218"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BFD674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136F504E"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068877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Deliver Defra funded taxi demo project, to encourage and support the taxi trade in transitioning to electric vehicles</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3520E25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9986A8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73C13C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6CFF63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0324662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66EDFE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0690413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722B07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vAlign w:val="center"/>
            <w:hideMark/>
          </w:tcPr>
          <w:p w14:paraId="38D8F576"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technically challenging and programme will exceed 2+ years. Expensive but grant funded. </w:t>
            </w:r>
          </w:p>
        </w:tc>
      </w:tr>
      <w:tr w:rsidR="00D655F2" w:rsidRPr="00D655F2" w14:paraId="0DA6B66A"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18EAA7F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BE4D5" w:themeFill="accent2" w:themeFillTint="33"/>
            <w:noWrap/>
            <w:vAlign w:val="center"/>
            <w:hideMark/>
          </w:tcPr>
          <w:p w14:paraId="7D39A0E3"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 Programme</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6DE2A97" w14:textId="77777777" w:rsidR="00D655F2" w:rsidRPr="00D655F2" w:rsidRDefault="00D655F2" w:rsidP="00D655F2">
            <w:pPr>
              <w:spacing w:before="0" w:after="0" w:line="240" w:lineRule="auto"/>
              <w:rPr>
                <w:rFonts w:cs="Arial"/>
                <w:sz w:val="18"/>
                <w:szCs w:val="18"/>
                <w:lang w:eastAsia="en-GB"/>
              </w:rPr>
            </w:pPr>
            <w:r w:rsidRPr="00D655F2">
              <w:rPr>
                <w:rFonts w:cs="Arial"/>
                <w:sz w:val="18"/>
                <w:szCs w:val="18"/>
                <w:lang w:eastAsia="en-GB"/>
              </w:rPr>
              <w:t xml:space="preserve">Support implementation of HDV gas station programme </w:t>
            </w:r>
          </w:p>
        </w:tc>
        <w:tc>
          <w:tcPr>
            <w:tcW w:w="1536" w:type="dxa"/>
            <w:tcBorders>
              <w:top w:val="nil"/>
              <w:left w:val="nil"/>
              <w:bottom w:val="single" w:sz="4" w:space="0" w:color="auto"/>
              <w:right w:val="single" w:sz="4" w:space="0" w:color="auto"/>
            </w:tcBorders>
            <w:shd w:val="clear" w:color="auto" w:fill="FBE4D5" w:themeFill="accent2" w:themeFillTint="33"/>
            <w:vAlign w:val="center"/>
            <w:hideMark/>
          </w:tcPr>
          <w:p w14:paraId="34149BBA"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LES Programme </w:t>
            </w:r>
          </w:p>
        </w:tc>
        <w:tc>
          <w:tcPr>
            <w:tcW w:w="1157" w:type="dxa"/>
            <w:tcBorders>
              <w:top w:val="nil"/>
              <w:left w:val="nil"/>
              <w:bottom w:val="single" w:sz="4" w:space="0" w:color="auto"/>
              <w:right w:val="single" w:sz="12" w:space="0" w:color="auto"/>
            </w:tcBorders>
            <w:shd w:val="clear" w:color="auto" w:fill="FBE4D5" w:themeFill="accent2" w:themeFillTint="33"/>
            <w:noWrap/>
            <w:vAlign w:val="center"/>
            <w:hideMark/>
          </w:tcPr>
          <w:p w14:paraId="15A7033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3341EB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18C21D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7FBCFA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25A5EF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FF9D1A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DED5FD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23</w:t>
            </w:r>
          </w:p>
        </w:tc>
        <w:tc>
          <w:tcPr>
            <w:tcW w:w="4678" w:type="dxa"/>
            <w:tcBorders>
              <w:top w:val="nil"/>
              <w:left w:val="nil"/>
              <w:bottom w:val="single" w:sz="4" w:space="0" w:color="auto"/>
              <w:right w:val="single" w:sz="4" w:space="0" w:color="auto"/>
            </w:tcBorders>
            <w:shd w:val="clear" w:color="auto" w:fill="auto"/>
            <w:vAlign w:val="center"/>
            <w:hideMark/>
          </w:tcPr>
          <w:p w14:paraId="7682A95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Direct positive AQ impact, some technical challenges and expensive for Council to deliver, but support Grundons for private investment </w:t>
            </w:r>
          </w:p>
        </w:tc>
      </w:tr>
      <w:tr w:rsidR="00D655F2" w:rsidRPr="00D655F2" w14:paraId="619FDA6E"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FB0AB4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47A82B3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Delivery</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98EEE6B"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Produce an effective Communication Plan in partnership with Public Health to promote key messages and measures in LES </w:t>
            </w:r>
          </w:p>
        </w:tc>
        <w:tc>
          <w:tcPr>
            <w:tcW w:w="1536" w:type="dxa"/>
            <w:tcBorders>
              <w:top w:val="nil"/>
              <w:left w:val="nil"/>
              <w:bottom w:val="single" w:sz="4" w:space="0" w:color="auto"/>
              <w:right w:val="single" w:sz="4" w:space="0" w:color="auto"/>
            </w:tcBorders>
            <w:shd w:val="clear" w:color="auto" w:fill="FFF2CC" w:themeFill="accent4" w:themeFillTint="33"/>
            <w:noWrap/>
            <w:vAlign w:val="center"/>
            <w:hideMark/>
          </w:tcPr>
          <w:p w14:paraId="1B5D480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4A00CA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B11542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2D649F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1DF5A1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08F553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5C59978"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89D4CB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1593C957"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 simple to implement but likely to take time to develop. Some costs likely but can be covered via PH or S106 </w:t>
            </w:r>
          </w:p>
        </w:tc>
      </w:tr>
      <w:tr w:rsidR="00D655F2" w:rsidRPr="00D655F2" w14:paraId="1DCB7742"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8BA74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249CDED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Delivery</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11D3FE9"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Keep appraised of current and upcoming funding opportunities to support projects</w:t>
            </w:r>
          </w:p>
        </w:tc>
        <w:tc>
          <w:tcPr>
            <w:tcW w:w="1536" w:type="dxa"/>
            <w:tcBorders>
              <w:top w:val="nil"/>
              <w:left w:val="nil"/>
              <w:bottom w:val="single" w:sz="4" w:space="0" w:color="auto"/>
              <w:right w:val="single" w:sz="4" w:space="0" w:color="auto"/>
            </w:tcBorders>
            <w:shd w:val="clear" w:color="auto" w:fill="FFF2CC" w:themeFill="accent4" w:themeFillTint="33"/>
            <w:noWrap/>
            <w:vAlign w:val="center"/>
            <w:hideMark/>
          </w:tcPr>
          <w:p w14:paraId="4A299FC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LES</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39E2FF0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45EFE7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B561C2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118247E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E0E277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0BD37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0BB9B8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2849443C"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simple, ongoing measure, no cost to Council</w:t>
            </w:r>
          </w:p>
        </w:tc>
      </w:tr>
      <w:tr w:rsidR="00D655F2" w:rsidRPr="00D655F2" w14:paraId="38D2B444"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1AAE11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3389049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Delivery</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A8216A2"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Set up air quality working group, consisting of professionals from public health, transport and environment teams to ensure delivery of the air quality action plan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5BAB0F67" w14:textId="13F0E8B8"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4C7AD85B"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FCAF12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79233B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ED5F4E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12209F5"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1E4B806"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0E74849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2710567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quick and simple to implement, no cost to Council</w:t>
            </w:r>
          </w:p>
        </w:tc>
      </w:tr>
      <w:tr w:rsidR="00D655F2" w:rsidRPr="00D655F2" w14:paraId="11DEC772" w14:textId="77777777" w:rsidTr="00B64582">
        <w:trPr>
          <w:trHeight w:val="143"/>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5A756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756A05F"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AQAP Delivery</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1533FF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Develop AQAP delivery plan in collaboration with council officers as part of the air quality working group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1C8DBD0" w14:textId="092FE7E0"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 xml:space="preserve">New </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71A59D8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999B54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8CD9369"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19CD26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8416AAE"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0A648D7"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645195A"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43EA62D8"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but necessary to progress with plan implementation. No cost.</w:t>
            </w:r>
          </w:p>
        </w:tc>
      </w:tr>
      <w:tr w:rsidR="00D655F2" w:rsidRPr="00D655F2" w14:paraId="75FAE021"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96252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5D1B05C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Officer Collaboration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0B8A1B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Contribute to the development of the Slough waste management strategy, to promote alternatives to waste burning such has composting, recycling and use of council waste disposal sites to discourage burning </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7621CDB0" w14:textId="06B9EECA"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09DCC6DC"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5C5AB61"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B4C90B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35791D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183DAF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A75515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1BD3A6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2375B704"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Indirect AQ impact, likely to have some technical challenges due to complexities with waste management, likely to take some time to implement but no cost to Council</w:t>
            </w:r>
          </w:p>
        </w:tc>
      </w:tr>
      <w:tr w:rsidR="00D655F2" w:rsidRPr="00D655F2" w14:paraId="481607C7" w14:textId="77777777" w:rsidTr="00B64582">
        <w:trPr>
          <w:trHeight w:val="59"/>
        </w:trPr>
        <w:tc>
          <w:tcPr>
            <w:tcW w:w="741"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4753D5D"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EO7</w:t>
            </w:r>
          </w:p>
        </w:tc>
        <w:tc>
          <w:tcPr>
            <w:tcW w:w="1664" w:type="dxa"/>
            <w:tcBorders>
              <w:top w:val="nil"/>
              <w:left w:val="nil"/>
              <w:bottom w:val="single" w:sz="4" w:space="0" w:color="auto"/>
              <w:right w:val="single" w:sz="4" w:space="0" w:color="auto"/>
            </w:tcBorders>
            <w:shd w:val="clear" w:color="auto" w:fill="FFF2CC" w:themeFill="accent4" w:themeFillTint="33"/>
            <w:noWrap/>
            <w:vAlign w:val="center"/>
            <w:hideMark/>
          </w:tcPr>
          <w:p w14:paraId="10BFD781"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Officer Collaboration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ABB249D"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Incorporate air quality into health and social care plans and strategies, including the Health and Wellbeing Strategy, Public Health Service Plan and JSNA</w:t>
            </w:r>
          </w:p>
        </w:tc>
        <w:tc>
          <w:tcPr>
            <w:tcW w:w="1536" w:type="dxa"/>
            <w:tcBorders>
              <w:top w:val="nil"/>
              <w:left w:val="nil"/>
              <w:bottom w:val="single" w:sz="4" w:space="0" w:color="auto"/>
              <w:right w:val="single" w:sz="4" w:space="0" w:color="auto"/>
            </w:tcBorders>
            <w:shd w:val="clear" w:color="auto" w:fill="FFF2CC" w:themeFill="accent4" w:themeFillTint="33"/>
            <w:vAlign w:val="center"/>
            <w:hideMark/>
          </w:tcPr>
          <w:p w14:paraId="68787014" w14:textId="61A15EAD"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w:t>
            </w:r>
            <w:r w:rsidR="008C07E4">
              <w:rPr>
                <w:rFonts w:cs="Arial"/>
                <w:color w:val="000000"/>
                <w:sz w:val="18"/>
                <w:szCs w:val="18"/>
                <w:lang w:eastAsia="en-GB"/>
              </w:rPr>
              <w:t>New</w:t>
            </w:r>
          </w:p>
        </w:tc>
        <w:tc>
          <w:tcPr>
            <w:tcW w:w="1157" w:type="dxa"/>
            <w:tcBorders>
              <w:top w:val="nil"/>
              <w:left w:val="nil"/>
              <w:bottom w:val="single" w:sz="4" w:space="0" w:color="auto"/>
              <w:right w:val="single" w:sz="12" w:space="0" w:color="auto"/>
            </w:tcBorders>
            <w:shd w:val="clear" w:color="auto" w:fill="FFF2CC" w:themeFill="accent4" w:themeFillTint="33"/>
            <w:noWrap/>
            <w:vAlign w:val="center"/>
            <w:hideMark/>
          </w:tcPr>
          <w:p w14:paraId="6F708F5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C3737BF"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D62771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457EE1D4"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FAA5842"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508B870"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A988013" w14:textId="77777777" w:rsidR="00D655F2" w:rsidRPr="00D655F2" w:rsidRDefault="00D655F2" w:rsidP="00D655F2">
            <w:pPr>
              <w:spacing w:before="0" w:after="0" w:line="240" w:lineRule="auto"/>
              <w:jc w:val="center"/>
              <w:rPr>
                <w:rFonts w:cs="Arial"/>
                <w:color w:val="000000"/>
                <w:sz w:val="18"/>
                <w:szCs w:val="18"/>
                <w:lang w:eastAsia="en-GB"/>
              </w:rPr>
            </w:pPr>
            <w:r w:rsidRPr="00D655F2">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37761525" w14:textId="77777777" w:rsidR="00D655F2" w:rsidRPr="00D655F2" w:rsidRDefault="00D655F2" w:rsidP="00D655F2">
            <w:pPr>
              <w:spacing w:before="0" w:after="0" w:line="240" w:lineRule="auto"/>
              <w:rPr>
                <w:rFonts w:cs="Arial"/>
                <w:color w:val="000000"/>
                <w:sz w:val="18"/>
                <w:szCs w:val="18"/>
                <w:lang w:eastAsia="en-GB"/>
              </w:rPr>
            </w:pPr>
            <w:r w:rsidRPr="00D655F2">
              <w:rPr>
                <w:rFonts w:cs="Arial"/>
                <w:color w:val="000000"/>
                <w:sz w:val="18"/>
                <w:szCs w:val="18"/>
                <w:lang w:eastAsia="en-GB"/>
              </w:rPr>
              <w:t xml:space="preserve">Indirect AQ impact, but ensures joined up approach to AQ improvements. No cost. </w:t>
            </w:r>
          </w:p>
        </w:tc>
      </w:tr>
    </w:tbl>
    <w:p w14:paraId="59ED6D86" w14:textId="77777777" w:rsidR="00D655F2" w:rsidRDefault="00D655F2" w:rsidP="00540A81">
      <w:pPr>
        <w:tabs>
          <w:tab w:val="left" w:pos="2998"/>
        </w:tabs>
        <w:rPr>
          <w:b/>
          <w:bCs/>
          <w:u w:val="single"/>
        </w:rPr>
      </w:pPr>
    </w:p>
    <w:p w14:paraId="11FB433B" w14:textId="77777777" w:rsidR="00E5507F" w:rsidRDefault="00E5507F" w:rsidP="00E5507F">
      <w:pPr>
        <w:rPr>
          <w:b/>
          <w:bCs/>
          <w:u w:val="single"/>
        </w:rPr>
      </w:pPr>
    </w:p>
    <w:p w14:paraId="78E95D80" w14:textId="77777777" w:rsidR="00E5507F" w:rsidRDefault="00E5507F" w:rsidP="00E5507F">
      <w:pPr>
        <w:ind w:firstLine="720"/>
        <w:rPr>
          <w:b/>
          <w:bCs/>
          <w:u w:val="single"/>
        </w:rPr>
      </w:pPr>
    </w:p>
    <w:p w14:paraId="5D5BFE99" w14:textId="77777777" w:rsidR="00E5507F" w:rsidRDefault="00E5507F" w:rsidP="00E5507F">
      <w:pPr>
        <w:ind w:firstLine="720"/>
        <w:rPr>
          <w:b/>
          <w:bCs/>
          <w:u w:val="single"/>
        </w:rPr>
      </w:pPr>
    </w:p>
    <w:p w14:paraId="0260A326" w14:textId="77777777" w:rsidR="00E5507F" w:rsidRDefault="00E5507F" w:rsidP="00E5507F">
      <w:pPr>
        <w:ind w:firstLine="720"/>
        <w:rPr>
          <w:b/>
          <w:bCs/>
          <w:u w:val="single"/>
        </w:rPr>
      </w:pPr>
    </w:p>
    <w:p w14:paraId="7F740265" w14:textId="77777777" w:rsidR="00E5507F" w:rsidRDefault="00E5507F" w:rsidP="00E5507F">
      <w:pPr>
        <w:ind w:firstLine="720"/>
        <w:rPr>
          <w:b/>
          <w:bCs/>
          <w:u w:val="single"/>
        </w:rPr>
      </w:pPr>
    </w:p>
    <w:p w14:paraId="577329F8" w14:textId="77777777" w:rsidR="00E5507F" w:rsidRDefault="00E5507F" w:rsidP="00E5507F">
      <w:pPr>
        <w:ind w:firstLine="720"/>
        <w:rPr>
          <w:b/>
          <w:bCs/>
          <w:u w:val="single"/>
        </w:rPr>
      </w:pPr>
    </w:p>
    <w:p w14:paraId="2F6C7FC3" w14:textId="77777777" w:rsidR="00E5507F" w:rsidRDefault="00E5507F" w:rsidP="00E5507F">
      <w:pPr>
        <w:ind w:firstLine="720"/>
        <w:rPr>
          <w:b/>
          <w:bCs/>
          <w:u w:val="single"/>
        </w:rPr>
      </w:pPr>
    </w:p>
    <w:p w14:paraId="547C07E9" w14:textId="77777777" w:rsidR="00E97512" w:rsidRDefault="00E97512">
      <w:pPr>
        <w:spacing w:before="0" w:after="0" w:line="240" w:lineRule="auto"/>
        <w:rPr>
          <w:b/>
          <w:bCs/>
          <w:u w:val="single"/>
        </w:rPr>
      </w:pPr>
      <w:r>
        <w:rPr>
          <w:b/>
          <w:bCs/>
          <w:u w:val="single"/>
        </w:rPr>
        <w:br w:type="page"/>
      </w:r>
    </w:p>
    <w:p w14:paraId="5338079C" w14:textId="65CE0430" w:rsidR="00E5507F" w:rsidRPr="00B05F43" w:rsidRDefault="00B05F43" w:rsidP="00AE2E6C">
      <w:pPr>
        <w:pStyle w:val="Tables"/>
      </w:pPr>
      <w:bookmarkStart w:id="169" w:name="_Toc160128561"/>
      <w:r>
        <w:lastRenderedPageBreak/>
        <w:t xml:space="preserve">Table C.3: </w:t>
      </w:r>
      <w:r w:rsidR="00E5507F" w:rsidRPr="00B05F43">
        <w:t>Full Long List of Measures – Transport</w:t>
      </w:r>
      <w:bookmarkEnd w:id="169"/>
      <w:r w:rsidR="00E5507F" w:rsidRPr="00B05F43">
        <w:t xml:space="preserve"> </w:t>
      </w:r>
    </w:p>
    <w:tbl>
      <w:tblPr>
        <w:tblW w:w="21825" w:type="dxa"/>
        <w:tblLook w:val="04A0" w:firstRow="1" w:lastRow="0" w:firstColumn="1" w:lastColumn="0" w:noHBand="0" w:noVBand="1"/>
      </w:tblPr>
      <w:tblGrid>
        <w:gridCol w:w="800"/>
        <w:gridCol w:w="1605"/>
        <w:gridCol w:w="4111"/>
        <w:gridCol w:w="1559"/>
        <w:gridCol w:w="1134"/>
        <w:gridCol w:w="1276"/>
        <w:gridCol w:w="1276"/>
        <w:gridCol w:w="1275"/>
        <w:gridCol w:w="1276"/>
        <w:gridCol w:w="1276"/>
        <w:gridCol w:w="1559"/>
        <w:gridCol w:w="4678"/>
      </w:tblGrid>
      <w:tr w:rsidR="002740BF" w:rsidRPr="002740BF" w14:paraId="73CFBE31" w14:textId="77777777" w:rsidTr="002740BF">
        <w:trPr>
          <w:trHeight w:val="460"/>
          <w:tblHeader/>
        </w:trPr>
        <w:tc>
          <w:tcPr>
            <w:tcW w:w="800" w:type="dxa"/>
            <w:tcBorders>
              <w:top w:val="single" w:sz="4" w:space="0" w:color="auto"/>
              <w:left w:val="single" w:sz="4" w:space="0" w:color="auto"/>
              <w:bottom w:val="single" w:sz="12" w:space="0" w:color="auto"/>
              <w:right w:val="single" w:sz="4" w:space="0" w:color="auto"/>
            </w:tcBorders>
            <w:shd w:val="clear" w:color="000000" w:fill="C6E0B4"/>
            <w:vAlign w:val="center"/>
            <w:hideMark/>
          </w:tcPr>
          <w:p w14:paraId="12C9269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Aim</w:t>
            </w:r>
          </w:p>
        </w:tc>
        <w:tc>
          <w:tcPr>
            <w:tcW w:w="1605" w:type="dxa"/>
            <w:tcBorders>
              <w:top w:val="single" w:sz="4" w:space="0" w:color="auto"/>
              <w:left w:val="nil"/>
              <w:bottom w:val="single" w:sz="12" w:space="0" w:color="auto"/>
              <w:right w:val="single" w:sz="4" w:space="0" w:color="auto"/>
            </w:tcBorders>
            <w:shd w:val="clear" w:color="000000" w:fill="C6E0B4"/>
            <w:vAlign w:val="center"/>
            <w:hideMark/>
          </w:tcPr>
          <w:p w14:paraId="49D9795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Theme </w:t>
            </w:r>
          </w:p>
        </w:tc>
        <w:tc>
          <w:tcPr>
            <w:tcW w:w="4111" w:type="dxa"/>
            <w:tcBorders>
              <w:top w:val="single" w:sz="4" w:space="0" w:color="auto"/>
              <w:left w:val="nil"/>
              <w:bottom w:val="single" w:sz="12" w:space="0" w:color="auto"/>
              <w:right w:val="single" w:sz="4" w:space="0" w:color="auto"/>
            </w:tcBorders>
            <w:shd w:val="clear" w:color="000000" w:fill="C6E0B4"/>
            <w:vAlign w:val="center"/>
            <w:hideMark/>
          </w:tcPr>
          <w:p w14:paraId="3711EC2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Objective / Measure /Action</w:t>
            </w:r>
          </w:p>
        </w:tc>
        <w:tc>
          <w:tcPr>
            <w:tcW w:w="1559" w:type="dxa"/>
            <w:tcBorders>
              <w:top w:val="single" w:sz="4" w:space="0" w:color="auto"/>
              <w:left w:val="nil"/>
              <w:bottom w:val="single" w:sz="12" w:space="0" w:color="auto"/>
              <w:right w:val="single" w:sz="4" w:space="0" w:color="auto"/>
            </w:tcBorders>
            <w:shd w:val="clear" w:color="000000" w:fill="C6E0B4"/>
            <w:vAlign w:val="center"/>
            <w:hideMark/>
          </w:tcPr>
          <w:p w14:paraId="459E832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Policy / Strategy Alignment</w:t>
            </w:r>
          </w:p>
        </w:tc>
        <w:tc>
          <w:tcPr>
            <w:tcW w:w="1134" w:type="dxa"/>
            <w:tcBorders>
              <w:top w:val="single" w:sz="4" w:space="0" w:color="auto"/>
              <w:left w:val="nil"/>
              <w:bottom w:val="single" w:sz="12" w:space="0" w:color="auto"/>
              <w:right w:val="single" w:sz="12" w:space="0" w:color="auto"/>
            </w:tcBorders>
            <w:shd w:val="clear" w:color="000000" w:fill="C6E0B4"/>
            <w:vAlign w:val="center"/>
            <w:hideMark/>
          </w:tcPr>
          <w:p w14:paraId="6D1AD60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Affected AQMAs</w:t>
            </w:r>
          </w:p>
        </w:tc>
        <w:tc>
          <w:tcPr>
            <w:tcW w:w="1276" w:type="dxa"/>
            <w:tcBorders>
              <w:top w:val="single" w:sz="4" w:space="0" w:color="auto"/>
              <w:left w:val="single" w:sz="12" w:space="0" w:color="auto"/>
              <w:bottom w:val="single" w:sz="12" w:space="0" w:color="auto"/>
              <w:right w:val="single" w:sz="4" w:space="0" w:color="auto"/>
            </w:tcBorders>
            <w:shd w:val="clear" w:color="000000" w:fill="91C36F"/>
            <w:vAlign w:val="center"/>
            <w:hideMark/>
          </w:tcPr>
          <w:p w14:paraId="3991700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Potential for Reduction</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1B82CFA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Technical Feasibility</w:t>
            </w:r>
          </w:p>
        </w:tc>
        <w:tc>
          <w:tcPr>
            <w:tcW w:w="1275" w:type="dxa"/>
            <w:tcBorders>
              <w:top w:val="single" w:sz="4" w:space="0" w:color="auto"/>
              <w:left w:val="nil"/>
              <w:bottom w:val="single" w:sz="12" w:space="0" w:color="auto"/>
              <w:right w:val="single" w:sz="4" w:space="0" w:color="auto"/>
            </w:tcBorders>
            <w:shd w:val="clear" w:color="000000" w:fill="91C36F"/>
            <w:vAlign w:val="center"/>
            <w:hideMark/>
          </w:tcPr>
          <w:p w14:paraId="0465D64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Timeframe</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51D903C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Cost</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0D72E1C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Funding </w:t>
            </w:r>
          </w:p>
        </w:tc>
        <w:tc>
          <w:tcPr>
            <w:tcW w:w="1559" w:type="dxa"/>
            <w:tcBorders>
              <w:top w:val="single" w:sz="4" w:space="0" w:color="auto"/>
              <w:left w:val="nil"/>
              <w:bottom w:val="single" w:sz="12" w:space="0" w:color="auto"/>
              <w:right w:val="single" w:sz="4" w:space="0" w:color="auto"/>
            </w:tcBorders>
            <w:shd w:val="clear" w:color="000000" w:fill="91C36F"/>
            <w:vAlign w:val="center"/>
            <w:hideMark/>
          </w:tcPr>
          <w:p w14:paraId="0B4C6C2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Viability Score</w:t>
            </w:r>
          </w:p>
        </w:tc>
        <w:tc>
          <w:tcPr>
            <w:tcW w:w="4678" w:type="dxa"/>
            <w:tcBorders>
              <w:top w:val="single" w:sz="4" w:space="0" w:color="auto"/>
              <w:left w:val="nil"/>
              <w:bottom w:val="single" w:sz="12" w:space="0" w:color="auto"/>
              <w:right w:val="single" w:sz="4" w:space="0" w:color="auto"/>
            </w:tcBorders>
            <w:shd w:val="clear" w:color="000000" w:fill="C6E0B4"/>
            <w:vAlign w:val="center"/>
            <w:hideMark/>
          </w:tcPr>
          <w:p w14:paraId="0DDD09D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Comment </w:t>
            </w:r>
          </w:p>
        </w:tc>
      </w:tr>
      <w:tr w:rsidR="002740BF" w:rsidRPr="002740BF" w14:paraId="7428BB57" w14:textId="77777777" w:rsidTr="002740BF">
        <w:trPr>
          <w:trHeight w:val="690"/>
        </w:trPr>
        <w:tc>
          <w:tcPr>
            <w:tcW w:w="800" w:type="dxa"/>
            <w:tcBorders>
              <w:top w:val="single" w:sz="12"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03C0616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TO1</w:t>
            </w:r>
          </w:p>
        </w:tc>
        <w:tc>
          <w:tcPr>
            <w:tcW w:w="1605" w:type="dxa"/>
            <w:tcBorders>
              <w:top w:val="single" w:sz="12" w:space="0" w:color="auto"/>
              <w:left w:val="nil"/>
              <w:bottom w:val="single" w:sz="4" w:space="0" w:color="auto"/>
              <w:right w:val="single" w:sz="4" w:space="0" w:color="auto"/>
            </w:tcBorders>
            <w:shd w:val="clear" w:color="auto" w:fill="FFF2CC" w:themeFill="accent4" w:themeFillTint="33"/>
            <w:vAlign w:val="center"/>
            <w:hideMark/>
          </w:tcPr>
          <w:p w14:paraId="0664783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Infrastructure - Active Travel</w:t>
            </w:r>
          </w:p>
        </w:tc>
        <w:tc>
          <w:tcPr>
            <w:tcW w:w="4111" w:type="dxa"/>
            <w:tcBorders>
              <w:top w:val="single" w:sz="12" w:space="0" w:color="auto"/>
              <w:left w:val="nil"/>
              <w:bottom w:val="single" w:sz="4" w:space="0" w:color="auto"/>
              <w:right w:val="single" w:sz="4" w:space="0" w:color="auto"/>
            </w:tcBorders>
            <w:shd w:val="clear" w:color="auto" w:fill="FFF2CC" w:themeFill="accent4" w:themeFillTint="33"/>
            <w:vAlign w:val="center"/>
            <w:hideMark/>
          </w:tcPr>
          <w:p w14:paraId="5764B5B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Introduce segregated A4 cycle highway (including provision of cycle docking)</w:t>
            </w:r>
          </w:p>
        </w:tc>
        <w:tc>
          <w:tcPr>
            <w:tcW w:w="1559" w:type="dxa"/>
            <w:tcBorders>
              <w:top w:val="single" w:sz="12" w:space="0" w:color="auto"/>
              <w:left w:val="nil"/>
              <w:bottom w:val="single" w:sz="4" w:space="0" w:color="auto"/>
              <w:right w:val="single" w:sz="4" w:space="0" w:color="auto"/>
            </w:tcBorders>
            <w:shd w:val="clear" w:color="auto" w:fill="FFF2CC" w:themeFill="accent4" w:themeFillTint="33"/>
            <w:vAlign w:val="center"/>
            <w:hideMark/>
          </w:tcPr>
          <w:p w14:paraId="4D9CF2B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LCWIP</w:t>
            </w:r>
          </w:p>
        </w:tc>
        <w:tc>
          <w:tcPr>
            <w:tcW w:w="1134" w:type="dxa"/>
            <w:tcBorders>
              <w:top w:val="single" w:sz="12" w:space="0" w:color="auto"/>
              <w:left w:val="nil"/>
              <w:bottom w:val="single" w:sz="4" w:space="0" w:color="auto"/>
              <w:right w:val="single" w:sz="12" w:space="0" w:color="auto"/>
            </w:tcBorders>
            <w:shd w:val="clear" w:color="auto" w:fill="FFF2CC" w:themeFill="accent4" w:themeFillTint="33"/>
            <w:vAlign w:val="center"/>
            <w:hideMark/>
          </w:tcPr>
          <w:p w14:paraId="1919501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AQMA 3 +Ext &amp; 4 </w:t>
            </w:r>
          </w:p>
        </w:tc>
        <w:tc>
          <w:tcPr>
            <w:tcW w:w="1276" w:type="dxa"/>
            <w:tcBorders>
              <w:top w:val="single" w:sz="12" w:space="0" w:color="auto"/>
              <w:left w:val="single" w:sz="12" w:space="0" w:color="auto"/>
              <w:bottom w:val="single" w:sz="4" w:space="0" w:color="auto"/>
              <w:right w:val="single" w:sz="4" w:space="0" w:color="auto"/>
            </w:tcBorders>
            <w:shd w:val="clear" w:color="000000" w:fill="E2EFDA"/>
            <w:noWrap/>
            <w:vAlign w:val="center"/>
            <w:hideMark/>
          </w:tcPr>
          <w:p w14:paraId="7B237AB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1B27CD4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single" w:sz="12" w:space="0" w:color="auto"/>
              <w:left w:val="nil"/>
              <w:bottom w:val="single" w:sz="4" w:space="0" w:color="auto"/>
              <w:right w:val="single" w:sz="4" w:space="0" w:color="auto"/>
            </w:tcBorders>
            <w:shd w:val="clear" w:color="000000" w:fill="E2EFDA"/>
            <w:noWrap/>
            <w:vAlign w:val="center"/>
            <w:hideMark/>
          </w:tcPr>
          <w:p w14:paraId="60FB982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2F09DFB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28D7985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single" w:sz="12" w:space="0" w:color="auto"/>
              <w:left w:val="nil"/>
              <w:bottom w:val="single" w:sz="4" w:space="0" w:color="auto"/>
              <w:right w:val="single" w:sz="4" w:space="0" w:color="auto"/>
            </w:tcBorders>
            <w:shd w:val="clear" w:color="000000" w:fill="C6E0B4"/>
            <w:noWrap/>
            <w:vAlign w:val="center"/>
            <w:hideMark/>
          </w:tcPr>
          <w:p w14:paraId="71FC11E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single" w:sz="12" w:space="0" w:color="auto"/>
              <w:left w:val="nil"/>
              <w:bottom w:val="single" w:sz="4" w:space="0" w:color="auto"/>
              <w:right w:val="single" w:sz="4" w:space="0" w:color="auto"/>
            </w:tcBorders>
            <w:shd w:val="clear" w:color="auto" w:fill="auto"/>
            <w:hideMark/>
          </w:tcPr>
          <w:p w14:paraId="6E48A68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Strongly positive AQ impact. Technically challenging, time consuming to implement and high cost, but grant funded (Active Travel England)</w:t>
            </w:r>
          </w:p>
        </w:tc>
      </w:tr>
      <w:tr w:rsidR="002740BF" w:rsidRPr="002740BF" w14:paraId="1D3B4AA6"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9A7EB0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TO1</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19F006B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Infrastructure - Active Travel</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83F7E6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Implement the Destination Farnham Road scheme to improve the pedestrian and cycling environment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26E0943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STIP</w:t>
            </w:r>
          </w:p>
        </w:tc>
        <w:tc>
          <w:tcPr>
            <w:tcW w:w="1134" w:type="dxa"/>
            <w:tcBorders>
              <w:top w:val="nil"/>
              <w:left w:val="nil"/>
              <w:bottom w:val="single" w:sz="4" w:space="0" w:color="auto"/>
              <w:right w:val="single" w:sz="12" w:space="0" w:color="auto"/>
            </w:tcBorders>
            <w:shd w:val="clear" w:color="auto" w:fill="FFF2CC" w:themeFill="accent4" w:themeFillTint="33"/>
            <w:vAlign w:val="center"/>
            <w:hideMark/>
          </w:tcPr>
          <w:p w14:paraId="10A33D0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AQMA 3 +Ext &amp;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168113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069AAF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0CFEDB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63DE68C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66787F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CD711F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hideMark/>
          </w:tcPr>
          <w:p w14:paraId="51D96D1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Strongly positive AQ impact. Technically challenging, time consuming to implement and high cost, but grant funded (Department for Levelling Up, Housing and Communities) </w:t>
            </w:r>
          </w:p>
        </w:tc>
      </w:tr>
      <w:tr w:rsidR="002740BF" w:rsidRPr="002740BF" w14:paraId="53A1201E"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AB91BC"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TO1</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F027B16"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Infrastructure - Active Travel</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D38F820"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Cycle scheme from Burnham Station to A4 via Station Road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2D93A44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LCWIP</w:t>
            </w:r>
          </w:p>
        </w:tc>
        <w:tc>
          <w:tcPr>
            <w:tcW w:w="1134" w:type="dxa"/>
            <w:tcBorders>
              <w:top w:val="nil"/>
              <w:left w:val="nil"/>
              <w:bottom w:val="single" w:sz="4" w:space="0" w:color="auto"/>
              <w:right w:val="single" w:sz="12" w:space="0" w:color="auto"/>
            </w:tcBorders>
            <w:shd w:val="clear" w:color="auto" w:fill="FFF2CC" w:themeFill="accent4" w:themeFillTint="33"/>
            <w:vAlign w:val="center"/>
            <w:hideMark/>
          </w:tcPr>
          <w:p w14:paraId="14127B5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AQMA 3 +Ext &amp;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4132F0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F00A2C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67231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5EFEF9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0C804F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4737B0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hideMark/>
          </w:tcPr>
          <w:p w14:paraId="0D42B83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AQ impact, challenging, costly and expected to take 1-2 years to implement, but fully funded by Active Travel England </w:t>
            </w:r>
          </w:p>
        </w:tc>
      </w:tr>
      <w:tr w:rsidR="002740BF" w:rsidRPr="002740BF" w14:paraId="6C851601"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75A037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TO1</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034349D8"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Infrastructure - Active Travel</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77488A2"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Foxborough Cycle Lane between Langley High Street and Junction 5 Footbridge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CAA8C4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LCWIP</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15D4D0C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AQMA 2</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059DFE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2EF353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1DD9AE2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2FB4EA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E05753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726EDEA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hideMark/>
          </w:tcPr>
          <w:p w14:paraId="2260896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AQ impact, challenging, costly and expected to take 1-2 years to implement, but fully funded by the Berkshire LEP </w:t>
            </w:r>
          </w:p>
        </w:tc>
      </w:tr>
      <w:tr w:rsidR="002740BF" w:rsidRPr="002740BF" w14:paraId="41226C7C" w14:textId="77777777" w:rsidTr="002740BF">
        <w:trPr>
          <w:trHeight w:val="138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48AA046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TO1</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3D7877F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Infrastructure - 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19F9C5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Continue to develop a bus rapid transport network with high frequency services along the A4 Bath Rd, London Rd and to Heathrow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733EA73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STIP, BSIP, TV</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45A2372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B2BDB1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C81EDF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F92A4B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7C71DF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6CD43F0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583BEC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17</w:t>
            </w:r>
          </w:p>
        </w:tc>
        <w:tc>
          <w:tcPr>
            <w:tcW w:w="4678" w:type="dxa"/>
            <w:tcBorders>
              <w:top w:val="nil"/>
              <w:left w:val="nil"/>
              <w:bottom w:val="single" w:sz="4" w:space="0" w:color="auto"/>
              <w:right w:val="single" w:sz="4" w:space="0" w:color="auto"/>
            </w:tcBorders>
            <w:shd w:val="clear" w:color="auto" w:fill="auto"/>
            <w:hideMark/>
          </w:tcPr>
          <w:p w14:paraId="4A3A7EE1" w14:textId="2B558593" w:rsidR="002740BF" w:rsidRPr="002740BF" w:rsidRDefault="00B316AA" w:rsidP="002740BF">
            <w:pPr>
              <w:spacing w:before="0" w:after="0" w:line="240" w:lineRule="auto"/>
              <w:rPr>
                <w:rFonts w:cs="Arial"/>
                <w:color w:val="000000"/>
                <w:sz w:val="18"/>
                <w:szCs w:val="18"/>
                <w:lang w:eastAsia="en-GB"/>
              </w:rPr>
            </w:pPr>
            <w:r w:rsidRPr="00E32B12">
              <w:rPr>
                <w:rFonts w:cs="Arial"/>
                <w:color w:val="000000"/>
                <w:sz w:val="18"/>
                <w:szCs w:val="18"/>
                <w:lang w:eastAsia="en-GB"/>
              </w:rPr>
              <w:t>Positive AQ impact as encourages bus use resulting in fewer private vehicle trips. Currently under review</w:t>
            </w:r>
            <w:r>
              <w:rPr>
                <w:rFonts w:cs="Arial"/>
                <w:color w:val="000000"/>
                <w:sz w:val="18"/>
                <w:szCs w:val="18"/>
                <w:lang w:eastAsia="en-GB"/>
              </w:rPr>
              <w:t xml:space="preserve">, </w:t>
            </w:r>
            <w:r w:rsidRPr="00E32B12">
              <w:rPr>
                <w:rFonts w:cs="Arial"/>
                <w:color w:val="000000"/>
                <w:sz w:val="18"/>
                <w:szCs w:val="18"/>
                <w:lang w:eastAsia="en-GB"/>
              </w:rPr>
              <w:t xml:space="preserve">some bus lanes </w:t>
            </w:r>
            <w:r>
              <w:rPr>
                <w:rFonts w:cs="Arial"/>
                <w:color w:val="000000"/>
                <w:sz w:val="18"/>
                <w:szCs w:val="18"/>
                <w:lang w:eastAsia="en-GB"/>
              </w:rPr>
              <w:t xml:space="preserve">may be adjusted. </w:t>
            </w:r>
            <w:r w:rsidRPr="00E32B12">
              <w:rPr>
                <w:rFonts w:cs="Arial"/>
                <w:color w:val="000000"/>
                <w:sz w:val="18"/>
                <w:szCs w:val="18"/>
                <w:lang w:eastAsia="en-GB"/>
              </w:rPr>
              <w:t xml:space="preserve">24/7 Farnham Rd </w:t>
            </w:r>
            <w:r>
              <w:rPr>
                <w:rFonts w:cs="Arial"/>
                <w:color w:val="000000"/>
                <w:sz w:val="18"/>
                <w:szCs w:val="18"/>
                <w:lang w:eastAsia="en-GB"/>
              </w:rPr>
              <w:t xml:space="preserve">bus lane </w:t>
            </w:r>
            <w:r w:rsidRPr="00E32B12">
              <w:rPr>
                <w:rFonts w:cs="Arial"/>
                <w:color w:val="000000"/>
                <w:sz w:val="18"/>
                <w:szCs w:val="18"/>
                <w:lang w:eastAsia="en-GB"/>
              </w:rPr>
              <w:t xml:space="preserve">will be amended to peak time only, </w:t>
            </w:r>
            <w:r>
              <w:rPr>
                <w:rFonts w:cs="Arial"/>
                <w:color w:val="000000"/>
                <w:sz w:val="18"/>
                <w:szCs w:val="18"/>
                <w:lang w:eastAsia="en-GB"/>
              </w:rPr>
              <w:t>for consistency with other bus lanes in the borough.</w:t>
            </w:r>
          </w:p>
        </w:tc>
      </w:tr>
      <w:tr w:rsidR="002740BF" w:rsidRPr="002740BF" w14:paraId="7CC3D7A6" w14:textId="77777777" w:rsidTr="002740BF">
        <w:trPr>
          <w:trHeight w:val="355"/>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0A8965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3E9CFB9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76BFA1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Development of a core urban network consisting of the A4 east-west spine between Cippenham and Heathrow airport, Britwell estate and slough town centre and wexham park hospital, with services tailored to shift workers.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7465127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6482A3E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2D740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6E05DF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88193F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E1737C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BC402E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69B0D69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16</w:t>
            </w:r>
          </w:p>
        </w:tc>
        <w:tc>
          <w:tcPr>
            <w:tcW w:w="4678" w:type="dxa"/>
            <w:tcBorders>
              <w:top w:val="nil"/>
              <w:left w:val="nil"/>
              <w:bottom w:val="single" w:sz="4" w:space="0" w:color="auto"/>
              <w:right w:val="single" w:sz="4" w:space="0" w:color="auto"/>
            </w:tcBorders>
            <w:shd w:val="clear" w:color="auto" w:fill="auto"/>
            <w:hideMark/>
          </w:tcPr>
          <w:p w14:paraId="402594A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Establishing core network supports modal shift, so positive but more indirect AQ impact, and base network is already in place. Likely to be expensive and take time to implement, but part funded by Heathrow, bus operators, BSIP+ grant and remaining covid recovery funding. </w:t>
            </w:r>
          </w:p>
        </w:tc>
      </w:tr>
      <w:tr w:rsidR="002740BF" w:rsidRPr="002740BF" w14:paraId="4ED713CA"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035027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0CACCFE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5CAF77C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Review traffic regulation orders in force at bus stop clearways, with a view to standardising on '24-7' operation</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292E65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BSIP </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689CBA4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FA41C7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5E53B8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6288CC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CAD314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B48C7E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22A224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12</w:t>
            </w:r>
          </w:p>
        </w:tc>
        <w:tc>
          <w:tcPr>
            <w:tcW w:w="4678" w:type="dxa"/>
            <w:tcBorders>
              <w:top w:val="nil"/>
              <w:left w:val="nil"/>
              <w:bottom w:val="single" w:sz="4" w:space="0" w:color="auto"/>
              <w:right w:val="single" w:sz="4" w:space="0" w:color="auto"/>
            </w:tcBorders>
            <w:shd w:val="clear" w:color="auto" w:fill="auto"/>
            <w:hideMark/>
          </w:tcPr>
          <w:p w14:paraId="4572594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Results in more reliable buses therefore encourages use, reducing vehicle trips. Feasible, may take time to implement, medium cost. Currently some funding available from BSIP+ grant, remaining covid recovery funding and Bus Service Operators Grant but scheme specifically has not been allocated funding</w:t>
            </w:r>
          </w:p>
        </w:tc>
      </w:tr>
      <w:tr w:rsidR="002740BF" w:rsidRPr="002740BF" w14:paraId="3CF329D9" w14:textId="77777777" w:rsidTr="002740BF">
        <w:trPr>
          <w:trHeight w:val="138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2C1F0BE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3E19008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6036F45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Review each bus route, including identification of locations where minor works or a review of parking/loading controls could ease pinch points for buses, reviewing bus stop laybys. Reviews will be completed on a rolling programme of 3 bus routes per year, distributed across operators but focusing on busiest routes first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3747B22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5489424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0C070A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1AEFF8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18E9D3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732FEE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A69EAA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7C5B5FA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19</w:t>
            </w:r>
          </w:p>
        </w:tc>
        <w:tc>
          <w:tcPr>
            <w:tcW w:w="4678" w:type="dxa"/>
            <w:tcBorders>
              <w:top w:val="nil"/>
              <w:left w:val="nil"/>
              <w:bottom w:val="single" w:sz="4" w:space="0" w:color="auto"/>
              <w:right w:val="single" w:sz="4" w:space="0" w:color="auto"/>
            </w:tcBorders>
            <w:shd w:val="clear" w:color="auto" w:fill="auto"/>
            <w:hideMark/>
          </w:tcPr>
          <w:p w14:paraId="587288B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funding in place for some parking schemes depending on lead team. Collaboration required with parking team. Expected to be quick to implement with some technical challenges. </w:t>
            </w:r>
          </w:p>
        </w:tc>
      </w:tr>
      <w:tr w:rsidR="002740BF" w:rsidRPr="002740BF" w14:paraId="2655FD58"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5799361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BBDA69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5ABCCB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Increase demand responsive services: collaborate with major employers such as Wexham Hospital and SEGRO, to establish one or more DRT schemes (none operate in Slough currently except for 'Section 19' community bus operation)</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4AD9394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A767C5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E8C9D2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376881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54F8B6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7A4FA4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0F21CD7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ED4CC5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hideMark/>
          </w:tcPr>
          <w:p w14:paraId="64AEF0B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Responsive service could support modal shift so likely to contribute towards AQ improvements. Likely to be expensive with some technical challenges. No funding but could possibly include a scheme to link Heathrow to areas not yet served by a direct bus</w:t>
            </w:r>
          </w:p>
        </w:tc>
      </w:tr>
      <w:tr w:rsidR="002740BF" w:rsidRPr="002740BF" w14:paraId="2573D304"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BE4D06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241C5C3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F0B289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Implement wayfinding project at Slough bus station to help passengers find their bus, re-establish link between Burnham Station and Trading Estate &amp; timetable coordination between the two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A20E49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7AEDAC6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AFBAC7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413D17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7573DE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8EDF2E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B8D302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027E5CD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hideMark/>
          </w:tcPr>
          <w:p w14:paraId="44BD18F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relatively quick and feasible to implement. Some funding available via BSIP+, SEGRO, GWR as part of integration projects, but not fully funded so will only be able to achieve partial delivery. </w:t>
            </w:r>
          </w:p>
        </w:tc>
      </w:tr>
      <w:tr w:rsidR="002740BF" w:rsidRPr="002740BF" w14:paraId="5D654156"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77300A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41ED6D2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4C811A2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Prepare a short set of network planning guidelines to ensure that buses operate on consistent routings throughout the day, work with bus operators to create a quicker/more direct service for NW Slough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0FD531B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0E13AB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B96FE6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AABD4B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D0D825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A4D62F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5D9D1F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60594B8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16</w:t>
            </w:r>
          </w:p>
        </w:tc>
        <w:tc>
          <w:tcPr>
            <w:tcW w:w="4678" w:type="dxa"/>
            <w:tcBorders>
              <w:top w:val="nil"/>
              <w:left w:val="nil"/>
              <w:bottom w:val="single" w:sz="4" w:space="0" w:color="auto"/>
              <w:right w:val="single" w:sz="4" w:space="0" w:color="auto"/>
            </w:tcBorders>
            <w:shd w:val="clear" w:color="auto" w:fill="auto"/>
            <w:hideMark/>
          </w:tcPr>
          <w:p w14:paraId="5CB3162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Results in more reliable buses therefore encourages use, reducing vehicle trips. Some technical challenges, may take time to implement, high cost. Currently some funding available from BSIP+ grant, remaining covid recovery funding and Bus Service Operators Grant. Consultancy/officer work funded, bus service revision currently unfunded</w:t>
            </w:r>
          </w:p>
        </w:tc>
      </w:tr>
      <w:tr w:rsidR="002740BF" w:rsidRPr="002740BF" w14:paraId="5901784B"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10886D6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5CDA47E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3D06802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Invest in Superbus networks: a comprehensive network of bus priority measures, fares caps, increased service frequencies.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3D6F3A5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6F1D5A0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414344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6278C2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638524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9B9BB7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7559DB9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349E00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22</w:t>
            </w:r>
          </w:p>
        </w:tc>
        <w:tc>
          <w:tcPr>
            <w:tcW w:w="4678" w:type="dxa"/>
            <w:tcBorders>
              <w:top w:val="nil"/>
              <w:left w:val="nil"/>
              <w:bottom w:val="single" w:sz="4" w:space="0" w:color="auto"/>
              <w:right w:val="single" w:sz="4" w:space="0" w:color="auto"/>
            </w:tcBorders>
            <w:shd w:val="clear" w:color="auto" w:fill="auto"/>
            <w:hideMark/>
          </w:tcPr>
          <w:p w14:paraId="14248B5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AQ impact but technically challenging, time and costly to implement. No funding or support currently. </w:t>
            </w:r>
          </w:p>
        </w:tc>
      </w:tr>
      <w:tr w:rsidR="002740BF" w:rsidRPr="002740BF" w14:paraId="6693A2C0"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2870B53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lastRenderedPageBreak/>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06E5661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9892E2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Reduce fares by 20% to align with neighbouring authorities and train fares, introduce multi-operator fares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0EBD87A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180A15E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5F7A2B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8298E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D3BB7E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70B0CA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0DF2616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68F7F5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17</w:t>
            </w:r>
          </w:p>
        </w:tc>
        <w:tc>
          <w:tcPr>
            <w:tcW w:w="4678" w:type="dxa"/>
            <w:tcBorders>
              <w:top w:val="nil"/>
              <w:left w:val="nil"/>
              <w:bottom w:val="single" w:sz="4" w:space="0" w:color="auto"/>
              <w:right w:val="single" w:sz="4" w:space="0" w:color="auto"/>
            </w:tcBorders>
            <w:shd w:val="clear" w:color="auto" w:fill="auto"/>
            <w:hideMark/>
          </w:tcPr>
          <w:p w14:paraId="6A15EF8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DfT £2 capped fare at present - government's exit strategy is unclear / unknown; no interoperable or multi-operator fares. Opportunity to fund via BSIP+, remaining covid recovery funding etc. </w:t>
            </w:r>
          </w:p>
        </w:tc>
      </w:tr>
      <w:tr w:rsidR="002740BF" w:rsidRPr="002740BF" w14:paraId="7A174822"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48D7983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11F812A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74EFACB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Simplify fares by standardising youth age as 19 with 75% of equivalent adult fare, transition to multi-operator ticketing scheme (Project Coral (?) and introduce bus/rail modal journeys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29C1B67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78269F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1282E6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D89010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3BFA558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DB09F3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BD90C7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60C1463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17</w:t>
            </w:r>
          </w:p>
        </w:tc>
        <w:tc>
          <w:tcPr>
            <w:tcW w:w="4678" w:type="dxa"/>
            <w:tcBorders>
              <w:top w:val="nil"/>
              <w:left w:val="nil"/>
              <w:bottom w:val="nil"/>
              <w:right w:val="single" w:sz="4" w:space="0" w:color="auto"/>
            </w:tcBorders>
            <w:shd w:val="clear" w:color="auto" w:fill="auto"/>
            <w:hideMark/>
          </w:tcPr>
          <w:p w14:paraId="71AFA34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Some funding opportunities available but not currently funded. Includes a number of different elements.  Of these, an &lt;19 fare reduction is the easiest to implement</w:t>
            </w:r>
          </w:p>
        </w:tc>
      </w:tr>
      <w:tr w:rsidR="002740BF" w:rsidRPr="002740BF" w14:paraId="0296C1FF"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A3737D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6366E85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7DEBF6E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Provide higher specification buses, with USB chargers fitted as standard, air chilling, luggage racks, and possibly wifi, used on the core network and long distance journey.</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606C80B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3D93DE1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CBC668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2B750F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DAB006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43B715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3778157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14DC173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18</w:t>
            </w:r>
          </w:p>
        </w:tc>
        <w:tc>
          <w:tcPr>
            <w:tcW w:w="4678" w:type="dxa"/>
            <w:tcBorders>
              <w:top w:val="single" w:sz="4" w:space="0" w:color="auto"/>
              <w:left w:val="nil"/>
              <w:bottom w:val="single" w:sz="4" w:space="0" w:color="auto"/>
              <w:right w:val="single" w:sz="4" w:space="0" w:color="auto"/>
            </w:tcBorders>
            <w:shd w:val="clear" w:color="auto" w:fill="auto"/>
            <w:hideMark/>
          </w:tcPr>
          <w:p w14:paraId="5A72D65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Some funding opportunities available but not currently funded</w:t>
            </w:r>
          </w:p>
        </w:tc>
      </w:tr>
      <w:tr w:rsidR="002740BF" w:rsidRPr="002740BF" w14:paraId="09863ADF"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C9D120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60CA625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4F2B06C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Invest in accessible and inclusive bus services: addressing bus stops that don't meet accessibility standards, filling in bus stop laybys, reviewing facilities at the bus station, improving circulation for wheelchairs and buggies, mandating 'next stop' screens and announcements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40AF1CF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18F6029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0CD7DA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659FE4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57CD3B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0D3F3B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4E39AF9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1610F95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17</w:t>
            </w:r>
          </w:p>
        </w:tc>
        <w:tc>
          <w:tcPr>
            <w:tcW w:w="4678" w:type="dxa"/>
            <w:tcBorders>
              <w:top w:val="nil"/>
              <w:left w:val="nil"/>
              <w:bottom w:val="single" w:sz="4" w:space="0" w:color="auto"/>
              <w:right w:val="single" w:sz="4" w:space="0" w:color="auto"/>
            </w:tcBorders>
            <w:shd w:val="clear" w:color="auto" w:fill="auto"/>
            <w:hideMark/>
          </w:tcPr>
          <w:p w14:paraId="243B144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Funding in place for some major projects schemes; otherwiswe currently unfunded</w:t>
            </w:r>
          </w:p>
        </w:tc>
      </w:tr>
      <w:tr w:rsidR="002740BF" w:rsidRPr="002740BF" w14:paraId="58556F9C"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7D8D244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AB5722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0DE97BE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Protect personal safety of bus passengers by reviewing access routes to bus stops including footpaths, implement CCTV at the bus station and selected bus stops, mandate CCTV on all but infrequent buses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5143A4D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2B18787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4D35B2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B5DD2A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966E31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B232A2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0F14B53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878EED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18</w:t>
            </w:r>
          </w:p>
        </w:tc>
        <w:tc>
          <w:tcPr>
            <w:tcW w:w="4678" w:type="dxa"/>
            <w:tcBorders>
              <w:top w:val="nil"/>
              <w:left w:val="nil"/>
              <w:bottom w:val="single" w:sz="4" w:space="0" w:color="auto"/>
              <w:right w:val="single" w:sz="4" w:space="0" w:color="auto"/>
            </w:tcBorders>
            <w:shd w:val="clear" w:color="auto" w:fill="auto"/>
            <w:hideMark/>
          </w:tcPr>
          <w:p w14:paraId="426FDBF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Funding in place for some major projects schemes; otherwiswe currently unfunded</w:t>
            </w:r>
          </w:p>
        </w:tc>
      </w:tr>
      <w:tr w:rsidR="002740BF" w:rsidRPr="002740BF" w14:paraId="45F6E8E6"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0A7A35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1A3126A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6AA3BDE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Seek funding opportunities to migrate to zero bus emission fleet in coordination with neighbouring authorities, and seek funding to investigate the feasibility of different types of technology to establish cost effective means of decarbonising the bus fleet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26B9822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35C35C0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2AE390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0CFB6F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BABC6C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7F582F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00AEA3F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6D5DB5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hideMark/>
          </w:tcPr>
          <w:p w14:paraId="154CFF9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AQ impact, technically challenging due to limited infrastructure, time and costly to implement. No funding opportunities available currently </w:t>
            </w:r>
          </w:p>
        </w:tc>
      </w:tr>
      <w:tr w:rsidR="002740BF" w:rsidRPr="002740BF" w14:paraId="6C1C91A3" w14:textId="77777777" w:rsidTr="002740BF">
        <w:trPr>
          <w:trHeight w:val="1380"/>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C51A89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53BE0F1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D5685F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Develop a passenger charter in conjunction with operators, ensuring passengers can find out about their journeys, accurate bus information is provided at bus stops, ensure buses are clean, suitable redress for when issues arise, and regular reporting of key bus service performance metrics such as reliability.</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3B5EBBB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3C54F5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24A318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35A727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FE60D1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790ADE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46C578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5B65A88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14</w:t>
            </w:r>
          </w:p>
        </w:tc>
        <w:tc>
          <w:tcPr>
            <w:tcW w:w="4678" w:type="dxa"/>
            <w:tcBorders>
              <w:top w:val="nil"/>
              <w:left w:val="nil"/>
              <w:bottom w:val="single" w:sz="4" w:space="0" w:color="auto"/>
              <w:right w:val="single" w:sz="4" w:space="0" w:color="auto"/>
            </w:tcBorders>
            <w:shd w:val="clear" w:color="auto" w:fill="auto"/>
            <w:hideMark/>
          </w:tcPr>
          <w:p w14:paraId="65FE695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Consultancy / Officer work funded; some BSIP+, remaining Covid recovery funding and BSOG available and need to decide what to spend it on and check with DfT if permitted for this</w:t>
            </w:r>
          </w:p>
        </w:tc>
      </w:tr>
      <w:tr w:rsidR="002740BF" w:rsidRPr="002740BF" w14:paraId="53FF472A" w14:textId="77777777" w:rsidTr="002740BF">
        <w:trPr>
          <w:trHeight w:val="230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1F0C024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AC0B64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Public transport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3E1CF8F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Explore potential for operators to share service information on websites/apps, provision of static and real time information at all bus stops (pilot project needed), standardise provision of display information, require coordinated timetable changes at set times of the year</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7887E04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BSIP</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FB4587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4B1ADB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F61DD9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87F6FE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BF3EC3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7BA063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168E79E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16</w:t>
            </w:r>
          </w:p>
        </w:tc>
        <w:tc>
          <w:tcPr>
            <w:tcW w:w="4678" w:type="dxa"/>
            <w:tcBorders>
              <w:top w:val="nil"/>
              <w:left w:val="nil"/>
              <w:bottom w:val="single" w:sz="4" w:space="0" w:color="auto"/>
              <w:right w:val="single" w:sz="4" w:space="0" w:color="auto"/>
            </w:tcBorders>
            <w:shd w:val="clear" w:color="auto" w:fill="auto"/>
            <w:hideMark/>
          </w:tcPr>
          <w:p w14:paraId="72E8472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Consultancy / Officer work funded; some BSIP+, remaining Covid recovery funding and BSOG available and need to decide what to spend it on and check with DfT if permitted for this; funding may be in place for elements of this in Destination Farnham Road scheme; otherwise unfunded</w:t>
            </w:r>
            <w:r w:rsidRPr="002740BF">
              <w:rPr>
                <w:rFonts w:cs="Arial"/>
                <w:color w:val="000000"/>
                <w:sz w:val="18"/>
                <w:szCs w:val="18"/>
                <w:lang w:eastAsia="en-GB"/>
              </w:rPr>
              <w:br/>
              <w:t>Mostly non-infrastructure work; standardising timetable change dates has proven difficult; assumed to include some infrastructure works as well as the officer time</w:t>
            </w:r>
          </w:p>
        </w:tc>
      </w:tr>
      <w:tr w:rsidR="002740BF" w:rsidRPr="002740BF" w14:paraId="6C6B0FD1" w14:textId="77777777" w:rsidTr="002740BF">
        <w:trPr>
          <w:trHeight w:val="1380"/>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359EA8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TO2</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2B880A5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Public Transport</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D00E999"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Create a 'Connectivity / Accessibility Programme" (facilitating sustainable travel across borough) to consider options that residents/visitors of Slough have, to travel sustainably into and across the borough, linking together schemes associated with walking, cycling, bus and rail connectivity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470E4515" w14:textId="7003ECD3"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097D20C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060411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7AD3F4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C609A2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1066F1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EE14DB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46EC5A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nil"/>
              <w:right w:val="single" w:sz="4" w:space="0" w:color="auto"/>
            </w:tcBorders>
            <w:shd w:val="clear" w:color="auto" w:fill="auto"/>
            <w:hideMark/>
          </w:tcPr>
          <w:p w14:paraId="18A0D07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The plan will likely result in positive AQ impacts and the plan itself will be simple and quick to develop. The individual measures included in the plan are considered separately within this table. The aim of the plan would be to ensure a coordinated approach. No cost expected.</w:t>
            </w:r>
          </w:p>
        </w:tc>
      </w:tr>
      <w:tr w:rsidR="002740BF" w:rsidRPr="002740BF" w14:paraId="611F5D37" w14:textId="77777777" w:rsidTr="002740BF">
        <w:trPr>
          <w:trHeight w:val="191"/>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624ABEE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TO3</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688ABF6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Parking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DDD5BD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Implement controlled parking zones (CPZs) across the borough to address all parking. 2-3 are to be installed in the town centre.</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2019DC6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1B29B20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99EFF5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3B5CBA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052778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6BF14F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B93E25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35EAB5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single" w:sz="4" w:space="0" w:color="auto"/>
              <w:left w:val="nil"/>
              <w:bottom w:val="single" w:sz="4" w:space="0" w:color="auto"/>
              <w:right w:val="single" w:sz="4" w:space="0" w:color="auto"/>
            </w:tcBorders>
            <w:shd w:val="clear" w:color="auto" w:fill="auto"/>
            <w:hideMark/>
          </w:tcPr>
          <w:p w14:paraId="31DF5DD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Semi-indirect AQ impact, may take time and incurrs costs</w:t>
            </w:r>
          </w:p>
        </w:tc>
      </w:tr>
      <w:tr w:rsidR="002740BF" w:rsidRPr="002740BF" w14:paraId="6D07D49E"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B47E09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5F800A5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E19DE16" w14:textId="25E6BD40"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Review parking controls and policies in regards to new developments, </w:t>
            </w:r>
            <w:r w:rsidR="00E96B91">
              <w:rPr>
                <w:rFonts w:cs="Arial"/>
                <w:color w:val="000000"/>
                <w:sz w:val="18"/>
                <w:szCs w:val="18"/>
                <w:lang w:eastAsia="en-GB"/>
              </w:rPr>
              <w:t>to manage town centre parking</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5169BF1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60D4D20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F8A86B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05E5C4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F0765D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9DBA71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AA665C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C9BCC0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hideMark/>
          </w:tcPr>
          <w:p w14:paraId="5FEEF3B2" w14:textId="175FD13B"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Reduced parking results in fewer emissions</w:t>
            </w:r>
            <w:r w:rsidR="00E96B91">
              <w:rPr>
                <w:rFonts w:cs="Arial"/>
                <w:color w:val="000000"/>
                <w:sz w:val="18"/>
                <w:szCs w:val="18"/>
                <w:lang w:eastAsia="en-GB"/>
              </w:rPr>
              <w:t xml:space="preserve"> only </w:t>
            </w:r>
            <w:r w:rsidRPr="002740BF">
              <w:rPr>
                <w:rFonts w:cs="Arial"/>
                <w:color w:val="000000"/>
                <w:sz w:val="18"/>
                <w:szCs w:val="18"/>
                <w:lang w:eastAsia="en-GB"/>
              </w:rPr>
              <w:t xml:space="preserve">under </w:t>
            </w:r>
            <w:r w:rsidR="00E96B91">
              <w:rPr>
                <w:rFonts w:cs="Arial"/>
                <w:color w:val="000000"/>
                <w:sz w:val="18"/>
                <w:szCs w:val="18"/>
                <w:lang w:eastAsia="en-GB"/>
              </w:rPr>
              <w:t xml:space="preserve">the </w:t>
            </w:r>
            <w:r w:rsidRPr="002740BF">
              <w:rPr>
                <w:rFonts w:cs="Arial"/>
                <w:color w:val="000000"/>
                <w:sz w:val="18"/>
                <w:szCs w:val="18"/>
                <w:lang w:eastAsia="en-GB"/>
              </w:rPr>
              <w:t>assumption that illegal parking is controlled</w:t>
            </w:r>
            <w:r w:rsidR="00E96B91">
              <w:rPr>
                <w:rFonts w:cs="Arial"/>
                <w:color w:val="000000"/>
                <w:sz w:val="18"/>
                <w:szCs w:val="18"/>
                <w:lang w:eastAsia="en-GB"/>
              </w:rPr>
              <w:t xml:space="preserve">. It is </w:t>
            </w:r>
            <w:r w:rsidRPr="002740BF">
              <w:rPr>
                <w:rFonts w:cs="Arial"/>
                <w:color w:val="000000"/>
                <w:sz w:val="18"/>
                <w:szCs w:val="18"/>
                <w:lang w:eastAsia="en-GB"/>
              </w:rPr>
              <w:t xml:space="preserve"> quick and simple to implement however parking solutions or alternative travel options need to be available to support this measure</w:t>
            </w:r>
          </w:p>
        </w:tc>
      </w:tr>
      <w:tr w:rsidR="002740BF" w:rsidRPr="002740BF" w14:paraId="449F02C7"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074B33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lastRenderedPageBreak/>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80D6FD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688AA4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Require that all development proposals which generate an increase in demand for travel to prepare a travel plan which incentivises walking, cycling and public transport, low emission vehicle measures </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33F851F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586D15B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BE80FE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0B6469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BBEE18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54DDD2C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CEAF52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CCAC39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hideMark/>
          </w:tcPr>
          <w:p w14:paraId="49BF229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Semi-indirect AQ impact, relatively simple to implement, will take time but no additional costs</w:t>
            </w:r>
          </w:p>
        </w:tc>
      </w:tr>
      <w:tr w:rsidR="002740BF" w:rsidRPr="002740BF" w14:paraId="74ABA455"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233A52C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TO3</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0F87596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Parking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67D1FC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Ensure that all car parks in Slough achieve and maintain the Park Mark award for Safer Parking within 3 months of opening.</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1938F5F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3940514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37A0C9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C42F9B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072C61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E26F7D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7FEBA8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3246117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16</w:t>
            </w:r>
          </w:p>
        </w:tc>
        <w:tc>
          <w:tcPr>
            <w:tcW w:w="4678" w:type="dxa"/>
            <w:tcBorders>
              <w:top w:val="nil"/>
              <w:left w:val="nil"/>
              <w:bottom w:val="single" w:sz="4" w:space="0" w:color="auto"/>
              <w:right w:val="single" w:sz="4" w:space="0" w:color="auto"/>
            </w:tcBorders>
            <w:shd w:val="clear" w:color="auto" w:fill="auto"/>
            <w:hideMark/>
          </w:tcPr>
          <w:p w14:paraId="45193FA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No direct AQ impact, simple and quick to implement, some costs associated.</w:t>
            </w:r>
          </w:p>
        </w:tc>
      </w:tr>
      <w:tr w:rsidR="002740BF" w:rsidRPr="002740BF" w14:paraId="705C19CE" w14:textId="77777777" w:rsidTr="002740BF">
        <w:trPr>
          <w:trHeight w:val="74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CC59B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599F59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E6F089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Complete review of parking tariffs in the Borough with the view to increase car park and on street charges by April 2024</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74A9F40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37049D7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718E8A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1A2C23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C006BA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72EB2B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58A260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6FE128A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bottom"/>
            <w:hideMark/>
          </w:tcPr>
          <w:p w14:paraId="2BE0F67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Some indirect AQ impact, simple and quick to implement, income generating so costs expected to be minimal </w:t>
            </w:r>
          </w:p>
        </w:tc>
      </w:tr>
      <w:tr w:rsidR="002740BF" w:rsidRPr="002740BF" w14:paraId="379EE05A"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856E73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58F16B6B"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40B2CF6C"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Investigate the feasibility of implementing a charging or discount system for car parking, parking permits (residents, businesses etc) and season tickets based on CO</w:t>
            </w:r>
            <w:r w:rsidRPr="00CC1A1E">
              <w:rPr>
                <w:rFonts w:cs="Arial"/>
                <w:sz w:val="18"/>
                <w:szCs w:val="18"/>
                <w:vertAlign w:val="subscript"/>
                <w:lang w:eastAsia="en-GB"/>
              </w:rPr>
              <w:t>2</w:t>
            </w:r>
            <w:r w:rsidRPr="002740BF">
              <w:rPr>
                <w:rFonts w:cs="Arial"/>
                <w:sz w:val="18"/>
                <w:szCs w:val="18"/>
                <w:lang w:eastAsia="en-GB"/>
              </w:rPr>
              <w:t xml:space="preserve"> emissions from vehicles</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26CC3D20" w14:textId="4D6D2A7D"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0451B4C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D90894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CEEA2C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29E8C66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620F2F4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B95D84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3E966CE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4678" w:type="dxa"/>
            <w:tcBorders>
              <w:top w:val="nil"/>
              <w:left w:val="nil"/>
              <w:bottom w:val="single" w:sz="4" w:space="0" w:color="auto"/>
              <w:right w:val="single" w:sz="4" w:space="0" w:color="auto"/>
            </w:tcBorders>
            <w:shd w:val="clear" w:color="auto" w:fill="auto"/>
            <w:hideMark/>
          </w:tcPr>
          <w:p w14:paraId="2BDC25B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may have issues with public support, may take time to implement. Expected to be delivered via officers and may be income generating. </w:t>
            </w:r>
          </w:p>
        </w:tc>
      </w:tr>
      <w:tr w:rsidR="002740BF" w:rsidRPr="002740BF" w14:paraId="22A79A78"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511A97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1A04DF1"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2DDB0A77"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Investigate the feasibility of introducing anti-idling controls in hotspot areas</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472D5112" w14:textId="74932E89"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308BF13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03B17E0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B3BE0F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331BC6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36153AA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778930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17AC61E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15</w:t>
            </w:r>
          </w:p>
        </w:tc>
        <w:tc>
          <w:tcPr>
            <w:tcW w:w="4678" w:type="dxa"/>
            <w:tcBorders>
              <w:top w:val="nil"/>
              <w:left w:val="nil"/>
              <w:bottom w:val="single" w:sz="4" w:space="0" w:color="auto"/>
              <w:right w:val="single" w:sz="4" w:space="0" w:color="auto"/>
            </w:tcBorders>
            <w:shd w:val="clear" w:color="auto" w:fill="auto"/>
            <w:vAlign w:val="bottom"/>
            <w:hideMark/>
          </w:tcPr>
          <w:p w14:paraId="4B33F0B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AQ impacts, simple to deliver but may take some time, costs are expected particularly for signage and enforcement but dependent on scale, however some costs may be balanced if penalities given. No funding currently to initiate. </w:t>
            </w:r>
          </w:p>
        </w:tc>
      </w:tr>
      <w:tr w:rsidR="002740BF" w:rsidRPr="002740BF" w14:paraId="4F5FD07F"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12DDA139"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TO3</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5B7EC0F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Parking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8BD21C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Investigate the feasibility of introducing a time-specific ban on parking in cycle lanes to keep cycle lanes free and encourage their use (e.g. commuter periods). This measure may result in increased likelihood that cycle lanes are used as the route is continuous with no obstacles.</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7AC6115B" w14:textId="61437959"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1B94BB2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3DBD08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2DCC33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3A38B59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2C9C5C8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5971AC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0EB662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hideMark/>
          </w:tcPr>
          <w:p w14:paraId="31BA33B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may not be feasible as it is dependent on powers available to Council, may take time to implement and costs are expected</w:t>
            </w:r>
          </w:p>
        </w:tc>
      </w:tr>
      <w:tr w:rsidR="002740BF" w:rsidRPr="002740BF" w14:paraId="65F4DA29" w14:textId="77777777" w:rsidTr="002740BF">
        <w:trPr>
          <w:trHeight w:val="275"/>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9CE7520"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TO3</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070100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624FB9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Explore feasibility of introducing a Workplace Charging Levy - For employers who provide parking, if over a certain quantity, have to pay for a licence. Income can be used for network improvements, or measures to reduce private car use (e.g. subsidised public transport). This acts as the driver to encourage employers to support employees to transition to cleaner vehicles etc.</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23D3EE13" w14:textId="55921BDB"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1461272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6E28756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12D205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5B3EE30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1699591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3FAB7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46C9F8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11</w:t>
            </w:r>
          </w:p>
        </w:tc>
        <w:tc>
          <w:tcPr>
            <w:tcW w:w="4678" w:type="dxa"/>
            <w:tcBorders>
              <w:top w:val="nil"/>
              <w:left w:val="nil"/>
              <w:bottom w:val="single" w:sz="4" w:space="0" w:color="auto"/>
              <w:right w:val="single" w:sz="4" w:space="0" w:color="auto"/>
            </w:tcBorders>
            <w:shd w:val="clear" w:color="auto" w:fill="auto"/>
            <w:hideMark/>
          </w:tcPr>
          <w:p w14:paraId="2631F79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A more indirect AQ measure as it is not clear how businesses would manage costs, negative impacts on businesses may be technically challenging, may take time to implement but costs expected to be minimal (income generating) </w:t>
            </w:r>
          </w:p>
        </w:tc>
      </w:tr>
      <w:tr w:rsidR="002740BF" w:rsidRPr="002740BF" w14:paraId="6E650A97"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7D62437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3DC30DA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Traffic management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7EEF052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Invest in Urban Traffic Management and Control (UTMC) systems on A4 corridor and other roads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32A561F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LTP3, AQAP 1-4</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DAC0E9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CB8396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27F050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DEFB00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F4022D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A85F52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01A27C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20</w:t>
            </w:r>
          </w:p>
        </w:tc>
        <w:tc>
          <w:tcPr>
            <w:tcW w:w="4678" w:type="dxa"/>
            <w:tcBorders>
              <w:top w:val="nil"/>
              <w:left w:val="nil"/>
              <w:bottom w:val="single" w:sz="4" w:space="0" w:color="auto"/>
              <w:right w:val="single" w:sz="4" w:space="0" w:color="auto"/>
            </w:tcBorders>
            <w:shd w:val="clear" w:color="auto" w:fill="auto"/>
            <w:hideMark/>
          </w:tcPr>
          <w:p w14:paraId="567555A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if system manages congestion better, particularly on A4. Technically feasible as system exists (in reduced form) but will take time and money to implement. Not currently funded. </w:t>
            </w:r>
          </w:p>
        </w:tc>
      </w:tr>
      <w:tr w:rsidR="002740BF" w:rsidRPr="002740BF" w14:paraId="0A915791"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355431E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7A0B25E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Traffic management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18B94D6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Explore greater use of variable message signs and other technology to guide drivers (e.g. to reduce circulating car park traffic in the town centre, directing vehicles to under-utilised car parks), implement temporary speed limits and inform drivers of incidents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17DC586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AQAP3&amp;4</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7B37CF9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2723B6D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02A07A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773AE2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BED52B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5A8AAE3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154B34E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hideMark/>
          </w:tcPr>
          <w:p w14:paraId="0139342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(links with UTMC system), technically feasible as some signage already exists, but may take time to implement and is costly. Not currently funded. </w:t>
            </w:r>
          </w:p>
        </w:tc>
      </w:tr>
      <w:tr w:rsidR="002740BF" w:rsidRPr="002740BF" w14:paraId="2FEEA8CA"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4D9020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142FE6A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Traffic management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0CAF780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Expansion of enforcement responsibilities to cover bus lanes, prescribed and prohibited movements and speed limits.</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429C9C5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LTP3</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D25A39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802611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E53FC9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470DCDC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79B0E9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28CDBB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0D6530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19</w:t>
            </w:r>
          </w:p>
        </w:tc>
        <w:tc>
          <w:tcPr>
            <w:tcW w:w="4678" w:type="dxa"/>
            <w:tcBorders>
              <w:top w:val="nil"/>
              <w:left w:val="nil"/>
              <w:bottom w:val="single" w:sz="4" w:space="0" w:color="auto"/>
              <w:right w:val="single" w:sz="4" w:space="0" w:color="auto"/>
            </w:tcBorders>
            <w:shd w:val="clear" w:color="auto" w:fill="auto"/>
            <w:hideMark/>
          </w:tcPr>
          <w:p w14:paraId="793CE37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feasibility affected by officer time and resource available, some costs likely</w:t>
            </w:r>
          </w:p>
        </w:tc>
      </w:tr>
      <w:tr w:rsidR="002740BF" w:rsidRPr="002740BF" w14:paraId="3EFF4CBA"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71CE2A8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0D4201B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Traffic management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3847A0F8"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Install and maintain traffic and cycle monitoring sites (ATCs) on main routes and within AQMAs to improve the data for future air quality assessments (additional ATCs and cycle counters to be introduced as part of the A4 cycle scheme and DFR scheme)</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2EF7106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AQAP1&amp;2</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573C1B4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7EE41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A42E25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2F23A8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1BB86B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322AD24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2FD1AB1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16</w:t>
            </w:r>
          </w:p>
        </w:tc>
        <w:tc>
          <w:tcPr>
            <w:tcW w:w="4678" w:type="dxa"/>
            <w:tcBorders>
              <w:top w:val="nil"/>
              <w:left w:val="nil"/>
              <w:bottom w:val="single" w:sz="4" w:space="0" w:color="auto"/>
              <w:right w:val="single" w:sz="4" w:space="0" w:color="auto"/>
            </w:tcBorders>
            <w:shd w:val="clear" w:color="auto" w:fill="auto"/>
            <w:hideMark/>
          </w:tcPr>
          <w:p w14:paraId="199D34C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quick, simple and low cost. Some funding available via Active Travel England, DfT and Department for Levelling Up, Housing and Communities </w:t>
            </w:r>
          </w:p>
        </w:tc>
      </w:tr>
      <w:tr w:rsidR="002740BF" w:rsidRPr="002740BF" w14:paraId="373F9C67" w14:textId="77777777" w:rsidTr="002740BF">
        <w:trPr>
          <w:trHeight w:val="970"/>
        </w:trPr>
        <w:tc>
          <w:tcPr>
            <w:tcW w:w="800" w:type="dxa"/>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32F548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9C9F05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Traffic management </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43172AA1"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Provide a platform whereby road users can check existing and upcoming planned road traffic disruptions such as construction projects, events or utilities works, to allow road users to make better informed journey plans.</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6ACB2C3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BSIP </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F6C2FF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47A006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76E8D8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737E4D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6529E1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A87A29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307614B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18</w:t>
            </w:r>
          </w:p>
        </w:tc>
        <w:tc>
          <w:tcPr>
            <w:tcW w:w="4678" w:type="dxa"/>
            <w:tcBorders>
              <w:top w:val="nil"/>
              <w:left w:val="nil"/>
              <w:bottom w:val="single" w:sz="4" w:space="0" w:color="auto"/>
              <w:right w:val="single" w:sz="4" w:space="0" w:color="auto"/>
            </w:tcBorders>
            <w:shd w:val="clear" w:color="auto" w:fill="auto"/>
            <w:vAlign w:val="bottom"/>
            <w:hideMark/>
          </w:tcPr>
          <w:p w14:paraId="3D0656E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Low AQ impact itself but if well used, could be effective in reducing congestion. Some technical challenges, may take time to implement and some costs expected. No funding allocated </w:t>
            </w:r>
          </w:p>
        </w:tc>
      </w:tr>
      <w:tr w:rsidR="002740BF" w:rsidRPr="002740BF" w14:paraId="644031C8" w14:textId="77777777" w:rsidTr="002740BF">
        <w:trPr>
          <w:trHeight w:val="120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5FEAC5"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lastRenderedPageBreak/>
              <w:t>TO4</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60BE48C1"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Traffic management</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7EF9EEF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Explore use of traffic calming measures within Air Quality Management Areas - including speed limits, 20mph zones (generally, vehicles going at very high speeds (on motorways) or very low speeds (in congestion) tend of operate least efficiently and have higher exhaust emissions</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5552B980" w14:textId="699A0A82"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61A34FE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AQMA 2-4</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13DE43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4E68861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AEC189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E78073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DBA735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44E7DC3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vAlign w:val="bottom"/>
            <w:hideMark/>
          </w:tcPr>
          <w:p w14:paraId="0DF7533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feasible to implement as proposals already exist but some technical challenges, may take 1-2 years to develop plans, some costs expected but there may be opportunities to have support via active travel grant and S106 </w:t>
            </w:r>
          </w:p>
        </w:tc>
      </w:tr>
      <w:tr w:rsidR="002740BF" w:rsidRPr="002740BF" w14:paraId="4D264584" w14:textId="77777777" w:rsidTr="002740BF">
        <w:trPr>
          <w:trHeight w:val="74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DC2A678"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7F78F0C7"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Traffic management</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DBA026B"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Undertake junction improvement review at Yew Tree Road. Will include review of causes of issues at junction, identification of solutions, evaluation of options and delivery </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43FBB416" w14:textId="31BAE2C2"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2A389B7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AQMA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8B003A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3893A6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292F46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AB73C6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3294462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7D543C1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19</w:t>
            </w:r>
          </w:p>
        </w:tc>
        <w:tc>
          <w:tcPr>
            <w:tcW w:w="4678" w:type="dxa"/>
            <w:tcBorders>
              <w:top w:val="nil"/>
              <w:left w:val="nil"/>
              <w:bottom w:val="single" w:sz="4" w:space="0" w:color="auto"/>
              <w:right w:val="single" w:sz="4" w:space="0" w:color="auto"/>
            </w:tcBorders>
            <w:shd w:val="clear" w:color="auto" w:fill="auto"/>
            <w:vAlign w:val="bottom"/>
            <w:hideMark/>
          </w:tcPr>
          <w:p w14:paraId="2392ADE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likely to be some technical challenges, time and cost to implement (dependent on solution). Will need funding support to be viable. </w:t>
            </w:r>
          </w:p>
        </w:tc>
      </w:tr>
      <w:tr w:rsidR="002740BF" w:rsidRPr="002740BF" w14:paraId="3B71A554"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5045C78C"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TO4</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0052399"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Traffic management</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003360F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Vehicle Actuation - Microprocessor Optimised Vehicle Actuation (MOVA) - Instead of pre-defined interval and duration traffic lights, MOVA is a responsive approach based off sensors to reduce unnecessary stop/start. </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4E1C19BB" w14:textId="23D4B1EF"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2713FCA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4D0026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7AF9400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71A03C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C0F4B1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1C0D03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5D0037B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20</w:t>
            </w:r>
          </w:p>
        </w:tc>
        <w:tc>
          <w:tcPr>
            <w:tcW w:w="4678" w:type="dxa"/>
            <w:tcBorders>
              <w:top w:val="nil"/>
              <w:left w:val="nil"/>
              <w:bottom w:val="single" w:sz="4" w:space="0" w:color="auto"/>
              <w:right w:val="single" w:sz="4" w:space="0" w:color="auto"/>
            </w:tcBorders>
            <w:shd w:val="clear" w:color="auto" w:fill="auto"/>
            <w:hideMark/>
          </w:tcPr>
          <w:p w14:paraId="6C66B66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Helps to manage congestion so can help to improve AQ, but may take time to implement and costs are expected. No funding allocated </w:t>
            </w:r>
          </w:p>
        </w:tc>
      </w:tr>
      <w:tr w:rsidR="002740BF" w:rsidRPr="002740BF" w14:paraId="03F58F97" w14:textId="77777777" w:rsidTr="002740BF">
        <w:trPr>
          <w:trHeight w:val="470"/>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1E05BA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67293B8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Walking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33DEBCA2"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Complete a review and improvement delivery plan</w:t>
            </w:r>
            <w:r w:rsidRPr="002740BF">
              <w:rPr>
                <w:rFonts w:cs="Arial"/>
                <w:i/>
                <w:iCs/>
                <w:sz w:val="18"/>
                <w:szCs w:val="18"/>
                <w:lang w:eastAsia="en-GB"/>
              </w:rPr>
              <w:t xml:space="preserve"> </w:t>
            </w:r>
            <w:r w:rsidRPr="002740BF">
              <w:rPr>
                <w:rFonts w:cs="Arial"/>
                <w:sz w:val="18"/>
                <w:szCs w:val="18"/>
                <w:lang w:eastAsia="en-GB"/>
              </w:rPr>
              <w:t>of the pedestrian environment.</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02F76AF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WSSD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68CF76F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A130D5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7F4856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AAE610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ECC8A7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7E8603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58C073F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hideMark/>
          </w:tcPr>
          <w:p w14:paraId="6A2E0EA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but quick, simple and expected to be delivered by officers so no additional costs</w:t>
            </w:r>
          </w:p>
        </w:tc>
      </w:tr>
      <w:tr w:rsidR="002740BF" w:rsidRPr="002740BF" w14:paraId="31329754"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E9242A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4C15219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Walking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1B5AA6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Implement walking and cycling safety measures through involvement with the Safer Slough Partnership.</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1569BB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WSSD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429F953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7F2C367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E3385F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79A7613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549914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25785B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42B2BD4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hideMark/>
          </w:tcPr>
          <w:p w14:paraId="5E139B1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quick, simple, cost dependent on specific measure. Expected to be delivered via partnership </w:t>
            </w:r>
          </w:p>
        </w:tc>
      </w:tr>
      <w:tr w:rsidR="002740BF" w:rsidRPr="002740BF" w14:paraId="157D9256"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7CE44BA7"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TO5</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5D373336"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Cycling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29B48E0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Provide secure undercover cycle storage with welfare/repair facilities in strategic locations e.g. within an existing building such as community hubs or shopping centre.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0EB9CCEF" w14:textId="480C8846"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08F7A24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F18384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F34037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976AA6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873084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6012739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3EE9979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17</w:t>
            </w:r>
          </w:p>
        </w:tc>
        <w:tc>
          <w:tcPr>
            <w:tcW w:w="4678" w:type="dxa"/>
            <w:tcBorders>
              <w:top w:val="nil"/>
              <w:left w:val="nil"/>
              <w:bottom w:val="single" w:sz="4" w:space="0" w:color="auto"/>
              <w:right w:val="single" w:sz="4" w:space="0" w:color="auto"/>
            </w:tcBorders>
            <w:shd w:val="clear" w:color="auto" w:fill="auto"/>
            <w:hideMark/>
          </w:tcPr>
          <w:p w14:paraId="2268472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Direct positive AQ impact, may include some technical challenges (e.g. space/capacity), but may be quick and low cost to implement if utilising existing spaces. Funding support is likely to be needed. </w:t>
            </w:r>
          </w:p>
        </w:tc>
      </w:tr>
      <w:tr w:rsidR="002740BF" w:rsidRPr="002740BF" w14:paraId="37A20B2E" w14:textId="77777777" w:rsidTr="002740BF">
        <w:trPr>
          <w:trHeight w:val="115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0D639C7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TO5</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4175ABE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Cycling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A50019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Introduce cargo bikes into the network for businesses and residents </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4A5943A3" w14:textId="2459B9EE"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5D8498E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42E9F9A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51C716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F37A3E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496EDA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4D28876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26E00CF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21</w:t>
            </w:r>
          </w:p>
        </w:tc>
        <w:tc>
          <w:tcPr>
            <w:tcW w:w="4678" w:type="dxa"/>
            <w:tcBorders>
              <w:top w:val="nil"/>
              <w:left w:val="nil"/>
              <w:bottom w:val="single" w:sz="4" w:space="0" w:color="auto"/>
              <w:right w:val="single" w:sz="4" w:space="0" w:color="auto"/>
            </w:tcBorders>
            <w:shd w:val="clear" w:color="auto" w:fill="auto"/>
            <w:hideMark/>
          </w:tcPr>
          <w:p w14:paraId="7C5DDAD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Addresses cycle journeys that require transportation of items, positive AQ impact as it would help to reduce vehicle trips. Only at stage where cycle/scooter scheme is being reintroduced, likely to be expensive to integrate and no funding available at this stage.</w:t>
            </w:r>
          </w:p>
        </w:tc>
      </w:tr>
      <w:tr w:rsidR="002740BF" w:rsidRPr="002740BF" w14:paraId="30AF97C0"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5E93B4DB"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TO5</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638E2AE5"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Walking</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60107E4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Review feasibility of implementing further pedestrian zones to encourage walking &amp; alfresco dining (e.g. timed zones from 10:30am - 5:00pm, York City Centre)</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73C8BFD5" w14:textId="0016CA8D"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7774330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 xml:space="preserve">AQMA 4 </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FD5AB7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031FE90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5" w:type="dxa"/>
            <w:tcBorders>
              <w:top w:val="nil"/>
              <w:left w:val="nil"/>
              <w:bottom w:val="single" w:sz="4" w:space="0" w:color="auto"/>
              <w:right w:val="single" w:sz="4" w:space="0" w:color="auto"/>
            </w:tcBorders>
            <w:shd w:val="clear" w:color="000000" w:fill="E2EFDA"/>
            <w:noWrap/>
            <w:vAlign w:val="center"/>
            <w:hideMark/>
          </w:tcPr>
          <w:p w14:paraId="7A3C2BA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1638BA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12F131F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4A161E9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22</w:t>
            </w:r>
          </w:p>
        </w:tc>
        <w:tc>
          <w:tcPr>
            <w:tcW w:w="4678" w:type="dxa"/>
            <w:tcBorders>
              <w:top w:val="nil"/>
              <w:left w:val="nil"/>
              <w:bottom w:val="single" w:sz="4" w:space="0" w:color="auto"/>
              <w:right w:val="single" w:sz="4" w:space="0" w:color="auto"/>
            </w:tcBorders>
            <w:shd w:val="clear" w:color="auto" w:fill="auto"/>
            <w:hideMark/>
          </w:tcPr>
          <w:p w14:paraId="4DA0E64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AQ impact but limited road space to be implemented, likely to take time and be expensive to deliver. No funding currently. </w:t>
            </w:r>
          </w:p>
        </w:tc>
      </w:tr>
      <w:tr w:rsidR="002740BF" w:rsidRPr="002740BF" w14:paraId="4C4B15CF" w14:textId="77777777" w:rsidTr="002740BF">
        <w:trPr>
          <w:trHeight w:val="920"/>
        </w:trPr>
        <w:tc>
          <w:tcPr>
            <w:tcW w:w="8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5B5D65A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TO5</w:t>
            </w:r>
          </w:p>
        </w:tc>
        <w:tc>
          <w:tcPr>
            <w:tcW w:w="1605" w:type="dxa"/>
            <w:tcBorders>
              <w:top w:val="nil"/>
              <w:left w:val="nil"/>
              <w:bottom w:val="single" w:sz="4" w:space="0" w:color="auto"/>
              <w:right w:val="single" w:sz="4" w:space="0" w:color="auto"/>
            </w:tcBorders>
            <w:shd w:val="clear" w:color="auto" w:fill="FBE4D5" w:themeFill="accent2" w:themeFillTint="33"/>
            <w:vAlign w:val="center"/>
            <w:hideMark/>
          </w:tcPr>
          <w:p w14:paraId="2912C89C"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Both</w:t>
            </w:r>
          </w:p>
        </w:tc>
        <w:tc>
          <w:tcPr>
            <w:tcW w:w="4111" w:type="dxa"/>
            <w:tcBorders>
              <w:top w:val="nil"/>
              <w:left w:val="nil"/>
              <w:bottom w:val="single" w:sz="4" w:space="0" w:color="auto"/>
              <w:right w:val="single" w:sz="4" w:space="0" w:color="auto"/>
            </w:tcBorders>
            <w:shd w:val="clear" w:color="auto" w:fill="FBE4D5" w:themeFill="accent2" w:themeFillTint="33"/>
            <w:vAlign w:val="center"/>
            <w:hideMark/>
          </w:tcPr>
          <w:p w14:paraId="50A6E0F0"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Develop a boroughwide, uniform approach to wayfinding/signage and maps for walking and cycling, linking up with different service areas, focusing on both leisure and practical routes.</w:t>
            </w:r>
          </w:p>
        </w:tc>
        <w:tc>
          <w:tcPr>
            <w:tcW w:w="1559" w:type="dxa"/>
            <w:tcBorders>
              <w:top w:val="nil"/>
              <w:left w:val="nil"/>
              <w:bottom w:val="single" w:sz="4" w:space="0" w:color="auto"/>
              <w:right w:val="single" w:sz="4" w:space="0" w:color="auto"/>
            </w:tcBorders>
            <w:shd w:val="clear" w:color="auto" w:fill="FBE4D5" w:themeFill="accent2" w:themeFillTint="33"/>
            <w:vAlign w:val="center"/>
            <w:hideMark/>
          </w:tcPr>
          <w:p w14:paraId="2D102FFB" w14:textId="4BEA45D1"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34" w:type="dxa"/>
            <w:tcBorders>
              <w:top w:val="nil"/>
              <w:left w:val="nil"/>
              <w:bottom w:val="single" w:sz="4" w:space="0" w:color="auto"/>
              <w:right w:val="single" w:sz="12" w:space="0" w:color="auto"/>
            </w:tcBorders>
            <w:shd w:val="clear" w:color="auto" w:fill="FBE4D5" w:themeFill="accent2" w:themeFillTint="33"/>
            <w:noWrap/>
            <w:vAlign w:val="center"/>
            <w:hideMark/>
          </w:tcPr>
          <w:p w14:paraId="610D6D0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5B1C6BE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C6445E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5DDA5F3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D84D3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BC0DFA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10</w:t>
            </w:r>
          </w:p>
        </w:tc>
        <w:tc>
          <w:tcPr>
            <w:tcW w:w="1559" w:type="dxa"/>
            <w:tcBorders>
              <w:top w:val="nil"/>
              <w:left w:val="nil"/>
              <w:bottom w:val="single" w:sz="4" w:space="0" w:color="auto"/>
              <w:right w:val="single" w:sz="4" w:space="0" w:color="auto"/>
            </w:tcBorders>
            <w:shd w:val="clear" w:color="000000" w:fill="C6E0B4"/>
            <w:noWrap/>
            <w:vAlign w:val="center"/>
            <w:hideMark/>
          </w:tcPr>
          <w:p w14:paraId="015050F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19</w:t>
            </w:r>
          </w:p>
        </w:tc>
        <w:tc>
          <w:tcPr>
            <w:tcW w:w="4678" w:type="dxa"/>
            <w:tcBorders>
              <w:top w:val="nil"/>
              <w:left w:val="nil"/>
              <w:bottom w:val="single" w:sz="4" w:space="0" w:color="auto"/>
              <w:right w:val="single" w:sz="4" w:space="0" w:color="auto"/>
            </w:tcBorders>
            <w:shd w:val="clear" w:color="auto" w:fill="auto"/>
            <w:hideMark/>
          </w:tcPr>
          <w:p w14:paraId="013E40D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Likely indirect AQ impact, very feasible however will take time to develop to link up with GIS mapping developments, expect some funding will be required for full implementation</w:t>
            </w:r>
          </w:p>
        </w:tc>
      </w:tr>
      <w:tr w:rsidR="002740BF" w:rsidRPr="002740BF" w14:paraId="2E734A3C"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7907C0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CF2F14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Cycling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F1E4D37" w14:textId="65E47A7B"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Implement Slough </w:t>
            </w:r>
            <w:r w:rsidR="00FC2804">
              <w:rPr>
                <w:rFonts w:cs="Arial"/>
                <w:sz w:val="18"/>
                <w:szCs w:val="18"/>
                <w:lang w:eastAsia="en-GB"/>
              </w:rPr>
              <w:t xml:space="preserve">Electric </w:t>
            </w:r>
            <w:r w:rsidRPr="002740BF">
              <w:rPr>
                <w:rFonts w:cs="Arial"/>
                <w:sz w:val="18"/>
                <w:szCs w:val="18"/>
                <w:lang w:eastAsia="en-GB"/>
              </w:rPr>
              <w:t>Cycle and Scooter Infrastructure and Hire programme, connecting key locations across the borough</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885018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ST, LTP3, LES Programme </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4198B45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A4B6A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A30B65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19CFE8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8256E8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276" w:type="dxa"/>
            <w:tcBorders>
              <w:top w:val="nil"/>
              <w:left w:val="nil"/>
              <w:bottom w:val="single" w:sz="4" w:space="0" w:color="auto"/>
              <w:right w:val="single" w:sz="4" w:space="0" w:color="auto"/>
            </w:tcBorders>
            <w:shd w:val="clear" w:color="000000" w:fill="E2EFDA"/>
            <w:noWrap/>
            <w:vAlign w:val="center"/>
            <w:hideMark/>
          </w:tcPr>
          <w:p w14:paraId="2F0D2D3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278D905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hideMark/>
          </w:tcPr>
          <w:p w14:paraId="7CE669B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Direct positive AQ impact, already in development. Expensive but not council funded (self funded).</w:t>
            </w:r>
          </w:p>
        </w:tc>
      </w:tr>
      <w:tr w:rsidR="002740BF" w:rsidRPr="002740BF" w14:paraId="365B9DC6" w14:textId="77777777" w:rsidTr="002740BF">
        <w:trPr>
          <w:trHeight w:val="386"/>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7F399D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7762AAB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Cycling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1F3C433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Provide additional cycle parking areas, focusing on medium to long stay facilities (theft and weather protection), including ground floor of multi-storey car parks, main interchanges in Slough and visitor cycle parking at residential locations e.g. cycle stands on driveways and in front gardens (successful in Oxfordshire)</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65EB5DE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117D9D3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B041E7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811A7E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286224C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828B49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4</w:t>
            </w:r>
          </w:p>
        </w:tc>
        <w:tc>
          <w:tcPr>
            <w:tcW w:w="1276" w:type="dxa"/>
            <w:tcBorders>
              <w:top w:val="nil"/>
              <w:left w:val="nil"/>
              <w:bottom w:val="single" w:sz="4" w:space="0" w:color="auto"/>
              <w:right w:val="single" w:sz="4" w:space="0" w:color="auto"/>
            </w:tcBorders>
            <w:shd w:val="clear" w:color="000000" w:fill="E2EFDA"/>
            <w:noWrap/>
            <w:vAlign w:val="center"/>
            <w:hideMark/>
          </w:tcPr>
          <w:p w14:paraId="2CA3D7D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249C6A0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15</w:t>
            </w:r>
          </w:p>
        </w:tc>
        <w:tc>
          <w:tcPr>
            <w:tcW w:w="4678" w:type="dxa"/>
            <w:tcBorders>
              <w:top w:val="nil"/>
              <w:left w:val="nil"/>
              <w:bottom w:val="single" w:sz="4" w:space="0" w:color="auto"/>
              <w:right w:val="single" w:sz="4" w:space="0" w:color="auto"/>
            </w:tcBorders>
            <w:shd w:val="clear" w:color="auto" w:fill="auto"/>
            <w:hideMark/>
          </w:tcPr>
          <w:p w14:paraId="1F9BC83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Providing facilities may encourage people to cycle more so considered indirect AQ impact, very feasible but may take time to implement, cost dependent on type of parking delivered but expected to be expensive. If supported by developers, will be no cost to council, however alternative funding needed for implementing parking options at existing developments </w:t>
            </w:r>
          </w:p>
        </w:tc>
      </w:tr>
      <w:tr w:rsidR="002740BF" w:rsidRPr="002740BF" w14:paraId="4654D814" w14:textId="77777777" w:rsidTr="002740BF">
        <w:trPr>
          <w:trHeight w:val="59"/>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3C0819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3B38040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Cycling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6EFE49F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Conduct a full independent audit of all existing and planned cycling and walking routes to validate the LCWIP proposals</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2C67898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LCWIP, CSSD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1B12E38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3EAF2DF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18470D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30E8F25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73A4F8F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AEF4ED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559" w:type="dxa"/>
            <w:tcBorders>
              <w:top w:val="nil"/>
              <w:left w:val="nil"/>
              <w:bottom w:val="single" w:sz="4" w:space="0" w:color="auto"/>
              <w:right w:val="single" w:sz="4" w:space="0" w:color="auto"/>
            </w:tcBorders>
            <w:shd w:val="clear" w:color="000000" w:fill="C6E0B4"/>
            <w:noWrap/>
            <w:vAlign w:val="center"/>
            <w:hideMark/>
          </w:tcPr>
          <w:p w14:paraId="69B0F39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11</w:t>
            </w:r>
          </w:p>
        </w:tc>
        <w:tc>
          <w:tcPr>
            <w:tcW w:w="4678" w:type="dxa"/>
            <w:tcBorders>
              <w:top w:val="nil"/>
              <w:left w:val="nil"/>
              <w:bottom w:val="single" w:sz="4" w:space="0" w:color="auto"/>
              <w:right w:val="single" w:sz="4" w:space="0" w:color="auto"/>
            </w:tcBorders>
            <w:shd w:val="clear" w:color="auto" w:fill="auto"/>
            <w:hideMark/>
          </w:tcPr>
          <w:p w14:paraId="447E8F8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simple and quick to implement, cost expected to be low. Funded by Active Travel England for implementation of the LCWIP</w:t>
            </w:r>
          </w:p>
        </w:tc>
      </w:tr>
      <w:tr w:rsidR="002740BF" w:rsidRPr="002740BF" w14:paraId="568E01A0" w14:textId="77777777" w:rsidTr="002740BF">
        <w:trPr>
          <w:trHeight w:val="690"/>
        </w:trPr>
        <w:tc>
          <w:tcPr>
            <w:tcW w:w="80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FF24D4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TO5</w:t>
            </w:r>
          </w:p>
        </w:tc>
        <w:tc>
          <w:tcPr>
            <w:tcW w:w="1605" w:type="dxa"/>
            <w:tcBorders>
              <w:top w:val="nil"/>
              <w:left w:val="nil"/>
              <w:bottom w:val="single" w:sz="4" w:space="0" w:color="auto"/>
              <w:right w:val="single" w:sz="4" w:space="0" w:color="auto"/>
            </w:tcBorders>
            <w:shd w:val="clear" w:color="auto" w:fill="FFF2CC" w:themeFill="accent4" w:themeFillTint="33"/>
            <w:vAlign w:val="center"/>
            <w:hideMark/>
          </w:tcPr>
          <w:p w14:paraId="4D8BB11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Cycling</w:t>
            </w:r>
          </w:p>
        </w:tc>
        <w:tc>
          <w:tcPr>
            <w:tcW w:w="4111" w:type="dxa"/>
            <w:tcBorders>
              <w:top w:val="nil"/>
              <w:left w:val="nil"/>
              <w:bottom w:val="single" w:sz="4" w:space="0" w:color="auto"/>
              <w:right w:val="single" w:sz="4" w:space="0" w:color="auto"/>
            </w:tcBorders>
            <w:shd w:val="clear" w:color="auto" w:fill="FFF2CC" w:themeFill="accent4" w:themeFillTint="33"/>
            <w:vAlign w:val="center"/>
            <w:hideMark/>
          </w:tcPr>
          <w:p w14:paraId="031511A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Undertake annual accident reviews involving cyclists and introduce a programme of prioritised improvements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A52EEC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CSSD</w:t>
            </w:r>
          </w:p>
        </w:tc>
        <w:tc>
          <w:tcPr>
            <w:tcW w:w="1134" w:type="dxa"/>
            <w:tcBorders>
              <w:top w:val="nil"/>
              <w:left w:val="nil"/>
              <w:bottom w:val="single" w:sz="4" w:space="0" w:color="auto"/>
              <w:right w:val="single" w:sz="12" w:space="0" w:color="auto"/>
            </w:tcBorders>
            <w:shd w:val="clear" w:color="auto" w:fill="FFF2CC" w:themeFill="accent4" w:themeFillTint="33"/>
            <w:noWrap/>
            <w:vAlign w:val="center"/>
            <w:hideMark/>
          </w:tcPr>
          <w:p w14:paraId="3A9F7AE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76" w:type="dxa"/>
            <w:tcBorders>
              <w:top w:val="single" w:sz="4" w:space="0" w:color="auto"/>
              <w:left w:val="single" w:sz="12" w:space="0" w:color="auto"/>
              <w:bottom w:val="single" w:sz="4" w:space="0" w:color="auto"/>
              <w:right w:val="single" w:sz="4" w:space="0" w:color="auto"/>
            </w:tcBorders>
            <w:shd w:val="clear" w:color="000000" w:fill="E2EFDA"/>
            <w:noWrap/>
            <w:vAlign w:val="center"/>
            <w:hideMark/>
          </w:tcPr>
          <w:p w14:paraId="133BA1C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1BA144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AA9B2F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2B43F4F7"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691980E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559" w:type="dxa"/>
            <w:tcBorders>
              <w:top w:val="nil"/>
              <w:left w:val="nil"/>
              <w:bottom w:val="single" w:sz="4" w:space="0" w:color="auto"/>
              <w:right w:val="single" w:sz="4" w:space="0" w:color="auto"/>
            </w:tcBorders>
            <w:shd w:val="clear" w:color="000000" w:fill="C6E0B4"/>
            <w:noWrap/>
            <w:vAlign w:val="center"/>
            <w:hideMark/>
          </w:tcPr>
          <w:p w14:paraId="1272B0E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hideMark/>
          </w:tcPr>
          <w:p w14:paraId="54F8597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simple and quick to implement, cost expected to be low and officer delivered so no additional cost to Council</w:t>
            </w:r>
          </w:p>
        </w:tc>
      </w:tr>
    </w:tbl>
    <w:p w14:paraId="1B4276DA" w14:textId="77777777" w:rsidR="00E97512" w:rsidRDefault="00E97512">
      <w:pPr>
        <w:spacing w:before="0" w:after="0" w:line="240" w:lineRule="auto"/>
        <w:rPr>
          <w:b/>
          <w:bCs/>
          <w:u w:val="single"/>
        </w:rPr>
      </w:pPr>
      <w:r>
        <w:rPr>
          <w:b/>
          <w:bCs/>
          <w:u w:val="single"/>
        </w:rPr>
        <w:br w:type="page"/>
      </w:r>
    </w:p>
    <w:p w14:paraId="30338CBF" w14:textId="4BA52609" w:rsidR="002740BF" w:rsidRPr="00B05F43" w:rsidRDefault="00B05F43" w:rsidP="00887760">
      <w:pPr>
        <w:pStyle w:val="Tables"/>
      </w:pPr>
      <w:bookmarkStart w:id="170" w:name="_Toc160128562"/>
      <w:r>
        <w:lastRenderedPageBreak/>
        <w:t xml:space="preserve">Table C.4: </w:t>
      </w:r>
      <w:r w:rsidR="002740BF" w:rsidRPr="00B05F43">
        <w:t>Full Long List of Measures – Heath Education &amp; Awareness</w:t>
      </w:r>
      <w:bookmarkEnd w:id="170"/>
    </w:p>
    <w:tbl>
      <w:tblPr>
        <w:tblW w:w="21825" w:type="dxa"/>
        <w:tblLook w:val="04A0" w:firstRow="1" w:lastRow="0" w:firstColumn="1" w:lastColumn="0" w:noHBand="0" w:noVBand="1"/>
      </w:tblPr>
      <w:tblGrid>
        <w:gridCol w:w="1040"/>
        <w:gridCol w:w="1377"/>
        <w:gridCol w:w="4099"/>
        <w:gridCol w:w="1559"/>
        <w:gridCol w:w="1120"/>
        <w:gridCol w:w="1290"/>
        <w:gridCol w:w="1276"/>
        <w:gridCol w:w="1275"/>
        <w:gridCol w:w="1276"/>
        <w:gridCol w:w="1134"/>
        <w:gridCol w:w="1701"/>
        <w:gridCol w:w="4678"/>
      </w:tblGrid>
      <w:tr w:rsidR="002740BF" w:rsidRPr="002740BF" w14:paraId="3A9720B3" w14:textId="77777777" w:rsidTr="002740BF">
        <w:trPr>
          <w:trHeight w:val="460"/>
          <w:tblHeader/>
        </w:trPr>
        <w:tc>
          <w:tcPr>
            <w:tcW w:w="1040" w:type="dxa"/>
            <w:tcBorders>
              <w:top w:val="single" w:sz="4" w:space="0" w:color="auto"/>
              <w:left w:val="single" w:sz="4" w:space="0" w:color="auto"/>
              <w:bottom w:val="single" w:sz="12" w:space="0" w:color="auto"/>
              <w:right w:val="single" w:sz="4" w:space="0" w:color="auto"/>
            </w:tcBorders>
            <w:shd w:val="clear" w:color="000000" w:fill="C6E0B4"/>
            <w:vAlign w:val="center"/>
            <w:hideMark/>
          </w:tcPr>
          <w:p w14:paraId="5959F82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Aim</w:t>
            </w:r>
          </w:p>
        </w:tc>
        <w:tc>
          <w:tcPr>
            <w:tcW w:w="1377" w:type="dxa"/>
            <w:tcBorders>
              <w:top w:val="single" w:sz="4" w:space="0" w:color="auto"/>
              <w:left w:val="nil"/>
              <w:bottom w:val="single" w:sz="12" w:space="0" w:color="auto"/>
              <w:right w:val="single" w:sz="4" w:space="0" w:color="auto"/>
            </w:tcBorders>
            <w:shd w:val="clear" w:color="000000" w:fill="C6E0B4"/>
            <w:vAlign w:val="center"/>
            <w:hideMark/>
          </w:tcPr>
          <w:p w14:paraId="6B92D47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Theme </w:t>
            </w:r>
          </w:p>
        </w:tc>
        <w:tc>
          <w:tcPr>
            <w:tcW w:w="4099" w:type="dxa"/>
            <w:tcBorders>
              <w:top w:val="single" w:sz="4" w:space="0" w:color="auto"/>
              <w:left w:val="nil"/>
              <w:bottom w:val="single" w:sz="12" w:space="0" w:color="auto"/>
              <w:right w:val="single" w:sz="4" w:space="0" w:color="auto"/>
            </w:tcBorders>
            <w:shd w:val="clear" w:color="000000" w:fill="C6E0B4"/>
            <w:vAlign w:val="center"/>
            <w:hideMark/>
          </w:tcPr>
          <w:p w14:paraId="7AED348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Objective / Measure /Action</w:t>
            </w:r>
          </w:p>
        </w:tc>
        <w:tc>
          <w:tcPr>
            <w:tcW w:w="1559" w:type="dxa"/>
            <w:tcBorders>
              <w:top w:val="single" w:sz="4" w:space="0" w:color="auto"/>
              <w:left w:val="nil"/>
              <w:bottom w:val="single" w:sz="12" w:space="0" w:color="auto"/>
              <w:right w:val="single" w:sz="4" w:space="0" w:color="auto"/>
            </w:tcBorders>
            <w:shd w:val="clear" w:color="000000" w:fill="C6E0B4"/>
            <w:vAlign w:val="center"/>
            <w:hideMark/>
          </w:tcPr>
          <w:p w14:paraId="790485C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Policy / Strategy Alignment</w:t>
            </w:r>
          </w:p>
        </w:tc>
        <w:tc>
          <w:tcPr>
            <w:tcW w:w="1120" w:type="dxa"/>
            <w:tcBorders>
              <w:top w:val="single" w:sz="4" w:space="0" w:color="auto"/>
              <w:left w:val="nil"/>
              <w:bottom w:val="single" w:sz="12" w:space="0" w:color="auto"/>
              <w:right w:val="single" w:sz="12" w:space="0" w:color="auto"/>
            </w:tcBorders>
            <w:shd w:val="clear" w:color="000000" w:fill="C6E0B4"/>
            <w:vAlign w:val="center"/>
            <w:hideMark/>
          </w:tcPr>
          <w:p w14:paraId="3D8D8E7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Affected AQMAs</w:t>
            </w:r>
          </w:p>
        </w:tc>
        <w:tc>
          <w:tcPr>
            <w:tcW w:w="1290" w:type="dxa"/>
            <w:tcBorders>
              <w:top w:val="single" w:sz="4" w:space="0" w:color="auto"/>
              <w:left w:val="single" w:sz="12" w:space="0" w:color="auto"/>
              <w:bottom w:val="single" w:sz="12" w:space="0" w:color="auto"/>
              <w:right w:val="single" w:sz="4" w:space="0" w:color="auto"/>
            </w:tcBorders>
            <w:shd w:val="clear" w:color="000000" w:fill="91C36F"/>
            <w:vAlign w:val="center"/>
            <w:hideMark/>
          </w:tcPr>
          <w:p w14:paraId="7AA0583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Potential for Reduction</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7464BA5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Technical Feasibility</w:t>
            </w:r>
          </w:p>
        </w:tc>
        <w:tc>
          <w:tcPr>
            <w:tcW w:w="1275" w:type="dxa"/>
            <w:tcBorders>
              <w:top w:val="single" w:sz="4" w:space="0" w:color="auto"/>
              <w:left w:val="nil"/>
              <w:bottom w:val="single" w:sz="12" w:space="0" w:color="auto"/>
              <w:right w:val="single" w:sz="4" w:space="0" w:color="auto"/>
            </w:tcBorders>
            <w:shd w:val="clear" w:color="000000" w:fill="91C36F"/>
            <w:vAlign w:val="center"/>
            <w:hideMark/>
          </w:tcPr>
          <w:p w14:paraId="574CF0A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Timeframe</w:t>
            </w:r>
          </w:p>
        </w:tc>
        <w:tc>
          <w:tcPr>
            <w:tcW w:w="1276" w:type="dxa"/>
            <w:tcBorders>
              <w:top w:val="single" w:sz="4" w:space="0" w:color="auto"/>
              <w:left w:val="nil"/>
              <w:bottom w:val="single" w:sz="12" w:space="0" w:color="auto"/>
              <w:right w:val="single" w:sz="4" w:space="0" w:color="auto"/>
            </w:tcBorders>
            <w:shd w:val="clear" w:color="000000" w:fill="91C36F"/>
            <w:vAlign w:val="center"/>
            <w:hideMark/>
          </w:tcPr>
          <w:p w14:paraId="3DB9CD5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Cost</w:t>
            </w:r>
          </w:p>
        </w:tc>
        <w:tc>
          <w:tcPr>
            <w:tcW w:w="1134" w:type="dxa"/>
            <w:tcBorders>
              <w:top w:val="single" w:sz="4" w:space="0" w:color="auto"/>
              <w:left w:val="nil"/>
              <w:bottom w:val="single" w:sz="12" w:space="0" w:color="auto"/>
              <w:right w:val="single" w:sz="4" w:space="0" w:color="auto"/>
            </w:tcBorders>
            <w:shd w:val="clear" w:color="000000" w:fill="91C36F"/>
            <w:vAlign w:val="center"/>
            <w:hideMark/>
          </w:tcPr>
          <w:p w14:paraId="1C06D70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Funding </w:t>
            </w:r>
          </w:p>
        </w:tc>
        <w:tc>
          <w:tcPr>
            <w:tcW w:w="1701" w:type="dxa"/>
            <w:tcBorders>
              <w:top w:val="single" w:sz="4" w:space="0" w:color="auto"/>
              <w:left w:val="nil"/>
              <w:bottom w:val="single" w:sz="12" w:space="0" w:color="auto"/>
              <w:right w:val="single" w:sz="4" w:space="0" w:color="auto"/>
            </w:tcBorders>
            <w:shd w:val="clear" w:color="000000" w:fill="91C36F"/>
            <w:vAlign w:val="center"/>
            <w:hideMark/>
          </w:tcPr>
          <w:p w14:paraId="4D72D96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Viability Score</w:t>
            </w:r>
          </w:p>
        </w:tc>
        <w:tc>
          <w:tcPr>
            <w:tcW w:w="4678" w:type="dxa"/>
            <w:tcBorders>
              <w:top w:val="single" w:sz="4" w:space="0" w:color="auto"/>
              <w:left w:val="nil"/>
              <w:bottom w:val="single" w:sz="12" w:space="0" w:color="auto"/>
              <w:right w:val="single" w:sz="4" w:space="0" w:color="auto"/>
            </w:tcBorders>
            <w:shd w:val="clear" w:color="000000" w:fill="C6E0B4"/>
            <w:vAlign w:val="center"/>
            <w:hideMark/>
          </w:tcPr>
          <w:p w14:paraId="4A0B9D1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Comment </w:t>
            </w:r>
          </w:p>
        </w:tc>
      </w:tr>
      <w:tr w:rsidR="002740BF" w:rsidRPr="002740BF" w14:paraId="6A85BF25" w14:textId="77777777" w:rsidTr="002740BF">
        <w:trPr>
          <w:trHeight w:val="690"/>
        </w:trPr>
        <w:tc>
          <w:tcPr>
            <w:tcW w:w="1040" w:type="dxa"/>
            <w:tcBorders>
              <w:top w:val="single" w:sz="12"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2CE519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single" w:sz="12" w:space="0" w:color="auto"/>
              <w:left w:val="nil"/>
              <w:bottom w:val="single" w:sz="4" w:space="0" w:color="auto"/>
              <w:right w:val="single" w:sz="4" w:space="0" w:color="auto"/>
            </w:tcBorders>
            <w:shd w:val="clear" w:color="auto" w:fill="FFF2CC" w:themeFill="accent4" w:themeFillTint="33"/>
            <w:noWrap/>
            <w:vAlign w:val="center"/>
            <w:hideMark/>
          </w:tcPr>
          <w:p w14:paraId="501CCA2C"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Partnerships</w:t>
            </w:r>
          </w:p>
        </w:tc>
        <w:tc>
          <w:tcPr>
            <w:tcW w:w="4099" w:type="dxa"/>
            <w:tcBorders>
              <w:top w:val="single" w:sz="12" w:space="0" w:color="auto"/>
              <w:left w:val="nil"/>
              <w:bottom w:val="single" w:sz="4" w:space="0" w:color="auto"/>
              <w:right w:val="single" w:sz="4" w:space="0" w:color="auto"/>
            </w:tcBorders>
            <w:shd w:val="clear" w:color="auto" w:fill="FFF2CC" w:themeFill="accent4" w:themeFillTint="33"/>
            <w:vAlign w:val="center"/>
            <w:hideMark/>
          </w:tcPr>
          <w:p w14:paraId="7B84DC49"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Reconnect with local and regional collaborative groups such as Get Berkshire Active, Everyone Active, and Active Slough</w:t>
            </w:r>
          </w:p>
        </w:tc>
        <w:tc>
          <w:tcPr>
            <w:tcW w:w="1559" w:type="dxa"/>
            <w:tcBorders>
              <w:top w:val="single" w:sz="12" w:space="0" w:color="auto"/>
              <w:left w:val="nil"/>
              <w:bottom w:val="single" w:sz="4" w:space="0" w:color="auto"/>
              <w:right w:val="single" w:sz="4" w:space="0" w:color="auto"/>
            </w:tcBorders>
            <w:shd w:val="clear" w:color="auto" w:fill="FFF2CC" w:themeFill="accent4" w:themeFillTint="33"/>
            <w:vAlign w:val="center"/>
            <w:hideMark/>
          </w:tcPr>
          <w:p w14:paraId="3303E8B6" w14:textId="58F89130"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single" w:sz="12" w:space="0" w:color="auto"/>
              <w:left w:val="nil"/>
              <w:bottom w:val="single" w:sz="4" w:space="0" w:color="auto"/>
              <w:right w:val="single" w:sz="12" w:space="0" w:color="auto"/>
            </w:tcBorders>
            <w:shd w:val="clear" w:color="auto" w:fill="FFF2CC" w:themeFill="accent4" w:themeFillTint="33"/>
            <w:noWrap/>
            <w:vAlign w:val="center"/>
            <w:hideMark/>
          </w:tcPr>
          <w:p w14:paraId="3803624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single" w:sz="12" w:space="0" w:color="auto"/>
              <w:left w:val="single" w:sz="12" w:space="0" w:color="auto"/>
              <w:bottom w:val="single" w:sz="4" w:space="0" w:color="auto"/>
              <w:right w:val="single" w:sz="4" w:space="0" w:color="auto"/>
            </w:tcBorders>
            <w:shd w:val="clear" w:color="000000" w:fill="E2EFDA"/>
            <w:noWrap/>
            <w:vAlign w:val="center"/>
            <w:hideMark/>
          </w:tcPr>
          <w:p w14:paraId="74DD7D8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70249D8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single" w:sz="12" w:space="0" w:color="auto"/>
              <w:left w:val="nil"/>
              <w:bottom w:val="single" w:sz="4" w:space="0" w:color="auto"/>
              <w:right w:val="single" w:sz="4" w:space="0" w:color="auto"/>
            </w:tcBorders>
            <w:shd w:val="clear" w:color="000000" w:fill="E2EFDA"/>
            <w:noWrap/>
            <w:vAlign w:val="center"/>
            <w:hideMark/>
          </w:tcPr>
          <w:p w14:paraId="47BCDC0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single" w:sz="12" w:space="0" w:color="auto"/>
              <w:left w:val="nil"/>
              <w:bottom w:val="single" w:sz="4" w:space="0" w:color="auto"/>
              <w:right w:val="single" w:sz="4" w:space="0" w:color="auto"/>
            </w:tcBorders>
            <w:shd w:val="clear" w:color="000000" w:fill="E2EFDA"/>
            <w:noWrap/>
            <w:vAlign w:val="center"/>
            <w:hideMark/>
          </w:tcPr>
          <w:p w14:paraId="3352B09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single" w:sz="12" w:space="0" w:color="auto"/>
              <w:left w:val="nil"/>
              <w:bottom w:val="single" w:sz="4" w:space="0" w:color="auto"/>
              <w:right w:val="single" w:sz="4" w:space="0" w:color="auto"/>
            </w:tcBorders>
            <w:shd w:val="clear" w:color="000000" w:fill="E2EFDA"/>
            <w:noWrap/>
            <w:vAlign w:val="center"/>
            <w:hideMark/>
          </w:tcPr>
          <w:p w14:paraId="064E8BB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single" w:sz="12" w:space="0" w:color="auto"/>
              <w:left w:val="nil"/>
              <w:bottom w:val="single" w:sz="4" w:space="0" w:color="auto"/>
              <w:right w:val="single" w:sz="4" w:space="0" w:color="auto"/>
            </w:tcBorders>
            <w:shd w:val="clear" w:color="000000" w:fill="C6E0B4"/>
            <w:noWrap/>
            <w:vAlign w:val="center"/>
            <w:hideMark/>
          </w:tcPr>
          <w:p w14:paraId="0E51ED8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7</w:t>
            </w:r>
          </w:p>
        </w:tc>
        <w:tc>
          <w:tcPr>
            <w:tcW w:w="4678" w:type="dxa"/>
            <w:tcBorders>
              <w:top w:val="single" w:sz="12" w:space="0" w:color="auto"/>
              <w:left w:val="nil"/>
              <w:bottom w:val="single" w:sz="4" w:space="0" w:color="auto"/>
              <w:right w:val="single" w:sz="4" w:space="0" w:color="auto"/>
            </w:tcBorders>
            <w:shd w:val="clear" w:color="auto" w:fill="auto"/>
            <w:vAlign w:val="center"/>
            <w:hideMark/>
          </w:tcPr>
          <w:p w14:paraId="781220E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Positive indirect AQ impact, feasibility affected by officer time, but no cost to Council</w:t>
            </w:r>
          </w:p>
        </w:tc>
      </w:tr>
      <w:tr w:rsidR="002740BF" w:rsidRPr="002740BF" w14:paraId="50DD4E76"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802DE5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noWrap/>
            <w:vAlign w:val="center"/>
            <w:hideMark/>
          </w:tcPr>
          <w:p w14:paraId="11175DC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Partnerships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4876914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Redevelop and relaunch Smarter Travel Programme focussing on improving active travel uptake with businesses, schools, healthcare establishments and local communities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07AF80A0" w14:textId="1FD6D818"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72E61FF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0165162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1E0FC4B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5DF96AB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47F6DC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134" w:type="dxa"/>
            <w:tcBorders>
              <w:top w:val="nil"/>
              <w:left w:val="nil"/>
              <w:bottom w:val="single" w:sz="4" w:space="0" w:color="auto"/>
              <w:right w:val="single" w:sz="4" w:space="0" w:color="auto"/>
            </w:tcBorders>
            <w:shd w:val="clear" w:color="000000" w:fill="E2EFDA"/>
            <w:noWrap/>
            <w:vAlign w:val="center"/>
            <w:hideMark/>
          </w:tcPr>
          <w:p w14:paraId="67A2EFC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70D5EE5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15</w:t>
            </w:r>
          </w:p>
        </w:tc>
        <w:tc>
          <w:tcPr>
            <w:tcW w:w="4678" w:type="dxa"/>
            <w:tcBorders>
              <w:top w:val="nil"/>
              <w:left w:val="nil"/>
              <w:bottom w:val="single" w:sz="4" w:space="0" w:color="auto"/>
              <w:right w:val="single" w:sz="4" w:space="0" w:color="auto"/>
            </w:tcBorders>
            <w:shd w:val="clear" w:color="auto" w:fill="auto"/>
            <w:vAlign w:val="center"/>
            <w:hideMark/>
          </w:tcPr>
          <w:p w14:paraId="5A24CD1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0D11915E"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517F3E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noWrap/>
            <w:vAlign w:val="center"/>
            <w:hideMark/>
          </w:tcPr>
          <w:p w14:paraId="12F512D4"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Partnerships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5EE0190B"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Develop travel plan toolkit for businesses, schools, healthcare establishments and local communities, with option to support groups with bespoke travel information.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62DA684" w14:textId="317D84A4"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305A08E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0914051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01443A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473767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C95950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134" w:type="dxa"/>
            <w:tcBorders>
              <w:top w:val="nil"/>
              <w:left w:val="nil"/>
              <w:bottom w:val="single" w:sz="4" w:space="0" w:color="auto"/>
              <w:right w:val="single" w:sz="4" w:space="0" w:color="auto"/>
            </w:tcBorders>
            <w:shd w:val="clear" w:color="000000" w:fill="E2EFDA"/>
            <w:noWrap/>
            <w:vAlign w:val="center"/>
            <w:hideMark/>
          </w:tcPr>
          <w:p w14:paraId="7183959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600ED6D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15</w:t>
            </w:r>
          </w:p>
        </w:tc>
        <w:tc>
          <w:tcPr>
            <w:tcW w:w="4678" w:type="dxa"/>
            <w:tcBorders>
              <w:top w:val="nil"/>
              <w:left w:val="nil"/>
              <w:bottom w:val="single" w:sz="4" w:space="0" w:color="auto"/>
              <w:right w:val="single" w:sz="4" w:space="0" w:color="auto"/>
            </w:tcBorders>
            <w:shd w:val="clear" w:color="auto" w:fill="auto"/>
            <w:vAlign w:val="center"/>
            <w:hideMark/>
          </w:tcPr>
          <w:p w14:paraId="3453C74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48BDC958"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602860E"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noWrap/>
            <w:vAlign w:val="center"/>
            <w:hideMark/>
          </w:tcPr>
          <w:p w14:paraId="59DDCF28"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Partnerships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2D6105F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Launch a road safety education and training programme for businesses, schools, healthcare establishments and local communities, as part of the Smarter Travel Programme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7E2F167E" w14:textId="522CCD9E"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6F7ED55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6FCB1DE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E481DA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FA5B88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3A4E35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134" w:type="dxa"/>
            <w:tcBorders>
              <w:top w:val="nil"/>
              <w:left w:val="nil"/>
              <w:bottom w:val="single" w:sz="4" w:space="0" w:color="auto"/>
              <w:right w:val="single" w:sz="4" w:space="0" w:color="auto"/>
            </w:tcBorders>
            <w:shd w:val="clear" w:color="000000" w:fill="E2EFDA"/>
            <w:noWrap/>
            <w:vAlign w:val="center"/>
            <w:hideMark/>
          </w:tcPr>
          <w:p w14:paraId="47B35C3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46E4DC3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15</w:t>
            </w:r>
          </w:p>
        </w:tc>
        <w:tc>
          <w:tcPr>
            <w:tcW w:w="4678" w:type="dxa"/>
            <w:tcBorders>
              <w:top w:val="nil"/>
              <w:left w:val="nil"/>
              <w:bottom w:val="single" w:sz="4" w:space="0" w:color="auto"/>
              <w:right w:val="single" w:sz="4" w:space="0" w:color="auto"/>
            </w:tcBorders>
            <w:shd w:val="clear" w:color="auto" w:fill="auto"/>
            <w:vAlign w:val="center"/>
            <w:hideMark/>
          </w:tcPr>
          <w:p w14:paraId="54E0A24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582246CE"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3E2091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noWrap/>
            <w:vAlign w:val="center"/>
            <w:hideMark/>
          </w:tcPr>
          <w:p w14:paraId="018476B4"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Partnerships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51CA90B6"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Develop an events delivery plan for businesses, schools, healthcare and communities, including annual campaigns such as Clean Air Day and Clean Air Night, delivered annually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631E6E3B" w14:textId="6BABBA41"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2177CA1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0B919DF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C65E7F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C81DE4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3D383B8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314FA02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56C0AFC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3924E99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Positive indirect AQ impact, may take time to develop and coordinate with other departments, no cost to Council</w:t>
            </w:r>
          </w:p>
        </w:tc>
      </w:tr>
      <w:tr w:rsidR="002740BF" w:rsidRPr="002740BF" w14:paraId="31034D1F" w14:textId="77777777" w:rsidTr="002740BF">
        <w:trPr>
          <w:trHeight w:val="170"/>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6033DD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3567C48F"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Clean Air Partnerships - Communities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68EC73EB" w14:textId="77777777" w:rsidR="002740BF" w:rsidRPr="002740BF" w:rsidRDefault="002740BF" w:rsidP="002740BF">
            <w:pPr>
              <w:spacing w:before="0" w:after="240" w:line="240" w:lineRule="auto"/>
              <w:rPr>
                <w:rFonts w:cs="Arial"/>
                <w:sz w:val="18"/>
                <w:szCs w:val="18"/>
                <w:lang w:eastAsia="en-GB"/>
              </w:rPr>
            </w:pPr>
            <w:r w:rsidRPr="002740BF">
              <w:rPr>
                <w:rFonts w:cs="Arial"/>
                <w:sz w:val="18"/>
                <w:szCs w:val="18"/>
                <w:lang w:eastAsia="en-GB"/>
              </w:rPr>
              <w:t xml:space="preserve">Establish a community partnership group which includes air quality champions for each ward, options for residents to lead on air quality initiatives such as Play Streets and Low Traffic Neighbourhoods, and promotion of air quality initiatives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227F3A2" w14:textId="78E5D9D3"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61BA71F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48B2914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57B4ED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68D75D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BEE6EC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651BBE0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7456CDB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411DD86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Positive indirect AQ impact, feasibility affected by officer time and may take time to establish, but no cost to Council</w:t>
            </w:r>
          </w:p>
        </w:tc>
      </w:tr>
      <w:tr w:rsidR="002740BF" w:rsidRPr="002740BF" w14:paraId="64518ADA"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6B25B1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635DE12A"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Clean Air Partnerships - Businesses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2393F79A" w14:textId="3DBCA945"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Establish a business partnership with key employers to increase awareness of poor air quality and promote sustainable travel e.g. health-related initiatives such as 'Park and Stride' and promotion of Slough Healthy Workplaces strategy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7E8EA5A2" w14:textId="1E4DC63F"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41753E2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49DD184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1F9670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7F1A44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C38D90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1BEA4D6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06A7AE2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69CFCF5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0DCA1743"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48B60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2B7BBC14"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Clean Air Partnerships - Schools</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44EB121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Establish a school partnership to increase physical activity through active travel initiatives and raising air quality awareness through the school system, including the development of Clean Air Plans for schools in AQMAs</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09212F55" w14:textId="0D0E4766"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59218DD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774B799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585C70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830C0D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162D08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66E6650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2FBF31F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54EC717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30D8BAC0"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CEB12D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HEAO1</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013DE5F3" w14:textId="77777777"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Partnerships - Healthcare </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3EAB3EB8" w14:textId="3EBEA37B"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xml:space="preserve">Establish a healthcare partnership to increase sustainable access to healthcare facilities, improve knowledge dissemination, and promote the Clean Air Hospitals Framework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4A91EF76" w14:textId="080F6615" w:rsidR="002740BF" w:rsidRPr="002740BF" w:rsidRDefault="002740BF" w:rsidP="002740BF">
            <w:pPr>
              <w:spacing w:before="0" w:after="0" w:line="240" w:lineRule="auto"/>
              <w:rPr>
                <w:rFonts w:cs="Arial"/>
                <w:sz w:val="18"/>
                <w:szCs w:val="18"/>
                <w:lang w:eastAsia="en-GB"/>
              </w:rPr>
            </w:pPr>
            <w:r w:rsidRPr="002740BF">
              <w:rPr>
                <w:rFonts w:cs="Arial"/>
                <w:sz w:val="18"/>
                <w:szCs w:val="18"/>
                <w:lang w:eastAsia="en-GB"/>
              </w:rPr>
              <w:t> </w:t>
            </w:r>
            <w:r w:rsidR="008C07E4">
              <w:rPr>
                <w:rFonts w:cs="Arial"/>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5B9C664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1A0C4E3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520819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B179AB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3979F7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2ACEA16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5411E2B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4D32CC6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Positive indirect AQ impact, feasibility affected by officer time, expected to be delivered via capability fund / active transport grant and public health support </w:t>
            </w:r>
          </w:p>
        </w:tc>
      </w:tr>
      <w:tr w:rsidR="002740BF" w:rsidRPr="002740BF" w14:paraId="39BE5859"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581331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HEAO2</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4891BCF1" w14:textId="38B1AF2C"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Information dissemination</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1A0A3D4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Improve accessibility, functionality and ease of use of council air quality webpages - e.g. may include information on EV charging</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5DC6F9C" w14:textId="4A188581"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sidR="008C07E4">
              <w:rPr>
                <w:rFonts w:cs="Arial"/>
                <w:color w:val="000000"/>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44B25F5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0A00FBE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2CD931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3905A4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53E3505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528E2CE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335DEAE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6</w:t>
            </w:r>
          </w:p>
        </w:tc>
        <w:tc>
          <w:tcPr>
            <w:tcW w:w="4678" w:type="dxa"/>
            <w:tcBorders>
              <w:top w:val="nil"/>
              <w:left w:val="nil"/>
              <w:bottom w:val="single" w:sz="4" w:space="0" w:color="auto"/>
              <w:right w:val="single" w:sz="4" w:space="0" w:color="auto"/>
            </w:tcBorders>
            <w:shd w:val="clear" w:color="auto" w:fill="auto"/>
            <w:vAlign w:val="center"/>
            <w:hideMark/>
          </w:tcPr>
          <w:p w14:paraId="35091D8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relatively quick and simple to implement, no cost to Council</w:t>
            </w:r>
          </w:p>
        </w:tc>
      </w:tr>
      <w:tr w:rsidR="002740BF" w:rsidRPr="002740BF" w14:paraId="606FCE4A"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65030C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HEAO2</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5D6C82C8" w14:textId="15B25019"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Information dissemination</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26E224D9" w14:textId="27005C11"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Improve public information dissemination on air quality via social media platforms and direct messaging via AirTEXT</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4CAC6BC7" w14:textId="13CC6A7C"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Pr>
                <w:rFonts w:cs="Arial"/>
                <w:color w:val="000000"/>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0DAF8E0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22E983F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379064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5" w:type="dxa"/>
            <w:tcBorders>
              <w:top w:val="nil"/>
              <w:left w:val="nil"/>
              <w:bottom w:val="single" w:sz="4" w:space="0" w:color="auto"/>
              <w:right w:val="single" w:sz="4" w:space="0" w:color="auto"/>
            </w:tcBorders>
            <w:shd w:val="clear" w:color="000000" w:fill="E2EFDA"/>
            <w:noWrap/>
            <w:vAlign w:val="center"/>
            <w:hideMark/>
          </w:tcPr>
          <w:p w14:paraId="04F3BB2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276" w:type="dxa"/>
            <w:tcBorders>
              <w:top w:val="nil"/>
              <w:left w:val="nil"/>
              <w:bottom w:val="single" w:sz="4" w:space="0" w:color="auto"/>
              <w:right w:val="single" w:sz="4" w:space="0" w:color="auto"/>
            </w:tcBorders>
            <w:shd w:val="clear" w:color="000000" w:fill="E2EFDA"/>
            <w:noWrap/>
            <w:vAlign w:val="center"/>
            <w:hideMark/>
          </w:tcPr>
          <w:p w14:paraId="156062E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2DBFCCB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321CEE7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11</w:t>
            </w:r>
          </w:p>
        </w:tc>
        <w:tc>
          <w:tcPr>
            <w:tcW w:w="4678" w:type="dxa"/>
            <w:tcBorders>
              <w:top w:val="nil"/>
              <w:left w:val="nil"/>
              <w:bottom w:val="single" w:sz="4" w:space="0" w:color="auto"/>
              <w:right w:val="single" w:sz="4" w:space="0" w:color="auto"/>
            </w:tcBorders>
            <w:shd w:val="clear" w:color="auto" w:fill="auto"/>
            <w:vAlign w:val="center"/>
            <w:hideMark/>
          </w:tcPr>
          <w:p w14:paraId="1AF5BD6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relatively quick and simple to implement, no cost to Council</w:t>
            </w:r>
          </w:p>
        </w:tc>
      </w:tr>
      <w:tr w:rsidR="002740BF" w:rsidRPr="002740BF" w14:paraId="6CEFD88D"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49DDB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78CBF12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physical activity</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42F0259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Develop programme of community engagement work that is focussed on prevention and health improvement by increasing opportunities for physical activity</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1DDD37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PH - Healthy Behaviours Surveys</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0606410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38F9068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47D2FB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19CF0FA"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CD56AB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326B6AF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5DF3249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53CFFB7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Indirect AQ impact, feasibility affected by officer time, may take time to develop and implement, none or minimal costs</w:t>
            </w:r>
          </w:p>
        </w:tc>
      </w:tr>
      <w:tr w:rsidR="002740BF" w:rsidRPr="002740BF" w14:paraId="1D5DAEDB"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85399E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4A42FB9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physical activity</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06B9D7A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Assist residents accessing healthcare facilities to improve physical activity levels through social prescribing and exercise referral schemes</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2293ADD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PH - Healthy Behaviours Surveys</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1680C81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658973B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52957B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7E17340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B3449A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7FFBA7B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745D51C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3B17DBF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may take time to develop and implement, no cost to Council </w:t>
            </w:r>
          </w:p>
        </w:tc>
      </w:tr>
      <w:tr w:rsidR="002740BF" w:rsidRPr="002740BF" w14:paraId="66DE23CA"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E09B62A"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459E425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physical activity</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6364290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Reduce inequalities by advocating  targeted interventions for disabled and marginalised groups to ensure appropriate services are available for everyone making healthy lifestyle changes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4878D9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PH - Healthy Behaviours Surveys</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2F4FF1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28DFBB6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2A25D21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07F9642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583A43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2640152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0378F32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9</w:t>
            </w:r>
          </w:p>
        </w:tc>
        <w:tc>
          <w:tcPr>
            <w:tcW w:w="4678" w:type="dxa"/>
            <w:tcBorders>
              <w:top w:val="nil"/>
              <w:left w:val="nil"/>
              <w:bottom w:val="single" w:sz="4" w:space="0" w:color="auto"/>
              <w:right w:val="single" w:sz="4" w:space="0" w:color="auto"/>
            </w:tcBorders>
            <w:shd w:val="clear" w:color="auto" w:fill="auto"/>
            <w:vAlign w:val="center"/>
            <w:hideMark/>
          </w:tcPr>
          <w:p w14:paraId="5214110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may take time to develop and implement, no cost to Council </w:t>
            </w:r>
          </w:p>
        </w:tc>
      </w:tr>
      <w:tr w:rsidR="002740BF" w:rsidRPr="002740BF" w14:paraId="2FD1AD0B"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0FEBF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lastRenderedPageBreak/>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44DBB4E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transport</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3BB6C8E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Promote and support the uptake of ULEVs though raising awareness of car emission issues and the benefits of alternative fuelled cars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6E46CD8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LES</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2D471B3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1BECEEB8"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B8ED07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60E0A4A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251A37E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79E01F9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2629C3C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13</w:t>
            </w:r>
          </w:p>
        </w:tc>
        <w:tc>
          <w:tcPr>
            <w:tcW w:w="4678" w:type="dxa"/>
            <w:tcBorders>
              <w:top w:val="nil"/>
              <w:left w:val="nil"/>
              <w:bottom w:val="single" w:sz="4" w:space="0" w:color="auto"/>
              <w:right w:val="single" w:sz="4" w:space="0" w:color="auto"/>
            </w:tcBorders>
            <w:shd w:val="clear" w:color="auto" w:fill="auto"/>
            <w:vAlign w:val="center"/>
            <w:hideMark/>
          </w:tcPr>
          <w:p w14:paraId="2B49230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feasibility affected by officer time and will likely take time to deliver projects. No cost to the Council </w:t>
            </w:r>
          </w:p>
        </w:tc>
      </w:tr>
      <w:tr w:rsidR="002740BF" w:rsidRPr="002740BF" w14:paraId="2BFF44E8"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9E84F3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0034EBF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transport</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094D58E5"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Tackle the perceived and actual barriers to EV ownership through targeted marketing, promotion and information</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77580DD3"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LES</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08174E8F"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012D7256"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787EB1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451A9E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0BEF766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7C9E40C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5</w:t>
            </w:r>
          </w:p>
        </w:tc>
        <w:tc>
          <w:tcPr>
            <w:tcW w:w="1701" w:type="dxa"/>
            <w:tcBorders>
              <w:top w:val="nil"/>
              <w:left w:val="nil"/>
              <w:bottom w:val="single" w:sz="4" w:space="0" w:color="auto"/>
              <w:right w:val="single" w:sz="4" w:space="0" w:color="auto"/>
            </w:tcBorders>
            <w:shd w:val="clear" w:color="000000" w:fill="C6E0B4"/>
            <w:noWrap/>
            <w:vAlign w:val="center"/>
            <w:hideMark/>
          </w:tcPr>
          <w:p w14:paraId="5E29148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14</w:t>
            </w:r>
          </w:p>
        </w:tc>
        <w:tc>
          <w:tcPr>
            <w:tcW w:w="4678" w:type="dxa"/>
            <w:tcBorders>
              <w:top w:val="nil"/>
              <w:left w:val="nil"/>
              <w:bottom w:val="single" w:sz="4" w:space="0" w:color="auto"/>
              <w:right w:val="single" w:sz="4" w:space="0" w:color="auto"/>
            </w:tcBorders>
            <w:shd w:val="clear" w:color="auto" w:fill="auto"/>
            <w:vAlign w:val="center"/>
            <w:hideMark/>
          </w:tcPr>
          <w:p w14:paraId="6906267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and likely to take time to develop. Some costs likely but can be covered via PH or S106. Only effective if repeated. </w:t>
            </w:r>
          </w:p>
        </w:tc>
      </w:tr>
      <w:tr w:rsidR="002740BF" w:rsidRPr="002740BF" w14:paraId="40F77F30"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B03344C" w14:textId="0A2706E6"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w:t>
            </w:r>
            <w:r>
              <w:rPr>
                <w:rFonts w:cs="Arial"/>
                <w:color w:val="000000"/>
                <w:sz w:val="18"/>
                <w:szCs w:val="18"/>
                <w:lang w:eastAsia="en-GB"/>
              </w:rPr>
              <w:t>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44FA346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-transport</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4DB949BB"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Deliver a campaign focusing on roadside emissions focusing on emission and exposure reduction solutions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584E5D81" w14:textId="07111270"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Pr>
                <w:rFonts w:cs="Arial"/>
                <w:color w:val="000000"/>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5165FE25"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50D3BAF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65B77FC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4BAEA38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05C54E6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7D5CF099"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7187061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640222A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costs expected to be minimal dependent on scale of campaign. Only effective if repeated </w:t>
            </w:r>
          </w:p>
        </w:tc>
      </w:tr>
      <w:tr w:rsidR="002740BF" w:rsidRPr="002740BF" w14:paraId="0722C1C8"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1D72236"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65486049"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energy efficiency</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24A2B54D"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Undertake an energy efficiency awareness campaign to improve public knowledge on reducing consumption, renewable sources and behavioural changes to improve emissions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11120A37"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CCM</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7C1E9F2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3DCC2D0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5CE73BD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DEF244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4A4ED59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4D63CA21"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084E458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3DCD46D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likely to take time to develop. Some costs likely but can be covered via PH or S106. Only effective if repeated. </w:t>
            </w:r>
          </w:p>
        </w:tc>
      </w:tr>
      <w:tr w:rsidR="002740BF" w:rsidRPr="002740BF" w14:paraId="0E610D23"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70C0D0"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0FA1DD62"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Healthy choices - smoke control</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4FB6A8B4"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Run a campaign each winter to raise awareness of smoke control, information sharing on health effects of wood burning and adequate ventilation</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2D72F2C2" w14:textId="6AB559BF"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Pr>
                <w:rFonts w:cs="Arial"/>
                <w:color w:val="000000"/>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2DD7CF8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4B401ED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75ECFB6B"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1F7630B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14384F5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4F47F16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1603E1F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2E01994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and likely to take time. Costs expected to be low and supported by PH.  </w:t>
            </w:r>
          </w:p>
        </w:tc>
      </w:tr>
      <w:tr w:rsidR="002740BF" w:rsidRPr="002740BF" w14:paraId="6B8E203E" w14:textId="77777777" w:rsidTr="002740BF">
        <w:trPr>
          <w:trHeight w:val="59"/>
        </w:trPr>
        <w:tc>
          <w:tcPr>
            <w:tcW w:w="104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41A5DF"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HEAO3</w:t>
            </w:r>
          </w:p>
        </w:tc>
        <w:tc>
          <w:tcPr>
            <w:tcW w:w="1377" w:type="dxa"/>
            <w:tcBorders>
              <w:top w:val="nil"/>
              <w:left w:val="nil"/>
              <w:bottom w:val="single" w:sz="4" w:space="0" w:color="auto"/>
              <w:right w:val="single" w:sz="4" w:space="0" w:color="auto"/>
            </w:tcBorders>
            <w:shd w:val="clear" w:color="auto" w:fill="FFF2CC" w:themeFill="accent4" w:themeFillTint="33"/>
            <w:vAlign w:val="center"/>
            <w:hideMark/>
          </w:tcPr>
          <w:p w14:paraId="3D8531A8"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Healthy choices - indoor air quality </w:t>
            </w:r>
          </w:p>
        </w:tc>
        <w:tc>
          <w:tcPr>
            <w:tcW w:w="4099" w:type="dxa"/>
            <w:tcBorders>
              <w:top w:val="nil"/>
              <w:left w:val="nil"/>
              <w:bottom w:val="single" w:sz="4" w:space="0" w:color="auto"/>
              <w:right w:val="single" w:sz="4" w:space="0" w:color="auto"/>
            </w:tcBorders>
            <w:shd w:val="clear" w:color="auto" w:fill="FFF2CC" w:themeFill="accent4" w:themeFillTint="33"/>
            <w:vAlign w:val="center"/>
            <w:hideMark/>
          </w:tcPr>
          <w:p w14:paraId="39CEC51C"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Work in collaboration with public health to raise awareness of the risks associated with poor indoor air quality </w:t>
            </w:r>
          </w:p>
        </w:tc>
        <w:tc>
          <w:tcPr>
            <w:tcW w:w="1559" w:type="dxa"/>
            <w:tcBorders>
              <w:top w:val="nil"/>
              <w:left w:val="nil"/>
              <w:bottom w:val="single" w:sz="4" w:space="0" w:color="auto"/>
              <w:right w:val="single" w:sz="4" w:space="0" w:color="auto"/>
            </w:tcBorders>
            <w:shd w:val="clear" w:color="auto" w:fill="FFF2CC" w:themeFill="accent4" w:themeFillTint="33"/>
            <w:vAlign w:val="center"/>
            <w:hideMark/>
          </w:tcPr>
          <w:p w14:paraId="4C6C9D29" w14:textId="43E626E2"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w:t>
            </w:r>
            <w:r>
              <w:rPr>
                <w:rFonts w:cs="Arial"/>
                <w:color w:val="000000"/>
                <w:sz w:val="18"/>
                <w:szCs w:val="18"/>
                <w:lang w:eastAsia="en-GB"/>
              </w:rPr>
              <w:t>New</w:t>
            </w:r>
          </w:p>
        </w:tc>
        <w:tc>
          <w:tcPr>
            <w:tcW w:w="1120" w:type="dxa"/>
            <w:tcBorders>
              <w:top w:val="nil"/>
              <w:left w:val="nil"/>
              <w:bottom w:val="single" w:sz="4" w:space="0" w:color="auto"/>
              <w:right w:val="single" w:sz="12" w:space="0" w:color="auto"/>
            </w:tcBorders>
            <w:shd w:val="clear" w:color="auto" w:fill="FFF2CC" w:themeFill="accent4" w:themeFillTint="33"/>
            <w:noWrap/>
            <w:vAlign w:val="center"/>
            <w:hideMark/>
          </w:tcPr>
          <w:p w14:paraId="7DD60D80"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All</w:t>
            </w:r>
          </w:p>
        </w:tc>
        <w:tc>
          <w:tcPr>
            <w:tcW w:w="1290" w:type="dxa"/>
            <w:tcBorders>
              <w:top w:val="nil"/>
              <w:left w:val="single" w:sz="12" w:space="0" w:color="auto"/>
              <w:bottom w:val="single" w:sz="4" w:space="0" w:color="auto"/>
              <w:right w:val="single" w:sz="4" w:space="0" w:color="auto"/>
            </w:tcBorders>
            <w:shd w:val="clear" w:color="000000" w:fill="E2EFDA"/>
            <w:noWrap/>
            <w:vAlign w:val="center"/>
            <w:hideMark/>
          </w:tcPr>
          <w:p w14:paraId="17D0DF03"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3</w:t>
            </w:r>
          </w:p>
        </w:tc>
        <w:tc>
          <w:tcPr>
            <w:tcW w:w="1276" w:type="dxa"/>
            <w:tcBorders>
              <w:top w:val="nil"/>
              <w:left w:val="nil"/>
              <w:bottom w:val="single" w:sz="4" w:space="0" w:color="auto"/>
              <w:right w:val="single" w:sz="4" w:space="0" w:color="auto"/>
            </w:tcBorders>
            <w:shd w:val="clear" w:color="000000" w:fill="E2EFDA"/>
            <w:noWrap/>
            <w:vAlign w:val="center"/>
            <w:hideMark/>
          </w:tcPr>
          <w:p w14:paraId="43084524"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5" w:type="dxa"/>
            <w:tcBorders>
              <w:top w:val="nil"/>
              <w:left w:val="nil"/>
              <w:bottom w:val="single" w:sz="4" w:space="0" w:color="auto"/>
              <w:right w:val="single" w:sz="4" w:space="0" w:color="auto"/>
            </w:tcBorders>
            <w:shd w:val="clear" w:color="000000" w:fill="E2EFDA"/>
            <w:noWrap/>
            <w:vAlign w:val="center"/>
            <w:hideMark/>
          </w:tcPr>
          <w:p w14:paraId="2F5141C2"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2</w:t>
            </w:r>
          </w:p>
        </w:tc>
        <w:tc>
          <w:tcPr>
            <w:tcW w:w="1276" w:type="dxa"/>
            <w:tcBorders>
              <w:top w:val="nil"/>
              <w:left w:val="nil"/>
              <w:bottom w:val="single" w:sz="4" w:space="0" w:color="auto"/>
              <w:right w:val="single" w:sz="4" w:space="0" w:color="auto"/>
            </w:tcBorders>
            <w:shd w:val="clear" w:color="000000" w:fill="E2EFDA"/>
            <w:noWrap/>
            <w:vAlign w:val="center"/>
            <w:hideMark/>
          </w:tcPr>
          <w:p w14:paraId="5B54747C"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E2EFDA"/>
            <w:noWrap/>
            <w:vAlign w:val="center"/>
            <w:hideMark/>
          </w:tcPr>
          <w:p w14:paraId="52059E0D"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0</w:t>
            </w:r>
          </w:p>
        </w:tc>
        <w:tc>
          <w:tcPr>
            <w:tcW w:w="1701" w:type="dxa"/>
            <w:tcBorders>
              <w:top w:val="nil"/>
              <w:left w:val="nil"/>
              <w:bottom w:val="single" w:sz="4" w:space="0" w:color="auto"/>
              <w:right w:val="single" w:sz="4" w:space="0" w:color="auto"/>
            </w:tcBorders>
            <w:shd w:val="clear" w:color="000000" w:fill="C6E0B4"/>
            <w:noWrap/>
            <w:vAlign w:val="center"/>
            <w:hideMark/>
          </w:tcPr>
          <w:p w14:paraId="3C8D2CDE" w14:textId="77777777" w:rsidR="002740BF" w:rsidRPr="002740BF" w:rsidRDefault="002740BF" w:rsidP="002740BF">
            <w:pPr>
              <w:spacing w:before="0" w:after="0" w:line="240" w:lineRule="auto"/>
              <w:jc w:val="center"/>
              <w:rPr>
                <w:rFonts w:cs="Arial"/>
                <w:color w:val="000000"/>
                <w:sz w:val="18"/>
                <w:szCs w:val="18"/>
                <w:lang w:eastAsia="en-GB"/>
              </w:rPr>
            </w:pPr>
            <w:r w:rsidRPr="002740BF">
              <w:rPr>
                <w:rFonts w:cs="Arial"/>
                <w:color w:val="000000"/>
                <w:sz w:val="18"/>
                <w:szCs w:val="18"/>
                <w:lang w:eastAsia="en-GB"/>
              </w:rPr>
              <w:t>8</w:t>
            </w:r>
          </w:p>
        </w:tc>
        <w:tc>
          <w:tcPr>
            <w:tcW w:w="4678" w:type="dxa"/>
            <w:tcBorders>
              <w:top w:val="nil"/>
              <w:left w:val="nil"/>
              <w:bottom w:val="single" w:sz="4" w:space="0" w:color="auto"/>
              <w:right w:val="single" w:sz="4" w:space="0" w:color="auto"/>
            </w:tcBorders>
            <w:shd w:val="clear" w:color="auto" w:fill="auto"/>
            <w:vAlign w:val="center"/>
            <w:hideMark/>
          </w:tcPr>
          <w:p w14:paraId="0EFF19D1" w14:textId="77777777" w:rsidR="002740BF" w:rsidRPr="002740BF" w:rsidRDefault="002740BF" w:rsidP="002740BF">
            <w:pPr>
              <w:spacing w:before="0" w:after="0" w:line="240" w:lineRule="auto"/>
              <w:rPr>
                <w:rFonts w:cs="Arial"/>
                <w:color w:val="000000"/>
                <w:sz w:val="18"/>
                <w:szCs w:val="18"/>
                <w:lang w:eastAsia="en-GB"/>
              </w:rPr>
            </w:pPr>
            <w:r w:rsidRPr="002740BF">
              <w:rPr>
                <w:rFonts w:cs="Arial"/>
                <w:color w:val="000000"/>
                <w:sz w:val="18"/>
                <w:szCs w:val="18"/>
                <w:lang w:eastAsia="en-GB"/>
              </w:rPr>
              <w:t xml:space="preserve">Indirect AQ impact, feasibility affected by officer time and likely to take time. Costs expected to be low and supported by PH.  </w:t>
            </w:r>
          </w:p>
        </w:tc>
      </w:tr>
    </w:tbl>
    <w:p w14:paraId="5AF0866F" w14:textId="2DB538AE" w:rsidR="002740BF" w:rsidRPr="002740BF" w:rsidRDefault="002740BF" w:rsidP="002740BF">
      <w:pPr>
        <w:rPr>
          <w:b/>
          <w:bCs/>
          <w:u w:val="single"/>
        </w:rPr>
        <w:sectPr w:rsidR="002740BF" w:rsidRPr="002740BF" w:rsidSect="008310D0">
          <w:pgSz w:w="23808" w:h="16840" w:orient="landscape" w:code="8"/>
          <w:pgMar w:top="1418" w:right="1474" w:bottom="1418" w:left="1134" w:header="964" w:footer="454" w:gutter="0"/>
          <w:cols w:space="708"/>
          <w:docGrid w:linePitch="360"/>
        </w:sectPr>
      </w:pPr>
    </w:p>
    <w:p w14:paraId="64AB8A80" w14:textId="1B53BE3D" w:rsidR="001529CE" w:rsidRDefault="001529CE" w:rsidP="00F77171">
      <w:pPr>
        <w:pStyle w:val="Heading1"/>
      </w:pPr>
      <w:bookmarkStart w:id="171" w:name="_Toc159264908"/>
      <w:bookmarkStart w:id="172" w:name="_Toc160129585"/>
      <w:r w:rsidRPr="00FB523F">
        <w:lastRenderedPageBreak/>
        <w:t xml:space="preserve">Appendix </w:t>
      </w:r>
      <w:r w:rsidR="00BB19E2">
        <w:t>D</w:t>
      </w:r>
      <w:r>
        <w:t>:</w:t>
      </w:r>
      <w:r w:rsidRPr="00FB523F">
        <w:t xml:space="preserve"> </w:t>
      </w:r>
      <w:r>
        <w:t>2022 Baseline Model, Source</w:t>
      </w:r>
      <w:r w:rsidR="00B96B38">
        <w:t xml:space="preserve"> </w:t>
      </w:r>
      <w:r>
        <w:t>Apportionment and Scenario Modelling Study</w:t>
      </w:r>
      <w:bookmarkEnd w:id="171"/>
      <w:bookmarkEnd w:id="172"/>
    </w:p>
    <w:p w14:paraId="23ED3A3A" w14:textId="4C693F5B" w:rsidR="001529CE" w:rsidRPr="00BD5B91" w:rsidRDefault="00B96B38" w:rsidP="00F77171">
      <w:pPr>
        <w:pStyle w:val="Heading1"/>
      </w:pPr>
      <w:bookmarkStart w:id="173" w:name="_Toc150934019"/>
      <w:bookmarkStart w:id="174" w:name="_Toc159264909"/>
      <w:bookmarkStart w:id="175" w:name="_Toc160129586"/>
      <w:r>
        <w:t>1</w:t>
      </w:r>
      <w:r>
        <w:tab/>
      </w:r>
      <w:r w:rsidR="001529CE" w:rsidRPr="00F45DC9">
        <w:t>Introduction</w:t>
      </w:r>
      <w:bookmarkEnd w:id="173"/>
      <w:bookmarkEnd w:id="174"/>
      <w:bookmarkEnd w:id="175"/>
    </w:p>
    <w:p w14:paraId="5EDF81DC" w14:textId="00BB1A0E" w:rsidR="001529CE" w:rsidRPr="00B96B38" w:rsidRDefault="001529CE" w:rsidP="001529CE">
      <w:pPr>
        <w:pStyle w:val="Style1"/>
        <w:rPr>
          <w:rStyle w:val="RGuidanceNotes"/>
          <w:bCs w:val="0"/>
          <w:color w:val="auto"/>
        </w:rPr>
      </w:pPr>
      <w:bookmarkStart w:id="176" w:name="_StartupAfterIntro"/>
      <w:bookmarkStart w:id="177" w:name="_StartupIntroInstructions"/>
      <w:bookmarkEnd w:id="176"/>
      <w:r w:rsidRPr="00B96B38">
        <w:rPr>
          <w:rStyle w:val="RGuidanceNotes"/>
          <w:color w:val="auto"/>
        </w:rPr>
        <w:t>Slough Borough Council (SBC) engaged Ricardo</w:t>
      </w:r>
      <w:r w:rsidR="00F31307">
        <w:rPr>
          <w:rStyle w:val="RGuidanceNotes"/>
          <w:color w:val="auto"/>
        </w:rPr>
        <w:t xml:space="preserve">-AEA Ltd </w:t>
      </w:r>
      <w:r w:rsidRPr="00B96B38">
        <w:rPr>
          <w:rStyle w:val="RGuidanceNotes"/>
          <w:color w:val="auto"/>
        </w:rPr>
        <w:t xml:space="preserve">to provide an air quality modelling and source apportionment assessment as part of the process of </w:t>
      </w:r>
      <w:r w:rsidR="00F31307">
        <w:rPr>
          <w:rStyle w:val="RGuidanceNotes"/>
          <w:color w:val="auto"/>
        </w:rPr>
        <w:t>producing</w:t>
      </w:r>
      <w:r w:rsidRPr="00B96B38">
        <w:rPr>
          <w:rStyle w:val="RGuidanceNotes"/>
          <w:color w:val="auto"/>
        </w:rPr>
        <w:t xml:space="preserve"> the SBC Air Quality Action Plan (AQAP). </w:t>
      </w:r>
    </w:p>
    <w:p w14:paraId="3F85B701" w14:textId="49842015" w:rsidR="001529CE" w:rsidRPr="00B96B38" w:rsidRDefault="001529CE" w:rsidP="001529CE">
      <w:pPr>
        <w:pStyle w:val="Style1"/>
        <w:rPr>
          <w:rStyle w:val="RGuidanceNotes"/>
          <w:bCs w:val="0"/>
          <w:color w:val="auto"/>
        </w:rPr>
      </w:pPr>
      <w:r w:rsidRPr="00B96B38">
        <w:rPr>
          <w:rStyle w:val="RGuidanceNotes"/>
          <w:color w:val="auto"/>
        </w:rPr>
        <w:t>This report summarises the findings from the 2022 baseline air quality model, source apportionment, and impact of AQAP measures assessment for NO</w:t>
      </w:r>
      <w:r w:rsidRPr="00B96B38">
        <w:rPr>
          <w:rStyle w:val="RGuidanceNotes"/>
          <w:color w:val="auto"/>
          <w:vertAlign w:val="subscript"/>
        </w:rPr>
        <w:t>2</w:t>
      </w:r>
      <w:r w:rsidR="007B214E">
        <w:rPr>
          <w:rStyle w:val="RGuidanceNotes"/>
          <w:color w:val="auto"/>
        </w:rPr>
        <w:t xml:space="preserve"> </w:t>
      </w:r>
      <w:r w:rsidRPr="00B96B38">
        <w:rPr>
          <w:rStyle w:val="RGuidanceNotes"/>
          <w:color w:val="auto"/>
        </w:rPr>
        <w:t>and particulate matter (PM</w:t>
      </w:r>
      <w:r w:rsidRPr="00B96B38">
        <w:rPr>
          <w:rStyle w:val="RGuidanceNotes"/>
          <w:color w:val="auto"/>
          <w:vertAlign w:val="subscript"/>
        </w:rPr>
        <w:t>10</w:t>
      </w:r>
      <w:r w:rsidRPr="00B96B38">
        <w:rPr>
          <w:rStyle w:val="RGuidanceNotes"/>
          <w:color w:val="auto"/>
        </w:rPr>
        <w:t xml:space="preserve"> and PM</w:t>
      </w:r>
      <w:r w:rsidRPr="00B96B38">
        <w:rPr>
          <w:rStyle w:val="RGuidanceNotes"/>
          <w:color w:val="auto"/>
          <w:vertAlign w:val="subscript"/>
        </w:rPr>
        <w:t>2.5</w:t>
      </w:r>
      <w:r w:rsidRPr="00B96B38">
        <w:rPr>
          <w:rStyle w:val="RGuidanceNotes"/>
          <w:color w:val="auto"/>
        </w:rPr>
        <w:t>). Total CO</w:t>
      </w:r>
      <w:r w:rsidRPr="00B96B38">
        <w:rPr>
          <w:rStyle w:val="RGuidanceNotes"/>
          <w:color w:val="auto"/>
          <w:vertAlign w:val="subscript"/>
        </w:rPr>
        <w:t>2</w:t>
      </w:r>
      <w:r w:rsidRPr="00B96B38">
        <w:rPr>
          <w:rStyle w:val="RGuidanceNotes"/>
          <w:color w:val="auto"/>
        </w:rPr>
        <w:t xml:space="preserve"> emissions and reductions are also presented for the scenario modelling measures (Appendix </w:t>
      </w:r>
      <w:r w:rsidR="00E34B3D">
        <w:rPr>
          <w:rStyle w:val="RGuidanceNotes"/>
          <w:color w:val="auto"/>
        </w:rPr>
        <w:t>D</w:t>
      </w:r>
      <w:r w:rsidRPr="00B96B38">
        <w:rPr>
          <w:rStyle w:val="RGuidanceNotes"/>
          <w:color w:val="auto"/>
        </w:rPr>
        <w:t>) in comparison with the 2022 baseline modelling.</w:t>
      </w:r>
    </w:p>
    <w:p w14:paraId="07CA724A" w14:textId="6C55B58F" w:rsidR="001529CE" w:rsidRPr="00BD5B91" w:rsidRDefault="00B05F43" w:rsidP="00F77171">
      <w:pPr>
        <w:pStyle w:val="Heading1"/>
      </w:pPr>
      <w:bookmarkStart w:id="178" w:name="_Toc150934020"/>
      <w:bookmarkStart w:id="179" w:name="_Toc159264910"/>
      <w:bookmarkStart w:id="180" w:name="_Toc160129587"/>
      <w:bookmarkEnd w:id="177"/>
      <w:r>
        <w:t xml:space="preserve">2 </w:t>
      </w:r>
      <w:r>
        <w:tab/>
      </w:r>
      <w:r w:rsidR="001529CE">
        <w:t>2022 Baseline model</w:t>
      </w:r>
      <w:bookmarkEnd w:id="178"/>
      <w:bookmarkEnd w:id="179"/>
      <w:bookmarkEnd w:id="180"/>
    </w:p>
    <w:p w14:paraId="7C8F3AF3" w14:textId="2440D12D" w:rsidR="001529CE" w:rsidRDefault="00B96B38" w:rsidP="00B96B38">
      <w:pPr>
        <w:pStyle w:val="Heading2"/>
        <w:numPr>
          <w:ilvl w:val="0"/>
          <w:numId w:val="0"/>
        </w:numPr>
        <w:ind w:left="3"/>
      </w:pPr>
      <w:bookmarkStart w:id="181" w:name="_Toc150934021"/>
      <w:bookmarkStart w:id="182" w:name="_Toc159264911"/>
      <w:bookmarkStart w:id="183" w:name="_Toc160129588"/>
      <w:r>
        <w:t xml:space="preserve">2.1  </w:t>
      </w:r>
      <w:r w:rsidR="001529CE">
        <w:t>Model selection</w:t>
      </w:r>
      <w:bookmarkEnd w:id="181"/>
      <w:bookmarkEnd w:id="182"/>
      <w:bookmarkEnd w:id="183"/>
    </w:p>
    <w:p w14:paraId="1DD573B7" w14:textId="05ED12D3" w:rsidR="001529CE" w:rsidRPr="00D84296" w:rsidRDefault="001529CE" w:rsidP="001529CE">
      <w:r w:rsidRPr="008B337D">
        <w:t>The RapidA</w:t>
      </w:r>
      <w:r>
        <w:t>ir®</w:t>
      </w:r>
      <w:r w:rsidRPr="008B337D">
        <w:t xml:space="preserve"> </w:t>
      </w:r>
      <w:r>
        <w:t>air quality modelling software</w:t>
      </w:r>
      <w:r w:rsidRPr="008B337D">
        <w:t xml:space="preserve"> was used to predict air pollutant concentrations for this study. This is Ricardo</w:t>
      </w:r>
      <w:r>
        <w:t>‘</w:t>
      </w:r>
      <w:r w:rsidRPr="008B337D">
        <w:t>s proprietary modelling system developed for urban air pollution assessment.</w:t>
      </w:r>
      <w:r>
        <w:t xml:space="preserve"> </w:t>
      </w:r>
      <w:r w:rsidRPr="00D84296">
        <w:t>RapidA</w:t>
      </w:r>
      <w:r>
        <w:t>ir</w:t>
      </w:r>
      <w:r w:rsidRPr="00D84296">
        <w:t xml:space="preserve"> has been developed to provide graphic and numerical outputs which are comparable with other models used widely in the U</w:t>
      </w:r>
      <w:r w:rsidR="007B214E">
        <w:t>K</w:t>
      </w:r>
      <w:r w:rsidRPr="00D84296">
        <w:t xml:space="preserve">. The </w:t>
      </w:r>
      <w:r>
        <w:t xml:space="preserve">air dispersion </w:t>
      </w:r>
      <w:r w:rsidRPr="00D84296">
        <w:t>model</w:t>
      </w:r>
      <w:r>
        <w:t>ling</w:t>
      </w:r>
      <w:r w:rsidRPr="00D84296">
        <w:t xml:space="preserve"> approach is based on loose coupling of t</w:t>
      </w:r>
      <w:r>
        <w:t>wo</w:t>
      </w:r>
      <w:r w:rsidRPr="00D84296">
        <w:t xml:space="preserve"> elements:</w:t>
      </w:r>
    </w:p>
    <w:p w14:paraId="20C4FBA3" w14:textId="77777777" w:rsidR="001529CE" w:rsidRPr="00D84296" w:rsidRDefault="001529CE" w:rsidP="00EB191B">
      <w:pPr>
        <w:pStyle w:val="ListParagraph"/>
        <w:numPr>
          <w:ilvl w:val="0"/>
          <w:numId w:val="30"/>
        </w:numPr>
      </w:pPr>
      <w:r w:rsidRPr="00D84296">
        <w:t>Convolution of an emissions grid with dispersion kernels derived from the USEPA AERMOD model, at resolutions ranging from 1 m to 20 m. AERMOD provides the algorithms which govern the dispersion of the emissions and is an accepted international model for road traffic studies</w:t>
      </w:r>
      <w:r>
        <w:t>.</w:t>
      </w:r>
    </w:p>
    <w:p w14:paraId="3FF672FB" w14:textId="77777777" w:rsidR="001529CE" w:rsidRPr="00E96CC4" w:rsidRDefault="001529CE" w:rsidP="00EB191B">
      <w:pPr>
        <w:pStyle w:val="ListParagraph"/>
        <w:numPr>
          <w:ilvl w:val="0"/>
          <w:numId w:val="30"/>
        </w:numPr>
        <w:rPr>
          <w:rFonts w:cs="Arial"/>
          <w:bCs/>
          <w:szCs w:val="32"/>
        </w:rPr>
      </w:pPr>
      <w:r w:rsidRPr="00D84296">
        <w:t>The kernel based RapidA</w:t>
      </w:r>
      <w:r>
        <w:t>ir</w:t>
      </w:r>
      <w:r w:rsidRPr="00D84296">
        <w:t xml:space="preserve"> model running in GIS software to prepare dispersion fields of concentration for further analysis with a set of decision support tools coded in Python/arcpy</w:t>
      </w:r>
      <w:r>
        <w:t>.</w:t>
      </w:r>
    </w:p>
    <w:p w14:paraId="6CA5EE0F" w14:textId="4535813E" w:rsidR="001529CE" w:rsidRDefault="001529CE" w:rsidP="0025036F">
      <w:pPr>
        <w:pStyle w:val="Heading2"/>
        <w:numPr>
          <w:ilvl w:val="1"/>
          <w:numId w:val="79"/>
        </w:numPr>
      </w:pPr>
      <w:bookmarkStart w:id="184" w:name="_Toc150934022"/>
      <w:bookmarkStart w:id="185" w:name="_Toc159264912"/>
      <w:bookmarkStart w:id="186" w:name="_Toc160129589"/>
      <w:r>
        <w:lastRenderedPageBreak/>
        <w:t>Model domain</w:t>
      </w:r>
      <w:bookmarkEnd w:id="184"/>
      <w:bookmarkEnd w:id="185"/>
      <w:bookmarkEnd w:id="186"/>
    </w:p>
    <w:p w14:paraId="34AA9E5A" w14:textId="0BE6C855" w:rsidR="001529CE" w:rsidRDefault="001529CE" w:rsidP="001529CE">
      <w:r>
        <w:t xml:space="preserve">Figure 2-A shows the model domain used for the assessment, including the SBC boundary, the four SBC </w:t>
      </w:r>
      <w:r w:rsidR="007B214E">
        <w:t>AQMAs</w:t>
      </w:r>
      <w:r>
        <w:t xml:space="preserve"> and the air quality monitoring stations used in the assessment.</w:t>
      </w:r>
    </w:p>
    <w:p w14:paraId="1089A190" w14:textId="77777777" w:rsidR="001529CE" w:rsidRDefault="001529CE" w:rsidP="001529CE">
      <w:pPr>
        <w:spacing w:before="0" w:after="0" w:line="240" w:lineRule="auto"/>
      </w:pPr>
      <w:r>
        <w:br w:type="page"/>
      </w:r>
    </w:p>
    <w:p w14:paraId="0B07D401" w14:textId="77777777" w:rsidR="001529CE" w:rsidRDefault="001529CE" w:rsidP="001529CE">
      <w:pPr>
        <w:pStyle w:val="Caption"/>
        <w:sectPr w:rsidR="001529CE" w:rsidSect="00B05F43">
          <w:pgSz w:w="11906" w:h="16838" w:code="9"/>
          <w:pgMar w:top="1985" w:right="1134" w:bottom="1134" w:left="1134" w:header="907" w:footer="0" w:gutter="0"/>
          <w:cols w:sep="1" w:space="284"/>
          <w:docGrid w:linePitch="326"/>
        </w:sectPr>
      </w:pPr>
      <w:bookmarkStart w:id="187" w:name="_Ref150769332"/>
    </w:p>
    <w:p w14:paraId="465CD0CD" w14:textId="2FA00D44" w:rsidR="001529CE" w:rsidRPr="00025EE7" w:rsidRDefault="001529CE" w:rsidP="00887760">
      <w:pPr>
        <w:pStyle w:val="Tables"/>
      </w:pPr>
      <w:bookmarkStart w:id="188" w:name="_Toc160128563"/>
      <w:bookmarkEnd w:id="187"/>
      <w:r>
        <w:lastRenderedPageBreak/>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A</w:t>
      </w:r>
      <w:r w:rsidR="000F4CA1">
        <w:rPr>
          <w:noProof/>
        </w:rPr>
        <w:fldChar w:fldCharType="end"/>
      </w:r>
      <w:r>
        <w:t xml:space="preserve"> – Model domain used for 2022 baseline model and source apportionment assessment; including measured NO</w:t>
      </w:r>
      <w:r w:rsidR="007B214E">
        <w:rPr>
          <w:vertAlign w:val="subscript"/>
        </w:rPr>
        <w:t>2</w:t>
      </w:r>
      <w:r>
        <w:t xml:space="preserve"> concentrations in 2022</w:t>
      </w:r>
      <w:bookmarkEnd w:id="188"/>
    </w:p>
    <w:p w14:paraId="71C32947" w14:textId="77777777" w:rsidR="001529CE" w:rsidRDefault="001529CE" w:rsidP="001529CE">
      <w:pPr>
        <w:tabs>
          <w:tab w:val="left" w:pos="12758"/>
        </w:tabs>
        <w:spacing w:before="0" w:after="0" w:line="240" w:lineRule="auto"/>
        <w:sectPr w:rsidR="001529CE" w:rsidSect="00C40DEE">
          <w:footerReference w:type="default" r:id="rId23"/>
          <w:pgSz w:w="23808" w:h="16840" w:orient="landscape" w:code="8"/>
          <w:pgMar w:top="1134" w:right="1985" w:bottom="1134" w:left="1134" w:header="907" w:footer="454" w:gutter="0"/>
          <w:cols w:sep="1" w:space="284"/>
          <w:docGrid w:linePitch="299"/>
        </w:sectPr>
      </w:pPr>
      <w:r>
        <w:rPr>
          <w:noProof/>
          <w:vertAlign w:val="subscript"/>
        </w:rPr>
        <w:drawing>
          <wp:inline distT="0" distB="0" distL="0" distR="0" wp14:anchorId="58185230" wp14:editId="40031AF4">
            <wp:extent cx="11364686" cy="8389854"/>
            <wp:effectExtent l="0" t="0" r="8255" b="0"/>
            <wp:docPr id="2" name="Picture 2" descr="A map of nitrogen dioxide monitoring stations (2022 data), with a colour coding system applied to show the range of concentrations. The majority of sites have concentrations under 30µg/m3, and one site is above 40µg/m3 (Yew Tre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nitrogen dioxide monitoring stations (2022 data), with a colour coding system applied to show the range of concentrations. The majority of sites have concentrations under 30µg/m3, and one site is above 40µg/m3 (Yew Tree Road) "/>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1385646" cy="8405327"/>
                    </a:xfrm>
                    <a:prstGeom prst="rect">
                      <a:avLst/>
                    </a:prstGeom>
                    <a:noFill/>
                    <a:ln>
                      <a:noFill/>
                    </a:ln>
                    <a:extLst>
                      <a:ext uri="{53640926-AAD7-44D8-BBD7-CCE9431645EC}">
                        <a14:shadowObscured xmlns:a14="http://schemas.microsoft.com/office/drawing/2010/main"/>
                      </a:ext>
                    </a:extLst>
                  </pic:spPr>
                </pic:pic>
              </a:graphicData>
            </a:graphic>
          </wp:inline>
        </w:drawing>
      </w:r>
    </w:p>
    <w:p w14:paraId="67137CB4" w14:textId="346D39AF" w:rsidR="001529CE" w:rsidRPr="00C41398" w:rsidRDefault="001529CE" w:rsidP="0025036F">
      <w:pPr>
        <w:pStyle w:val="Heading2"/>
        <w:numPr>
          <w:ilvl w:val="1"/>
          <w:numId w:val="79"/>
        </w:numPr>
      </w:pPr>
      <w:bookmarkStart w:id="189" w:name="_Toc150934023"/>
      <w:bookmarkStart w:id="190" w:name="_Toc159264913"/>
      <w:bookmarkStart w:id="191" w:name="_Toc160129590"/>
      <w:r w:rsidRPr="00C41398">
        <w:lastRenderedPageBreak/>
        <w:t>Base year and meteorological dataset</w:t>
      </w:r>
      <w:bookmarkEnd w:id="189"/>
      <w:bookmarkEnd w:id="190"/>
      <w:bookmarkEnd w:id="191"/>
      <w:r w:rsidRPr="00C41398">
        <w:t xml:space="preserve"> </w:t>
      </w:r>
    </w:p>
    <w:p w14:paraId="71A40597" w14:textId="77777777" w:rsidR="001529CE" w:rsidRPr="00FE787D" w:rsidRDefault="001529CE" w:rsidP="001529CE">
      <w:r w:rsidRPr="00BE0BF0">
        <w:t>The 20</w:t>
      </w:r>
      <w:r>
        <w:t>22</w:t>
      </w:r>
      <w:r w:rsidRPr="00BE0BF0">
        <w:t xml:space="preserve"> surface meteorological data was </w:t>
      </w:r>
      <w:r w:rsidRPr="00FE787D">
        <w:t>obtained from three stations (Heathrow, Northolt and High Wycombe) and upper air meteorological data was obtained from two stations (Herstomonceux and Larkhill). RapidAir was used to carry out data filling where necessary. Data gaps from the primary meteorological stations (Heathrow and Herstomonceux) were first filled using data from the other nearby stations (Northolt and High Wycombe for surface stations, and Larkhill for the upper air station). Remaining data gaps were filled based on the persistence method, where a missing value is replaced by the use of data from the previous hour(s), for data gaps up to and including three hours.</w:t>
      </w:r>
    </w:p>
    <w:p w14:paraId="3C7769E4" w14:textId="77777777" w:rsidR="001529CE" w:rsidRPr="00FE787D" w:rsidRDefault="001529CE" w:rsidP="001529CE">
      <w:r w:rsidRPr="00FE787D">
        <w:fldChar w:fldCharType="begin"/>
      </w:r>
      <w:r w:rsidRPr="00FE787D">
        <w:instrText xml:space="preserve"> REF _Ref150503843 \h </w:instrText>
      </w:r>
      <w:r>
        <w:instrText xml:space="preserve"> \* MERGEFORMAT </w:instrText>
      </w:r>
      <w:r w:rsidRPr="00FE787D">
        <w:fldChar w:fldCharType="separate"/>
      </w:r>
      <w:r>
        <w:t xml:space="preserve">Figure </w:t>
      </w:r>
      <w:r>
        <w:rPr>
          <w:noProof/>
        </w:rPr>
        <w:t>2</w:t>
      </w:r>
      <w:r>
        <w:rPr>
          <w:noProof/>
        </w:rPr>
        <w:noBreakHyphen/>
        <w:t>B</w:t>
      </w:r>
      <w:r w:rsidRPr="00FE787D">
        <w:fldChar w:fldCharType="end"/>
      </w:r>
      <w:r w:rsidRPr="00FE787D">
        <w:t xml:space="preserve"> and </w:t>
      </w:r>
      <w:r w:rsidRPr="00FE787D">
        <w:fldChar w:fldCharType="begin"/>
      </w:r>
      <w:r w:rsidRPr="00FE787D">
        <w:instrText xml:space="preserve"> REF _Ref150503806 \h </w:instrText>
      </w:r>
      <w:r>
        <w:instrText xml:space="preserve"> \* MERGEFORMAT </w:instrText>
      </w:r>
      <w:r w:rsidRPr="00FE787D">
        <w:fldChar w:fldCharType="separate"/>
      </w:r>
      <w:r>
        <w:t xml:space="preserve">Table </w:t>
      </w:r>
      <w:r>
        <w:rPr>
          <w:noProof/>
        </w:rPr>
        <w:t>2</w:t>
      </w:r>
      <w:r>
        <w:rPr>
          <w:noProof/>
        </w:rPr>
        <w:noBreakHyphen/>
        <w:t>1</w:t>
      </w:r>
      <w:r w:rsidRPr="00FE787D">
        <w:fldChar w:fldCharType="end"/>
      </w:r>
      <w:r w:rsidRPr="00FE787D">
        <w:t xml:space="preserve"> show the wind rose and statistics of meteorological parameters for the primary surface meteorological station at Heathrow.</w:t>
      </w:r>
    </w:p>
    <w:p w14:paraId="4C26295E" w14:textId="09191E13" w:rsidR="001529CE" w:rsidRDefault="001529CE" w:rsidP="00887760">
      <w:pPr>
        <w:pStyle w:val="Figures"/>
      </w:pPr>
      <w:bookmarkStart w:id="192" w:name="_Ref150503843"/>
      <w:bookmarkStart w:id="193" w:name="_Toc160129358"/>
      <w:r>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B</w:t>
      </w:r>
      <w:r w:rsidR="000F4CA1">
        <w:rPr>
          <w:noProof/>
        </w:rPr>
        <w:fldChar w:fldCharType="end"/>
      </w:r>
      <w:bookmarkEnd w:id="192"/>
      <w:r>
        <w:t xml:space="preserve"> - 2022 wind rose for Heathrow meteorological station</w:t>
      </w:r>
      <w:bookmarkEnd w:id="193"/>
    </w:p>
    <w:p w14:paraId="6F0DD74F" w14:textId="23A37E38" w:rsidR="001529CE" w:rsidRDefault="00B96B38" w:rsidP="001529CE">
      <w:pPr>
        <w:spacing w:before="0" w:after="0" w:line="240" w:lineRule="auto"/>
        <w:rPr>
          <w:rFonts w:cs="Arial"/>
          <w:bCs/>
          <w:sz w:val="20"/>
          <w:szCs w:val="32"/>
        </w:rPr>
      </w:pPr>
      <w:r>
        <w:rPr>
          <w:noProof/>
        </w:rPr>
        <w:drawing>
          <wp:inline distT="0" distB="0" distL="0" distR="0" wp14:anchorId="3C022FAB" wp14:editId="71D11F04">
            <wp:extent cx="3836276" cy="2872288"/>
            <wp:effectExtent l="0" t="0" r="0" b="4445"/>
            <wp:docPr id="1" name="Picture 1" descr="A wind rose generated from 2022 data obtained from Heathrow Airport meteorological station. The wind direction is predominantly south-wester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ind rose generated from 2022 data obtained from Heathrow Airport meteorological station. The wind direction is predominantly south-westerly. "/>
                    <pic:cNvPicPr/>
                  </pic:nvPicPr>
                  <pic:blipFill>
                    <a:blip r:embed="rId25">
                      <a:extLst>
                        <a:ext uri="{28A0092B-C50C-407E-A947-70E740481C1C}">
                          <a14:useLocalDpi xmlns:a14="http://schemas.microsoft.com/office/drawing/2010/main" val="0"/>
                        </a:ext>
                      </a:extLst>
                    </a:blip>
                    <a:stretch>
                      <a:fillRect/>
                    </a:stretch>
                  </pic:blipFill>
                  <pic:spPr>
                    <a:xfrm>
                      <a:off x="0" y="0"/>
                      <a:ext cx="3836276" cy="2872288"/>
                    </a:xfrm>
                    <a:prstGeom prst="rect">
                      <a:avLst/>
                    </a:prstGeom>
                  </pic:spPr>
                </pic:pic>
              </a:graphicData>
            </a:graphic>
          </wp:inline>
        </w:drawing>
      </w:r>
      <w:r w:rsidR="001529CE">
        <w:br w:type="page"/>
      </w:r>
    </w:p>
    <w:p w14:paraId="0109DB94" w14:textId="77777777" w:rsidR="001529CE" w:rsidRDefault="001529CE" w:rsidP="00887760">
      <w:pPr>
        <w:pStyle w:val="Tables"/>
      </w:pPr>
      <w:bookmarkStart w:id="194" w:name="_Ref150503806"/>
      <w:bookmarkStart w:id="195" w:name="_Toc159264940"/>
      <w:bookmarkStart w:id="196" w:name="_Toc160123582"/>
      <w:bookmarkStart w:id="197" w:name="_Toc160123798"/>
      <w:bookmarkStart w:id="198" w:name="_Toc160128564"/>
      <w:r>
        <w:lastRenderedPageBreak/>
        <w:t xml:space="preserve">Table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w:t>
      </w:r>
      <w:r w:rsidR="000F4CA1">
        <w:rPr>
          <w:noProof/>
        </w:rPr>
        <w:fldChar w:fldCharType="end"/>
      </w:r>
      <w:bookmarkEnd w:id="194"/>
      <w:r>
        <w:t xml:space="preserve"> - </w:t>
      </w:r>
      <w:r w:rsidRPr="005509A9">
        <w:t xml:space="preserve">Statistics of meteorological parameters </w:t>
      </w:r>
      <w:r w:rsidRPr="005D7233">
        <w:t>for Heathrow meteorological station</w:t>
      </w:r>
      <w:bookmarkEnd w:id="195"/>
      <w:bookmarkEnd w:id="196"/>
      <w:bookmarkEnd w:id="197"/>
      <w:bookmarkEnd w:id="198"/>
    </w:p>
    <w:tbl>
      <w:tblPr>
        <w:tblStyle w:val="RTableFilled-HeadingColumn"/>
        <w:tblW w:w="0" w:type="auto"/>
        <w:tblLook w:val="04A0" w:firstRow="1" w:lastRow="0" w:firstColumn="1" w:lastColumn="0" w:noHBand="0" w:noVBand="1"/>
      </w:tblPr>
      <w:tblGrid>
        <w:gridCol w:w="1671"/>
        <w:gridCol w:w="1701"/>
        <w:gridCol w:w="1701"/>
        <w:gridCol w:w="1843"/>
        <w:gridCol w:w="2180"/>
      </w:tblGrid>
      <w:tr w:rsidR="001529CE" w14:paraId="19812BE9" w14:textId="77777777" w:rsidTr="004203CC">
        <w:tc>
          <w:tcPr>
            <w:cnfStyle w:val="001000000000" w:firstRow="0" w:lastRow="0" w:firstColumn="1" w:lastColumn="0" w:oddVBand="0" w:evenVBand="0" w:oddHBand="0" w:evenHBand="0" w:firstRowFirstColumn="0" w:firstRowLastColumn="0" w:lastRowFirstColumn="0" w:lastRowLastColumn="0"/>
            <w:tcW w:w="1671" w:type="dxa"/>
            <w:shd w:val="clear" w:color="auto" w:fill="008938"/>
          </w:tcPr>
          <w:p w14:paraId="72396333" w14:textId="77777777" w:rsidR="001529CE" w:rsidRPr="004E54A8" w:rsidRDefault="001529CE" w:rsidP="007B10BD">
            <w:pPr>
              <w:rPr>
                <w:sz w:val="20"/>
                <w:szCs w:val="20"/>
              </w:rPr>
            </w:pPr>
          </w:p>
        </w:tc>
        <w:tc>
          <w:tcPr>
            <w:tcW w:w="1701" w:type="dxa"/>
          </w:tcPr>
          <w:p w14:paraId="1E9FA2B4"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Wind Speed</w:t>
            </w:r>
          </w:p>
        </w:tc>
        <w:tc>
          <w:tcPr>
            <w:tcW w:w="1701" w:type="dxa"/>
          </w:tcPr>
          <w:p w14:paraId="6D31861D"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Wind Direction</w:t>
            </w:r>
          </w:p>
        </w:tc>
        <w:tc>
          <w:tcPr>
            <w:tcW w:w="1843" w:type="dxa"/>
          </w:tcPr>
          <w:p w14:paraId="1FF3059E"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Temperature (</w:t>
            </w:r>
            <w:r w:rsidRPr="004E54A8">
              <w:rPr>
                <w:rFonts w:cs="Arial"/>
                <w:sz w:val="20"/>
                <w:szCs w:val="20"/>
                <w:vertAlign w:val="superscript"/>
              </w:rPr>
              <w:t>°</w:t>
            </w:r>
            <w:r w:rsidRPr="004E54A8">
              <w:rPr>
                <w:sz w:val="20"/>
                <w:szCs w:val="20"/>
              </w:rPr>
              <w:t>C)</w:t>
            </w:r>
          </w:p>
        </w:tc>
        <w:tc>
          <w:tcPr>
            <w:tcW w:w="2180" w:type="dxa"/>
          </w:tcPr>
          <w:p w14:paraId="492B3446"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Cloud Cover (oktas)</w:t>
            </w:r>
          </w:p>
        </w:tc>
      </w:tr>
      <w:tr w:rsidR="001529CE" w14:paraId="60D50252" w14:textId="77777777" w:rsidTr="004203CC">
        <w:tc>
          <w:tcPr>
            <w:cnfStyle w:val="001000000000" w:firstRow="0" w:lastRow="0" w:firstColumn="1" w:lastColumn="0" w:oddVBand="0" w:evenVBand="0" w:oddHBand="0" w:evenHBand="0" w:firstRowFirstColumn="0" w:firstRowLastColumn="0" w:lastRowFirstColumn="0" w:lastRowLastColumn="0"/>
            <w:tcW w:w="1671" w:type="dxa"/>
            <w:shd w:val="clear" w:color="auto" w:fill="008938"/>
          </w:tcPr>
          <w:p w14:paraId="0B7E5241" w14:textId="77777777" w:rsidR="001529CE" w:rsidRPr="004E54A8" w:rsidRDefault="001529CE" w:rsidP="007B10BD">
            <w:pPr>
              <w:rPr>
                <w:sz w:val="20"/>
                <w:szCs w:val="20"/>
              </w:rPr>
            </w:pPr>
            <w:r w:rsidRPr="004E54A8">
              <w:rPr>
                <w:sz w:val="20"/>
                <w:szCs w:val="20"/>
              </w:rPr>
              <w:t>Mean</w:t>
            </w:r>
          </w:p>
        </w:tc>
        <w:tc>
          <w:tcPr>
            <w:tcW w:w="1701" w:type="dxa"/>
          </w:tcPr>
          <w:p w14:paraId="08263B78"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3.87</w:t>
            </w:r>
          </w:p>
        </w:tc>
        <w:tc>
          <w:tcPr>
            <w:tcW w:w="1701" w:type="dxa"/>
          </w:tcPr>
          <w:p w14:paraId="3DC41262"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196.27</w:t>
            </w:r>
          </w:p>
        </w:tc>
        <w:tc>
          <w:tcPr>
            <w:tcW w:w="1843" w:type="dxa"/>
          </w:tcPr>
          <w:p w14:paraId="2601FE63"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12.61</w:t>
            </w:r>
          </w:p>
        </w:tc>
        <w:tc>
          <w:tcPr>
            <w:tcW w:w="2180" w:type="dxa"/>
          </w:tcPr>
          <w:p w14:paraId="3588EC10"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7.6</w:t>
            </w:r>
          </w:p>
        </w:tc>
      </w:tr>
      <w:tr w:rsidR="001529CE" w14:paraId="37579A32" w14:textId="77777777" w:rsidTr="004203CC">
        <w:tc>
          <w:tcPr>
            <w:cnfStyle w:val="001000000000" w:firstRow="0" w:lastRow="0" w:firstColumn="1" w:lastColumn="0" w:oddVBand="0" w:evenVBand="0" w:oddHBand="0" w:evenHBand="0" w:firstRowFirstColumn="0" w:firstRowLastColumn="0" w:lastRowFirstColumn="0" w:lastRowLastColumn="0"/>
            <w:tcW w:w="1671" w:type="dxa"/>
            <w:shd w:val="clear" w:color="auto" w:fill="008938"/>
          </w:tcPr>
          <w:p w14:paraId="66C6DBD4" w14:textId="77777777" w:rsidR="001529CE" w:rsidRPr="004E54A8" w:rsidRDefault="001529CE" w:rsidP="007B10BD">
            <w:pPr>
              <w:rPr>
                <w:sz w:val="20"/>
                <w:szCs w:val="20"/>
              </w:rPr>
            </w:pPr>
            <w:r w:rsidRPr="004E54A8">
              <w:rPr>
                <w:sz w:val="20"/>
                <w:szCs w:val="20"/>
              </w:rPr>
              <w:t>Min</w:t>
            </w:r>
          </w:p>
        </w:tc>
        <w:tc>
          <w:tcPr>
            <w:tcW w:w="1701" w:type="dxa"/>
          </w:tcPr>
          <w:p w14:paraId="75EC3E43"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0.5</w:t>
            </w:r>
          </w:p>
        </w:tc>
        <w:tc>
          <w:tcPr>
            <w:tcW w:w="1701" w:type="dxa"/>
          </w:tcPr>
          <w:p w14:paraId="031D7FEA"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10.0</w:t>
            </w:r>
          </w:p>
        </w:tc>
        <w:tc>
          <w:tcPr>
            <w:tcW w:w="1843" w:type="dxa"/>
          </w:tcPr>
          <w:p w14:paraId="1DC0D2F5"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-5.35</w:t>
            </w:r>
          </w:p>
        </w:tc>
        <w:tc>
          <w:tcPr>
            <w:tcW w:w="2180" w:type="dxa"/>
          </w:tcPr>
          <w:p w14:paraId="0969B529"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0.0</w:t>
            </w:r>
          </w:p>
        </w:tc>
      </w:tr>
      <w:tr w:rsidR="001529CE" w14:paraId="5A83DE1C" w14:textId="77777777" w:rsidTr="004203CC">
        <w:tc>
          <w:tcPr>
            <w:cnfStyle w:val="001000000000" w:firstRow="0" w:lastRow="0" w:firstColumn="1" w:lastColumn="0" w:oddVBand="0" w:evenVBand="0" w:oddHBand="0" w:evenHBand="0" w:firstRowFirstColumn="0" w:firstRowLastColumn="0" w:lastRowFirstColumn="0" w:lastRowLastColumn="0"/>
            <w:tcW w:w="1671" w:type="dxa"/>
            <w:shd w:val="clear" w:color="auto" w:fill="008938"/>
          </w:tcPr>
          <w:p w14:paraId="36C341C3" w14:textId="77777777" w:rsidR="001529CE" w:rsidRPr="004E54A8" w:rsidRDefault="001529CE" w:rsidP="007B10BD">
            <w:pPr>
              <w:rPr>
                <w:sz w:val="20"/>
                <w:szCs w:val="20"/>
              </w:rPr>
            </w:pPr>
            <w:r w:rsidRPr="004E54A8">
              <w:rPr>
                <w:sz w:val="20"/>
                <w:szCs w:val="20"/>
              </w:rPr>
              <w:t>Maximum</w:t>
            </w:r>
          </w:p>
        </w:tc>
        <w:tc>
          <w:tcPr>
            <w:tcW w:w="1701" w:type="dxa"/>
          </w:tcPr>
          <w:p w14:paraId="7BBEA842"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18.9</w:t>
            </w:r>
          </w:p>
        </w:tc>
        <w:tc>
          <w:tcPr>
            <w:tcW w:w="1701" w:type="dxa"/>
          </w:tcPr>
          <w:p w14:paraId="5C49E4AF"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360.0</w:t>
            </w:r>
          </w:p>
        </w:tc>
        <w:tc>
          <w:tcPr>
            <w:tcW w:w="1843" w:type="dxa"/>
          </w:tcPr>
          <w:p w14:paraId="19D6FF65"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39.35</w:t>
            </w:r>
          </w:p>
        </w:tc>
        <w:tc>
          <w:tcPr>
            <w:tcW w:w="2180" w:type="dxa"/>
          </w:tcPr>
          <w:p w14:paraId="681075CB"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99.0</w:t>
            </w:r>
          </w:p>
        </w:tc>
      </w:tr>
      <w:tr w:rsidR="001529CE" w14:paraId="3F6CFD65" w14:textId="77777777" w:rsidTr="004203CC">
        <w:tc>
          <w:tcPr>
            <w:cnfStyle w:val="001000000000" w:firstRow="0" w:lastRow="0" w:firstColumn="1" w:lastColumn="0" w:oddVBand="0" w:evenVBand="0" w:oddHBand="0" w:evenHBand="0" w:firstRowFirstColumn="0" w:firstRowLastColumn="0" w:lastRowFirstColumn="0" w:lastRowLastColumn="0"/>
            <w:tcW w:w="1671" w:type="dxa"/>
            <w:shd w:val="clear" w:color="auto" w:fill="008938"/>
          </w:tcPr>
          <w:p w14:paraId="0FECD18F" w14:textId="77777777" w:rsidR="001529CE" w:rsidRPr="004E54A8" w:rsidRDefault="001529CE" w:rsidP="007B10BD">
            <w:pPr>
              <w:rPr>
                <w:sz w:val="20"/>
                <w:szCs w:val="20"/>
              </w:rPr>
            </w:pPr>
            <w:r w:rsidRPr="004E54A8">
              <w:rPr>
                <w:sz w:val="20"/>
                <w:szCs w:val="20"/>
              </w:rPr>
              <w:t>Data Capture</w:t>
            </w:r>
          </w:p>
        </w:tc>
        <w:tc>
          <w:tcPr>
            <w:tcW w:w="1701" w:type="dxa"/>
          </w:tcPr>
          <w:p w14:paraId="0B301852"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100.00</w:t>
            </w:r>
          </w:p>
        </w:tc>
        <w:tc>
          <w:tcPr>
            <w:tcW w:w="1701" w:type="dxa"/>
          </w:tcPr>
          <w:p w14:paraId="4F21AC33"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100.00</w:t>
            </w:r>
          </w:p>
        </w:tc>
        <w:tc>
          <w:tcPr>
            <w:tcW w:w="1843" w:type="dxa"/>
          </w:tcPr>
          <w:p w14:paraId="59D7F306"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100.00</w:t>
            </w:r>
          </w:p>
        </w:tc>
        <w:tc>
          <w:tcPr>
            <w:tcW w:w="2180" w:type="dxa"/>
          </w:tcPr>
          <w:p w14:paraId="4C93067E" w14:textId="77777777" w:rsidR="001529CE" w:rsidRPr="004E54A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4E54A8">
              <w:rPr>
                <w:sz w:val="20"/>
                <w:szCs w:val="20"/>
              </w:rPr>
              <w:t>100.00</w:t>
            </w:r>
          </w:p>
        </w:tc>
      </w:tr>
    </w:tbl>
    <w:p w14:paraId="5341DB90" w14:textId="3F2A9336" w:rsidR="001529CE" w:rsidRDefault="001529CE" w:rsidP="0025036F">
      <w:pPr>
        <w:pStyle w:val="Heading2"/>
        <w:numPr>
          <w:ilvl w:val="1"/>
          <w:numId w:val="79"/>
        </w:numPr>
      </w:pPr>
      <w:bookmarkStart w:id="199" w:name="_Toc150934024"/>
      <w:bookmarkStart w:id="200" w:name="_Toc159264914"/>
      <w:bookmarkStart w:id="201" w:name="_Toc160129591"/>
      <w:r>
        <w:t>Road locations</w:t>
      </w:r>
      <w:bookmarkEnd w:id="199"/>
      <w:bookmarkEnd w:id="200"/>
      <w:bookmarkEnd w:id="201"/>
    </w:p>
    <w:p w14:paraId="20911548" w14:textId="77777777" w:rsidR="001529CE" w:rsidRDefault="001529CE" w:rsidP="001529CE">
      <w:r>
        <w:t>A</w:t>
      </w:r>
      <w:r w:rsidRPr="00477AF2">
        <w:t xml:space="preserve"> realistic representation of road locations </w:t>
      </w:r>
      <w:r>
        <w:t>has</w:t>
      </w:r>
      <w:r w:rsidRPr="00477AF2">
        <w:t xml:space="preserve"> be</w:t>
      </w:r>
      <w:r>
        <w:t>en</w:t>
      </w:r>
      <w:r w:rsidRPr="00477AF2">
        <w:t xml:space="preserve"> modelled by assigning emissions to the road links represented in the </w:t>
      </w:r>
      <w:r w:rsidRPr="00167817">
        <w:t>Ordnance Survey Highways Network GIS dataset</w:t>
      </w:r>
      <w:r>
        <w:t xml:space="preserve"> provided by SBC (</w:t>
      </w:r>
      <w:r>
        <w:fldChar w:fldCharType="begin"/>
      </w:r>
      <w:r>
        <w:instrText xml:space="preserve"> REF _Ref159265094 \h </w:instrText>
      </w:r>
      <w:r>
        <w:fldChar w:fldCharType="separate"/>
      </w:r>
      <w:r>
        <w:t xml:space="preserve">Figure </w:t>
      </w:r>
      <w:r>
        <w:rPr>
          <w:noProof/>
        </w:rPr>
        <w:t>2</w:t>
      </w:r>
      <w:r>
        <w:noBreakHyphen/>
      </w:r>
      <w:r>
        <w:rPr>
          <w:noProof/>
        </w:rPr>
        <w:t>C</w:t>
      </w:r>
      <w:r>
        <w:fldChar w:fldCharType="end"/>
      </w:r>
      <w:r>
        <w:t xml:space="preserve">). It contains spatially accurate road centreline locations for </w:t>
      </w:r>
      <w:r w:rsidRPr="00660610">
        <w:t xml:space="preserve">various road categories (e.g. </w:t>
      </w:r>
      <w:r>
        <w:t>m</w:t>
      </w:r>
      <w:r w:rsidRPr="00660610">
        <w:t>otorway, A road, B road, minor road, local street, etc.)</w:t>
      </w:r>
      <w:r>
        <w:t>.</w:t>
      </w:r>
    </w:p>
    <w:p w14:paraId="78EA2932" w14:textId="77777777" w:rsidR="001529CE" w:rsidRDefault="001529CE" w:rsidP="00887760">
      <w:pPr>
        <w:pStyle w:val="Figures"/>
      </w:pPr>
      <w:bookmarkStart w:id="202" w:name="_Ref159265094"/>
      <w:bookmarkStart w:id="203" w:name="_Toc160129359"/>
      <w:r>
        <w:lastRenderedPageBreak/>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C</w:t>
      </w:r>
      <w:r w:rsidR="000F4CA1">
        <w:rPr>
          <w:noProof/>
        </w:rPr>
        <w:fldChar w:fldCharType="end"/>
      </w:r>
      <w:bookmarkEnd w:id="202"/>
      <w:r>
        <w:t xml:space="preserve"> - Modelled road links</w:t>
      </w:r>
      <w:bookmarkEnd w:id="203"/>
    </w:p>
    <w:p w14:paraId="4A3B4C4A" w14:textId="77777777" w:rsidR="001529CE" w:rsidRDefault="001529CE" w:rsidP="001529CE">
      <w:pPr>
        <w:pStyle w:val="RBodyText"/>
      </w:pPr>
      <w:r>
        <w:rPr>
          <w:noProof/>
        </w:rPr>
        <w:drawing>
          <wp:inline distT="0" distB="0" distL="0" distR="0" wp14:anchorId="782CDAD0" wp14:editId="186BCD6D">
            <wp:extent cx="6120130" cy="4591685"/>
            <wp:effectExtent l="0" t="0" r="0" b="0"/>
            <wp:docPr id="19" name="Picture 19" descr="A map of Slough will all of the modelled road links included in the transport assessment shown in blue. This includes all major roads in Sl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of Slough will all of the modelled road links included in the transport assessment shown in blue. This includes all major roads in Slough "/>
                    <pic:cNvPicPr/>
                  </pic:nvPicPr>
                  <pic:blipFill>
                    <a:blip r:embed="rId26" cstate="print">
                      <a:extLst>
                        <a:ext uri="{28A0092B-C50C-407E-A947-70E740481C1C}">
                          <a14:useLocalDpi xmlns:a14="http://schemas.microsoft.com/office/drawing/2010/main"/>
                        </a:ext>
                      </a:extLst>
                    </a:blip>
                    <a:stretch>
                      <a:fillRect/>
                    </a:stretch>
                  </pic:blipFill>
                  <pic:spPr>
                    <a:xfrm>
                      <a:off x="0" y="0"/>
                      <a:ext cx="6120130" cy="4591685"/>
                    </a:xfrm>
                    <a:prstGeom prst="rect">
                      <a:avLst/>
                    </a:prstGeom>
                  </pic:spPr>
                </pic:pic>
              </a:graphicData>
            </a:graphic>
          </wp:inline>
        </w:drawing>
      </w:r>
    </w:p>
    <w:p w14:paraId="5FEA86BA" w14:textId="77777777" w:rsidR="001529CE" w:rsidRDefault="001529CE" w:rsidP="0025036F">
      <w:pPr>
        <w:pStyle w:val="Heading2"/>
        <w:numPr>
          <w:ilvl w:val="1"/>
          <w:numId w:val="79"/>
        </w:numPr>
      </w:pPr>
      <w:bookmarkStart w:id="204" w:name="_Toc150934025"/>
      <w:bookmarkStart w:id="205" w:name="_Toc159264915"/>
      <w:bookmarkStart w:id="206" w:name="_Toc160129592"/>
      <w:r>
        <w:t>Gradient effects</w:t>
      </w:r>
      <w:bookmarkEnd w:id="204"/>
      <w:bookmarkEnd w:id="205"/>
      <w:bookmarkEnd w:id="206"/>
    </w:p>
    <w:p w14:paraId="433F713A" w14:textId="77777777" w:rsidR="001529CE" w:rsidRPr="00607E7E" w:rsidRDefault="001529CE" w:rsidP="001529CE">
      <w:r w:rsidRPr="00607E7E">
        <w:t>Gradient effects were included in the modelling, based on elevation data from the Environment Agency’s open data Light Detection and Ranging (LIDAR) Digital Terrain Model</w:t>
      </w:r>
      <w:r>
        <w:t xml:space="preserve"> (DTM) and Digital Surface Model (DSM) </w:t>
      </w:r>
      <w:r w:rsidRPr="00607E7E">
        <w:t>and where this was unavailable, Google Earth.</w:t>
      </w:r>
    </w:p>
    <w:p w14:paraId="73E787DF" w14:textId="77777777" w:rsidR="001529CE" w:rsidRDefault="001529CE" w:rsidP="001529CE">
      <w:r w:rsidRPr="00607E7E">
        <w:t>Gradients were included in the model for all modelled road links. All road links were modelled at ground level in order to provide a conservative estimate of ground level concentrations; roads above ground will have a reduced impact on ground level concentrations due to elevation of the plume centreline.</w:t>
      </w:r>
    </w:p>
    <w:p w14:paraId="145472FF" w14:textId="77777777" w:rsidR="001529CE" w:rsidRDefault="001529CE" w:rsidP="0025036F">
      <w:pPr>
        <w:pStyle w:val="Heading2"/>
        <w:numPr>
          <w:ilvl w:val="1"/>
          <w:numId w:val="79"/>
        </w:numPr>
      </w:pPr>
      <w:bookmarkStart w:id="207" w:name="_Toc150934026"/>
      <w:bookmarkStart w:id="208" w:name="_Toc159264916"/>
      <w:bookmarkStart w:id="209" w:name="_Toc160129593"/>
      <w:r>
        <w:lastRenderedPageBreak/>
        <w:t>Street canyons</w:t>
      </w:r>
      <w:bookmarkEnd w:id="207"/>
      <w:bookmarkEnd w:id="208"/>
      <w:bookmarkEnd w:id="209"/>
    </w:p>
    <w:p w14:paraId="06CC5338" w14:textId="77777777" w:rsidR="001529CE" w:rsidRDefault="001529CE" w:rsidP="001529CE">
      <w:r>
        <w:t xml:space="preserve">The presence of buildings either side of a road can introduce ‘street canyon’ effects which result in pollutants becoming trapped, leading to increased pollutant concentrations. There are canyon effects present in Slough, highlighted in </w:t>
      </w:r>
      <w:r>
        <w:fldChar w:fldCharType="begin"/>
      </w:r>
      <w:r>
        <w:instrText xml:space="preserve"> REF _Ref159265114 \h </w:instrText>
      </w:r>
      <w:r>
        <w:fldChar w:fldCharType="separate"/>
      </w:r>
      <w:r>
        <w:t xml:space="preserve">Figure </w:t>
      </w:r>
      <w:r>
        <w:rPr>
          <w:noProof/>
        </w:rPr>
        <w:t>2</w:t>
      </w:r>
      <w:r>
        <w:noBreakHyphen/>
      </w:r>
      <w:r>
        <w:rPr>
          <w:noProof/>
        </w:rPr>
        <w:t>D</w:t>
      </w:r>
      <w:r>
        <w:fldChar w:fldCharType="end"/>
      </w:r>
      <w:r>
        <w:t>, which may be contributing to air quality issues in the study area.</w:t>
      </w:r>
    </w:p>
    <w:p w14:paraId="67A12FC2" w14:textId="77777777" w:rsidR="001529CE" w:rsidRDefault="001529CE" w:rsidP="001529CE">
      <w:r>
        <w:t>Street canyon impacts were modelled using the RapidAir canyon module. Building heights were obtained from the Ordnance Survey MasterMap Topography Layer data.</w:t>
      </w:r>
    </w:p>
    <w:p w14:paraId="2DB209F5" w14:textId="77777777" w:rsidR="001529CE" w:rsidRPr="00887760" w:rsidRDefault="001529CE" w:rsidP="00887760">
      <w:pPr>
        <w:pStyle w:val="Figures"/>
      </w:pPr>
      <w:bookmarkStart w:id="210" w:name="_Ref159265114"/>
      <w:bookmarkStart w:id="211" w:name="_Toc160129360"/>
      <w:r w:rsidRPr="00887760">
        <w:t xml:space="preserve">Figure </w:t>
      </w:r>
      <w:r w:rsidR="000F4CA1">
        <w:fldChar w:fldCharType="begin"/>
      </w:r>
      <w:r w:rsidR="000F4CA1">
        <w:instrText xml:space="preserve"> STYLEREF 1 \s </w:instrText>
      </w:r>
      <w:r w:rsidR="000F4CA1">
        <w:fldChar w:fldCharType="separate"/>
      </w:r>
      <w:r w:rsidRPr="00887760">
        <w:t>2</w:t>
      </w:r>
      <w:r w:rsidR="000F4CA1">
        <w:fldChar w:fldCharType="end"/>
      </w:r>
      <w:r w:rsidRPr="00887760">
        <w:noBreakHyphen/>
      </w:r>
      <w:r w:rsidR="000F4CA1">
        <w:fldChar w:fldCharType="begin"/>
      </w:r>
      <w:r w:rsidR="000F4CA1">
        <w:instrText xml:space="preserve"> SEQ Figure \* ALPHABETIC \s 1 </w:instrText>
      </w:r>
      <w:r w:rsidR="000F4CA1">
        <w:fldChar w:fldCharType="separate"/>
      </w:r>
      <w:r w:rsidRPr="00887760">
        <w:t>D</w:t>
      </w:r>
      <w:r w:rsidR="000F4CA1">
        <w:fldChar w:fldCharType="end"/>
      </w:r>
      <w:bookmarkEnd w:id="210"/>
      <w:r w:rsidRPr="00887760">
        <w:t xml:space="preserve"> - Modelled street canyons</w:t>
      </w:r>
      <w:bookmarkEnd w:id="211"/>
    </w:p>
    <w:p w14:paraId="2234C5BC" w14:textId="77777777" w:rsidR="001529CE" w:rsidRDefault="001529CE" w:rsidP="001529CE">
      <w:pPr>
        <w:pStyle w:val="RBodyText"/>
        <w:rPr>
          <w:b/>
          <w:bCs w:val="0"/>
          <w:szCs w:val="20"/>
        </w:rPr>
      </w:pPr>
      <w:r>
        <w:rPr>
          <w:noProof/>
        </w:rPr>
        <w:drawing>
          <wp:inline distT="0" distB="0" distL="0" distR="0" wp14:anchorId="274AF3BE" wp14:editId="0D9E6441">
            <wp:extent cx="6120130" cy="4591685"/>
            <wp:effectExtent l="0" t="0" r="0" b="0"/>
            <wp:docPr id="210442345" name="Picture 210442345" descr="A map of Slough, with a zoomed in insert, showing the steer canyon locations. These tend to be in built up areas where it is more difficult for pollutants to dispe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2345" name="Picture 210442345" descr="A map of Slough, with a zoomed in insert, showing the steer canyon locations. These tend to be in built up areas where it is more difficult for pollutants to disperse "/>
                    <pic:cNvPicPr/>
                  </pic:nvPicPr>
                  <pic:blipFill>
                    <a:blip r:embed="rId27" cstate="print">
                      <a:extLst>
                        <a:ext uri="{28A0092B-C50C-407E-A947-70E740481C1C}">
                          <a14:useLocalDpi xmlns:a14="http://schemas.microsoft.com/office/drawing/2010/main"/>
                        </a:ext>
                      </a:extLst>
                    </a:blip>
                    <a:stretch>
                      <a:fillRect/>
                    </a:stretch>
                  </pic:blipFill>
                  <pic:spPr>
                    <a:xfrm>
                      <a:off x="0" y="0"/>
                      <a:ext cx="6120130" cy="4591685"/>
                    </a:xfrm>
                    <a:prstGeom prst="rect">
                      <a:avLst/>
                    </a:prstGeom>
                  </pic:spPr>
                </pic:pic>
              </a:graphicData>
            </a:graphic>
          </wp:inline>
        </w:drawing>
      </w:r>
      <w:bookmarkStart w:id="212" w:name="_Ref150769314"/>
      <w:r>
        <w:br w:type="page"/>
      </w:r>
    </w:p>
    <w:p w14:paraId="5D928CF2" w14:textId="77777777" w:rsidR="001529CE" w:rsidRDefault="001529CE" w:rsidP="0025036F">
      <w:pPr>
        <w:pStyle w:val="Heading2"/>
        <w:numPr>
          <w:ilvl w:val="1"/>
          <w:numId w:val="79"/>
        </w:numPr>
      </w:pPr>
      <w:bookmarkStart w:id="213" w:name="_Toc150934027"/>
      <w:bookmarkStart w:id="214" w:name="_Toc159264917"/>
      <w:bookmarkStart w:id="215" w:name="_Toc160129594"/>
      <w:bookmarkEnd w:id="212"/>
      <w:r>
        <w:lastRenderedPageBreak/>
        <w:t>Road transport modelling</w:t>
      </w:r>
      <w:bookmarkEnd w:id="213"/>
      <w:bookmarkEnd w:id="214"/>
      <w:bookmarkEnd w:id="215"/>
    </w:p>
    <w:p w14:paraId="5A35FCF9" w14:textId="77777777" w:rsidR="001529CE" w:rsidRPr="002A144B" w:rsidRDefault="001529CE" w:rsidP="0025036F">
      <w:pPr>
        <w:pStyle w:val="Heading3"/>
        <w:numPr>
          <w:ilvl w:val="2"/>
          <w:numId w:val="79"/>
        </w:numPr>
      </w:pPr>
      <w:bookmarkStart w:id="216" w:name="_Toc159264918"/>
      <w:bookmarkStart w:id="217" w:name="_Toc160129595"/>
      <w:r w:rsidRPr="002A144B">
        <w:t>Average daily vehicle flow and speeds</w:t>
      </w:r>
      <w:bookmarkEnd w:id="216"/>
      <w:bookmarkEnd w:id="217"/>
    </w:p>
    <w:p w14:paraId="6436CD39" w14:textId="57B84B61" w:rsidR="001529CE" w:rsidRPr="00B05D19" w:rsidRDefault="001529CE" w:rsidP="001529CE">
      <w:pPr>
        <w:rPr>
          <w:szCs w:val="22"/>
        </w:rPr>
      </w:pPr>
      <w:r>
        <w:rPr>
          <w:szCs w:val="22"/>
        </w:rPr>
        <w:t>A</w:t>
      </w:r>
      <w:r w:rsidRPr="00B05D19">
        <w:rPr>
          <w:szCs w:val="22"/>
        </w:rPr>
        <w:t>nnual average daily traffic (AADT) link flows and daily average speed for each model</w:t>
      </w:r>
      <w:r>
        <w:rPr>
          <w:szCs w:val="22"/>
        </w:rPr>
        <w:t>led road</w:t>
      </w:r>
      <w:r w:rsidRPr="00B05D19">
        <w:rPr>
          <w:szCs w:val="22"/>
        </w:rPr>
        <w:t xml:space="preserve"> link</w:t>
      </w:r>
      <w:r>
        <w:rPr>
          <w:szCs w:val="22"/>
        </w:rPr>
        <w:t xml:space="preserve"> were</w:t>
      </w:r>
      <w:r w:rsidRPr="00B05D19">
        <w:rPr>
          <w:szCs w:val="22"/>
        </w:rPr>
        <w:t xml:space="preserve"> taken from the local SATURN traffic model</w:t>
      </w:r>
      <w:r>
        <w:rPr>
          <w:szCs w:val="22"/>
        </w:rPr>
        <w:t xml:space="preserve">, </w:t>
      </w:r>
      <w:r w:rsidRPr="00B05D19">
        <w:rPr>
          <w:szCs w:val="22"/>
        </w:rPr>
        <w:t>provided by Atkins</w:t>
      </w:r>
      <w:r w:rsidR="007B214E">
        <w:rPr>
          <w:szCs w:val="22"/>
        </w:rPr>
        <w:t>.</w:t>
      </w:r>
    </w:p>
    <w:p w14:paraId="256BEBB6" w14:textId="5D350393" w:rsidR="001529CE" w:rsidRDefault="001529CE" w:rsidP="001529CE">
      <w:pPr>
        <w:rPr>
          <w:szCs w:val="22"/>
        </w:rPr>
      </w:pPr>
      <w:r w:rsidRPr="00B05D19">
        <w:rPr>
          <w:szCs w:val="22"/>
        </w:rPr>
        <w:t>A typical UK weekday diurnal profile</w:t>
      </w:r>
      <w:r>
        <w:rPr>
          <w:szCs w:val="22"/>
          <w:vertAlign w:val="superscript"/>
        </w:rPr>
        <w:t xml:space="preserve"> </w:t>
      </w:r>
      <w:r>
        <w:rPr>
          <w:szCs w:val="22"/>
        </w:rPr>
        <w:t xml:space="preserve">(sourced from the </w:t>
      </w:r>
      <w:r w:rsidR="007B214E">
        <w:rPr>
          <w:szCs w:val="22"/>
        </w:rPr>
        <w:t>DfT</w:t>
      </w:r>
      <w:r>
        <w:rPr>
          <w:szCs w:val="22"/>
        </w:rPr>
        <w:t>)</w:t>
      </w:r>
      <w:r w:rsidRPr="00B05D19">
        <w:rPr>
          <w:szCs w:val="22"/>
        </w:rPr>
        <w:t xml:space="preserve"> was assumed and applied as time varying emissions in AERMOD when creating the </w:t>
      </w:r>
      <w:r>
        <w:rPr>
          <w:szCs w:val="22"/>
        </w:rPr>
        <w:t xml:space="preserve">RapidAir </w:t>
      </w:r>
      <w:r w:rsidRPr="00B05D19">
        <w:rPr>
          <w:szCs w:val="22"/>
        </w:rPr>
        <w:t>dispersion kernel.</w:t>
      </w:r>
    </w:p>
    <w:p w14:paraId="383E5D17" w14:textId="77777777" w:rsidR="001529CE" w:rsidRPr="002A144B" w:rsidRDefault="001529CE" w:rsidP="0025036F">
      <w:pPr>
        <w:pStyle w:val="Heading3"/>
        <w:numPr>
          <w:ilvl w:val="2"/>
          <w:numId w:val="79"/>
        </w:numPr>
      </w:pPr>
      <w:bookmarkStart w:id="218" w:name="_Toc159264919"/>
      <w:bookmarkStart w:id="219" w:name="_Toc160129596"/>
      <w:r w:rsidRPr="002A144B">
        <w:t>Vehicle fleet composition</w:t>
      </w:r>
      <w:bookmarkEnd w:id="218"/>
      <w:bookmarkEnd w:id="219"/>
    </w:p>
    <w:p w14:paraId="4B860921" w14:textId="77777777" w:rsidR="001529CE" w:rsidRDefault="001529CE" w:rsidP="001529CE">
      <w:pPr>
        <w:rPr>
          <w:szCs w:val="22"/>
        </w:rPr>
      </w:pPr>
      <w:r>
        <w:rPr>
          <w:szCs w:val="22"/>
        </w:rPr>
        <w:t>V</w:t>
      </w:r>
      <w:r w:rsidRPr="00A8097B">
        <w:rPr>
          <w:szCs w:val="22"/>
        </w:rPr>
        <w:t xml:space="preserve">ehicle fleet composition data </w:t>
      </w:r>
      <w:r>
        <w:rPr>
          <w:szCs w:val="22"/>
        </w:rPr>
        <w:t xml:space="preserve">for 2022 </w:t>
      </w:r>
      <w:r w:rsidRPr="00A8097B">
        <w:rPr>
          <w:szCs w:val="22"/>
        </w:rPr>
        <w:t>w</w:t>
      </w:r>
      <w:r>
        <w:rPr>
          <w:szCs w:val="22"/>
        </w:rPr>
        <w:t>ere</w:t>
      </w:r>
      <w:r w:rsidRPr="00A8097B">
        <w:rPr>
          <w:szCs w:val="22"/>
        </w:rPr>
        <w:t xml:space="preserve"> applied from </w:t>
      </w:r>
      <w:bookmarkStart w:id="220" w:name="_Hlk86397490"/>
      <w:r w:rsidRPr="00A8097B">
        <w:rPr>
          <w:szCs w:val="22"/>
        </w:rPr>
        <w:t>the best available local (Slough and other UK local authorities) and national data</w:t>
      </w:r>
      <w:r>
        <w:rPr>
          <w:szCs w:val="22"/>
        </w:rPr>
        <w:t>,</w:t>
      </w:r>
      <w:r w:rsidRPr="00A8097B">
        <w:rPr>
          <w:szCs w:val="22"/>
        </w:rPr>
        <w:t xml:space="preserve"> based on best scientific knowledge</w:t>
      </w:r>
      <w:bookmarkEnd w:id="220"/>
      <w:r>
        <w:rPr>
          <w:szCs w:val="22"/>
        </w:rPr>
        <w:t>.</w:t>
      </w:r>
    </w:p>
    <w:p w14:paraId="701925A8" w14:textId="77777777" w:rsidR="001529CE" w:rsidRPr="00623F73" w:rsidRDefault="001529CE" w:rsidP="001529CE">
      <w:pPr>
        <w:rPr>
          <w:szCs w:val="22"/>
        </w:rPr>
      </w:pPr>
      <w:r w:rsidRPr="00B05D19">
        <w:rPr>
          <w:szCs w:val="22"/>
        </w:rPr>
        <w:t>Vehicle emission</w:t>
      </w:r>
      <w:r>
        <w:rPr>
          <w:szCs w:val="22"/>
        </w:rPr>
        <w:t>s</w:t>
      </w:r>
      <w:r w:rsidRPr="00B05D19">
        <w:rPr>
          <w:szCs w:val="22"/>
        </w:rPr>
        <w:t xml:space="preserve"> rates for buses, taxis</w:t>
      </w:r>
      <w:r w:rsidRPr="00623F73">
        <w:rPr>
          <w:szCs w:val="22"/>
        </w:rPr>
        <w:t>, coaches, rigid HGVs, articulated HGVs, LGVs, cars and motorcycles have been calculated using the COPERT v5</w:t>
      </w:r>
      <w:r>
        <w:rPr>
          <w:szCs w:val="22"/>
        </w:rPr>
        <w:t>.3</w:t>
      </w:r>
      <w:r w:rsidRPr="00623F73">
        <w:rPr>
          <w:szCs w:val="22"/>
        </w:rPr>
        <w:t xml:space="preserve"> emission</w:t>
      </w:r>
      <w:r>
        <w:rPr>
          <w:szCs w:val="22"/>
        </w:rPr>
        <w:t>s</w:t>
      </w:r>
      <w:r w:rsidRPr="00623F73">
        <w:rPr>
          <w:szCs w:val="22"/>
        </w:rPr>
        <w:t xml:space="preserve"> functions contained in the</w:t>
      </w:r>
      <w:r>
        <w:rPr>
          <w:szCs w:val="22"/>
        </w:rPr>
        <w:t xml:space="preserve"> latest version of the Defra Emissions Factors Toolkit</w:t>
      </w:r>
      <w:r w:rsidRPr="00623F73">
        <w:rPr>
          <w:szCs w:val="22"/>
        </w:rPr>
        <w:t xml:space="preserve"> </w:t>
      </w:r>
      <w:r>
        <w:rPr>
          <w:szCs w:val="22"/>
        </w:rPr>
        <w:t>(</w:t>
      </w:r>
      <w:r w:rsidRPr="00623F73">
        <w:rPr>
          <w:szCs w:val="22"/>
        </w:rPr>
        <w:t>E</w:t>
      </w:r>
      <w:r>
        <w:rPr>
          <w:szCs w:val="22"/>
        </w:rPr>
        <w:t>F</w:t>
      </w:r>
      <w:r w:rsidRPr="00623F73">
        <w:rPr>
          <w:szCs w:val="22"/>
        </w:rPr>
        <w:t>T</w:t>
      </w:r>
      <w:r>
        <w:rPr>
          <w:szCs w:val="22"/>
        </w:rPr>
        <w:t>)</w:t>
      </w:r>
      <w:r w:rsidRPr="00623F73">
        <w:rPr>
          <w:szCs w:val="22"/>
        </w:rPr>
        <w:t xml:space="preserve"> (v11</w:t>
      </w:r>
      <w:r>
        <w:rPr>
          <w:szCs w:val="22"/>
        </w:rPr>
        <w:t>.0</w:t>
      </w:r>
      <w:r w:rsidRPr="00623F73">
        <w:rPr>
          <w:szCs w:val="22"/>
        </w:rPr>
        <w:t>).</w:t>
      </w:r>
    </w:p>
    <w:p w14:paraId="0FC682BD" w14:textId="77777777" w:rsidR="001529CE" w:rsidRDefault="001529CE" w:rsidP="001529CE">
      <w:pPr>
        <w:rPr>
          <w:rFonts w:cs="Arial"/>
          <w:szCs w:val="20"/>
        </w:rPr>
      </w:pPr>
      <w:r w:rsidRPr="00623F73">
        <w:rPr>
          <w:rFonts w:cs="Arial"/>
          <w:szCs w:val="20"/>
        </w:rPr>
        <w:t>The traffic model provided vehicle flows</w:t>
      </w:r>
      <w:r>
        <w:rPr>
          <w:rFonts w:cs="Arial"/>
          <w:szCs w:val="20"/>
        </w:rPr>
        <w:t xml:space="preserve"> for four highway user classes which were: car, HGV, LGV, and bus. A further breakdown of the HGV class into rigid and articulated categories was conducted using the National Atmospheric Emissions Inventory (NAEI). Similarly, the car class has been further split using the NAEI into diesel, petrol, and hybrid (plug-in petrol hybrid, full petrol hybrid, plug-in diesel hybrid) vehicles. </w:t>
      </w:r>
    </w:p>
    <w:p w14:paraId="4D9244EE" w14:textId="77777777" w:rsidR="001529CE" w:rsidRPr="009F0657" w:rsidRDefault="001529CE" w:rsidP="001529CE">
      <w:pPr>
        <w:rPr>
          <w:szCs w:val="22"/>
        </w:rPr>
      </w:pPr>
      <w:r>
        <w:rPr>
          <w:szCs w:val="22"/>
        </w:rPr>
        <w:t>Vehicle flows for cars and taxis were provided combined in the transport model data. In order to</w:t>
      </w:r>
      <w:r w:rsidRPr="006977BE">
        <w:rPr>
          <w:szCs w:val="22"/>
        </w:rPr>
        <w:t xml:space="preserve"> separate car </w:t>
      </w:r>
      <w:r>
        <w:rPr>
          <w:szCs w:val="22"/>
        </w:rPr>
        <w:t>and</w:t>
      </w:r>
      <w:r w:rsidRPr="006977BE">
        <w:rPr>
          <w:szCs w:val="22"/>
        </w:rPr>
        <w:t xml:space="preserve"> taxi traffic flows in the transport model</w:t>
      </w:r>
      <w:r>
        <w:rPr>
          <w:szCs w:val="22"/>
        </w:rPr>
        <w:t>,</w:t>
      </w:r>
      <w:r w:rsidRPr="006977BE">
        <w:rPr>
          <w:szCs w:val="22"/>
        </w:rPr>
        <w:t xml:space="preserve"> and hence model taxis as part of the </w:t>
      </w:r>
      <w:r>
        <w:rPr>
          <w:szCs w:val="22"/>
        </w:rPr>
        <w:t>source apportionment</w:t>
      </w:r>
      <w:r w:rsidRPr="006977BE">
        <w:rPr>
          <w:szCs w:val="22"/>
        </w:rPr>
        <w:t xml:space="preserve"> study</w:t>
      </w:r>
      <w:r>
        <w:rPr>
          <w:szCs w:val="22"/>
        </w:rPr>
        <w:t>,</w:t>
      </w:r>
      <w:r w:rsidRPr="006977BE">
        <w:rPr>
          <w:szCs w:val="22"/>
        </w:rPr>
        <w:t xml:space="preserve"> </w:t>
      </w:r>
      <w:r>
        <w:rPr>
          <w:szCs w:val="22"/>
        </w:rPr>
        <w:t>the</w:t>
      </w:r>
      <w:r w:rsidRPr="006977BE">
        <w:rPr>
          <w:szCs w:val="22"/>
        </w:rPr>
        <w:t xml:space="preserve"> assumed percentage of cars that </w:t>
      </w:r>
      <w:r>
        <w:rPr>
          <w:szCs w:val="22"/>
        </w:rPr>
        <w:t>wer</w:t>
      </w:r>
      <w:r w:rsidRPr="006977BE">
        <w:rPr>
          <w:szCs w:val="22"/>
        </w:rPr>
        <w:t xml:space="preserve">e taxis </w:t>
      </w:r>
      <w:r>
        <w:rPr>
          <w:szCs w:val="22"/>
        </w:rPr>
        <w:t>was calculated for</w:t>
      </w:r>
      <w:r w:rsidRPr="006977BE">
        <w:rPr>
          <w:szCs w:val="22"/>
        </w:rPr>
        <w:t xml:space="preserve"> Slough for the town centre, outside of the town centre</w:t>
      </w:r>
      <w:r>
        <w:rPr>
          <w:szCs w:val="22"/>
        </w:rPr>
        <w:t>,</w:t>
      </w:r>
      <w:r w:rsidRPr="006977BE">
        <w:rPr>
          <w:szCs w:val="22"/>
        </w:rPr>
        <w:t xml:space="preserve"> and</w:t>
      </w:r>
      <w:r>
        <w:rPr>
          <w:szCs w:val="22"/>
        </w:rPr>
        <w:t xml:space="preserve"> for</w:t>
      </w:r>
      <w:r w:rsidRPr="006977BE">
        <w:rPr>
          <w:szCs w:val="22"/>
        </w:rPr>
        <w:t xml:space="preserve"> the motorway (M4). These values were calculated using data recorded </w:t>
      </w:r>
      <w:r>
        <w:rPr>
          <w:szCs w:val="22"/>
        </w:rPr>
        <w:t>for other local authorities</w:t>
      </w:r>
      <w:r w:rsidRPr="007B0430">
        <w:rPr>
          <w:szCs w:val="22"/>
        </w:rPr>
        <w:t xml:space="preserve"> </w:t>
      </w:r>
      <w:r>
        <w:rPr>
          <w:szCs w:val="22"/>
        </w:rPr>
        <w:t>in England</w:t>
      </w:r>
      <w:r w:rsidRPr="006977BE">
        <w:rPr>
          <w:szCs w:val="22"/>
        </w:rPr>
        <w:t xml:space="preserve">. The motorway percentage calculation also included values for the M4 from the </w:t>
      </w:r>
      <w:r>
        <w:rPr>
          <w:szCs w:val="22"/>
        </w:rPr>
        <w:t>London Atmospheric Emissions Inventory (</w:t>
      </w:r>
      <w:r w:rsidRPr="006977BE">
        <w:rPr>
          <w:szCs w:val="22"/>
        </w:rPr>
        <w:t>LAEI</w:t>
      </w:r>
      <w:r>
        <w:rPr>
          <w:szCs w:val="22"/>
        </w:rPr>
        <w:t>)</w:t>
      </w:r>
      <w:r w:rsidRPr="006977BE">
        <w:rPr>
          <w:szCs w:val="22"/>
        </w:rPr>
        <w:t xml:space="preserve">. </w:t>
      </w:r>
    </w:p>
    <w:p w14:paraId="7F6B481B" w14:textId="77777777" w:rsidR="001529CE" w:rsidRPr="00AC0159" w:rsidRDefault="001529CE" w:rsidP="001529CE">
      <w:pPr>
        <w:rPr>
          <w:rFonts w:cs="Arial"/>
          <w:szCs w:val="20"/>
        </w:rPr>
      </w:pPr>
      <w:r>
        <w:rPr>
          <w:rFonts w:cs="Arial"/>
          <w:szCs w:val="20"/>
        </w:rPr>
        <w:t xml:space="preserve">Taxis within Slough were modelled as either passenger cars (for PHVs) or as LGVs (for Hackney carriages). The proportion of cars which could be attributed to taxis was based on calculations which have assigned a proportion based on the location of the road (city centre, outside city centre and motorways). Taxis considered as passenger cars were </w:t>
      </w:r>
      <w:r>
        <w:rPr>
          <w:rFonts w:cs="Arial"/>
          <w:szCs w:val="20"/>
        </w:rPr>
        <w:lastRenderedPageBreak/>
        <w:t>further split into a petrol and diesel component using Slough-specific data provided by SBC.</w:t>
      </w:r>
    </w:p>
    <w:p w14:paraId="51BA385B" w14:textId="77777777" w:rsidR="001529CE" w:rsidRDefault="001529CE" w:rsidP="0025036F">
      <w:pPr>
        <w:pStyle w:val="Heading2"/>
        <w:numPr>
          <w:ilvl w:val="1"/>
          <w:numId w:val="79"/>
        </w:numPr>
      </w:pPr>
      <w:bookmarkStart w:id="221" w:name="_Toc150934028"/>
      <w:bookmarkStart w:id="222" w:name="_Toc159264920"/>
      <w:bookmarkStart w:id="223" w:name="_Toc160129597"/>
      <w:r>
        <w:t>NOx/NO</w:t>
      </w:r>
      <w:r w:rsidRPr="00C5138C">
        <w:rPr>
          <w:vertAlign w:val="subscript"/>
        </w:rPr>
        <w:t>2</w:t>
      </w:r>
      <w:r>
        <w:t xml:space="preserve"> conversion</w:t>
      </w:r>
      <w:bookmarkEnd w:id="221"/>
      <w:bookmarkEnd w:id="222"/>
      <w:bookmarkEnd w:id="223"/>
    </w:p>
    <w:p w14:paraId="7010E155" w14:textId="77777777" w:rsidR="001529CE" w:rsidRPr="00F46A3C" w:rsidRDefault="001529CE" w:rsidP="001529CE">
      <w:pPr>
        <w:rPr>
          <w:iCs/>
          <w:szCs w:val="20"/>
        </w:rPr>
      </w:pPr>
      <w:r w:rsidRPr="00F46A3C">
        <w:rPr>
          <w:iCs/>
          <w:szCs w:val="20"/>
        </w:rPr>
        <w:t>Link</w:t>
      </w:r>
      <w:r>
        <w:rPr>
          <w:iCs/>
          <w:szCs w:val="20"/>
        </w:rPr>
        <w:t>-</w:t>
      </w:r>
      <w:r w:rsidRPr="00F46A3C">
        <w:rPr>
          <w:iCs/>
          <w:szCs w:val="20"/>
        </w:rPr>
        <w:t>specific NO</w:t>
      </w:r>
      <w:r w:rsidRPr="00A67288">
        <w:rPr>
          <w:iCs/>
          <w:szCs w:val="20"/>
        </w:rPr>
        <w:t>x</w:t>
      </w:r>
      <w:r>
        <w:rPr>
          <w:iCs/>
          <w:szCs w:val="20"/>
          <w:vertAlign w:val="subscript"/>
        </w:rPr>
        <w:t xml:space="preserve"> </w:t>
      </w:r>
      <w:r>
        <w:rPr>
          <w:iCs/>
          <w:szCs w:val="20"/>
        </w:rPr>
        <w:t>and PM</w:t>
      </w:r>
      <w:r w:rsidRPr="00F46A3C">
        <w:rPr>
          <w:iCs/>
          <w:szCs w:val="20"/>
        </w:rPr>
        <w:t xml:space="preserve"> emission</w:t>
      </w:r>
      <w:r>
        <w:rPr>
          <w:iCs/>
          <w:szCs w:val="20"/>
        </w:rPr>
        <w:t>s</w:t>
      </w:r>
      <w:r w:rsidRPr="00F46A3C">
        <w:rPr>
          <w:iCs/>
          <w:szCs w:val="20"/>
        </w:rPr>
        <w:t xml:space="preserve"> factors </w:t>
      </w:r>
      <w:r>
        <w:rPr>
          <w:iCs/>
          <w:szCs w:val="20"/>
        </w:rPr>
        <w:t>were</w:t>
      </w:r>
      <w:r w:rsidRPr="00F46A3C">
        <w:rPr>
          <w:iCs/>
          <w:szCs w:val="20"/>
        </w:rPr>
        <w:t xml:space="preserve"> calculated using the COPERT v5</w:t>
      </w:r>
      <w:r>
        <w:rPr>
          <w:iCs/>
          <w:szCs w:val="20"/>
        </w:rPr>
        <w:t>.3</w:t>
      </w:r>
      <w:r w:rsidRPr="00F46A3C">
        <w:rPr>
          <w:iCs/>
          <w:szCs w:val="20"/>
        </w:rPr>
        <w:t xml:space="preserve"> emission functions </w:t>
      </w:r>
      <w:r w:rsidRPr="00F46A3C">
        <w:rPr>
          <w:szCs w:val="20"/>
        </w:rPr>
        <w:t>for all vehicles up to and including Euro 6/VI. Emission</w:t>
      </w:r>
      <w:r>
        <w:rPr>
          <w:szCs w:val="20"/>
        </w:rPr>
        <w:t>s</w:t>
      </w:r>
      <w:r w:rsidRPr="00F46A3C">
        <w:rPr>
          <w:szCs w:val="20"/>
        </w:rPr>
        <w:t xml:space="preserve"> rates </w:t>
      </w:r>
      <w:r>
        <w:rPr>
          <w:szCs w:val="20"/>
        </w:rPr>
        <w:t>were</w:t>
      </w:r>
      <w:r w:rsidRPr="00F46A3C">
        <w:rPr>
          <w:szCs w:val="20"/>
        </w:rPr>
        <w:t xml:space="preserve"> calculated </w:t>
      </w:r>
      <w:r>
        <w:rPr>
          <w:szCs w:val="20"/>
        </w:rPr>
        <w:t>using the Emissions Factor Toolkit (EFT) (v11.0)</w:t>
      </w:r>
      <w:r>
        <w:rPr>
          <w:rStyle w:val="FootnoteReference"/>
          <w:szCs w:val="20"/>
        </w:rPr>
        <w:footnoteReference w:id="25"/>
      </w:r>
      <w:r w:rsidRPr="00F46A3C">
        <w:rPr>
          <w:szCs w:val="20"/>
        </w:rPr>
        <w:t>.</w:t>
      </w:r>
    </w:p>
    <w:p w14:paraId="11E315C1" w14:textId="3615362B" w:rsidR="001529CE" w:rsidRDefault="001529CE" w:rsidP="001529CE">
      <w:r>
        <w:t>The most recent version (</w:t>
      </w:r>
      <w:r w:rsidRPr="00763173">
        <w:t>v</w:t>
      </w:r>
      <w:r>
        <w:t>8</w:t>
      </w:r>
      <w:r w:rsidRPr="00763173">
        <w:t>.1</w:t>
      </w:r>
      <w:r>
        <w:t>) of the Local Air Quality Management (LAQM) NO</w:t>
      </w:r>
      <w:r w:rsidRPr="00A67288">
        <w:t>x</w:t>
      </w:r>
      <w:r>
        <w:rPr>
          <w:vertAlign w:val="subscript"/>
        </w:rPr>
        <w:t xml:space="preserve"> </w:t>
      </w:r>
      <w:r>
        <w:t>to NO</w:t>
      </w:r>
      <w:r>
        <w:rPr>
          <w:vertAlign w:val="subscript"/>
        </w:rPr>
        <w:t>2</w:t>
      </w:r>
      <w:r>
        <w:t xml:space="preserve"> conversion toolkit</w:t>
      </w:r>
      <w:r>
        <w:rPr>
          <w:rStyle w:val="FootnoteReference"/>
        </w:rPr>
        <w:footnoteReference w:id="26"/>
      </w:r>
      <w:r>
        <w:t xml:space="preserve"> was used to convert road NO</w:t>
      </w:r>
      <w:r w:rsidRPr="00A67288">
        <w:t>x</w:t>
      </w:r>
      <w:r>
        <w:t xml:space="preserve"> and background NO</w:t>
      </w:r>
      <w:r w:rsidRPr="00A67288">
        <w:t>x</w:t>
      </w:r>
      <w:r>
        <w:t xml:space="preserve"> into NO</w:t>
      </w:r>
      <w:r>
        <w:rPr>
          <w:vertAlign w:val="subscript"/>
        </w:rPr>
        <w:t>2</w:t>
      </w:r>
      <w:r>
        <w:t xml:space="preserve"> concentrations where results at discrete receptor locations were required. This includes all roadside and kerbside 2022 </w:t>
      </w:r>
      <w:r w:rsidRPr="00302C25">
        <w:t>NO</w:t>
      </w:r>
      <w:r w:rsidRPr="00302C25">
        <w:rPr>
          <w:vertAlign w:val="subscript"/>
        </w:rPr>
        <w:t>2</w:t>
      </w:r>
      <w:r>
        <w:t xml:space="preserve"> monitoring site locations in proximity to modelled road links. </w:t>
      </w:r>
    </w:p>
    <w:p w14:paraId="4FC64FB9" w14:textId="77777777" w:rsidR="001529CE" w:rsidRPr="005943EB" w:rsidRDefault="001529CE" w:rsidP="001529CE">
      <w:pPr>
        <w:rPr>
          <w:i/>
          <w:szCs w:val="20"/>
        </w:rPr>
      </w:pPr>
      <w:r>
        <w:t>The borough-wide domain was modelled at a 1 m resolution. When</w:t>
      </w:r>
      <w:r w:rsidRPr="00BD7FCE">
        <w:t xml:space="preserve"> calculating</w:t>
      </w:r>
      <w:r>
        <w:t xml:space="preserve"> </w:t>
      </w:r>
      <w:r w:rsidRPr="00302C25">
        <w:t>NO</w:t>
      </w:r>
      <w:r w:rsidRPr="00302C25">
        <w:rPr>
          <w:vertAlign w:val="subscript"/>
        </w:rPr>
        <w:t>2</w:t>
      </w:r>
      <w:r>
        <w:rPr>
          <w:vertAlign w:val="subscript"/>
        </w:rPr>
        <w:t xml:space="preserve"> </w:t>
      </w:r>
      <w:r>
        <w:t>for large model domains and high-resolution models, using the LAQM NOx to NO</w:t>
      </w:r>
      <w:r w:rsidRPr="00AC0159">
        <w:rPr>
          <w:vertAlign w:val="subscript"/>
        </w:rPr>
        <w:t>2</w:t>
      </w:r>
      <w:r>
        <w:t xml:space="preserve"> conversion spreadsheet tool for the conversion is not practical. </w:t>
      </w:r>
      <w:r>
        <w:rPr>
          <w:szCs w:val="20"/>
        </w:rPr>
        <w:t xml:space="preserve">In this case, a statistical relationship was derived using an ordinary least squares (OLS) regression model. </w:t>
      </w:r>
      <w:r w:rsidRPr="006D5733">
        <w:rPr>
          <w:szCs w:val="20"/>
        </w:rPr>
        <w:t>The OLS model was derived by def</w:t>
      </w:r>
      <w:r>
        <w:rPr>
          <w:szCs w:val="20"/>
        </w:rPr>
        <w:t>ining background NO</w:t>
      </w:r>
      <w:r w:rsidRPr="00446357">
        <w:rPr>
          <w:szCs w:val="20"/>
          <w:vertAlign w:val="subscript"/>
        </w:rPr>
        <w:t>x</w:t>
      </w:r>
      <w:r>
        <w:rPr>
          <w:szCs w:val="20"/>
        </w:rPr>
        <w:t xml:space="preserve">, road NOx and road </w:t>
      </w:r>
      <w:r w:rsidRPr="006D5733">
        <w:rPr>
          <w:szCs w:val="20"/>
        </w:rPr>
        <w:t>fNO</w:t>
      </w:r>
      <w:r w:rsidRPr="00316894">
        <w:rPr>
          <w:szCs w:val="20"/>
          <w:vertAlign w:val="subscript"/>
        </w:rPr>
        <w:t>2</w:t>
      </w:r>
      <w:r w:rsidRPr="006D5733">
        <w:rPr>
          <w:szCs w:val="20"/>
        </w:rPr>
        <w:t xml:space="preserve"> as the independent variables, and total</w:t>
      </w:r>
      <w:r>
        <w:rPr>
          <w:szCs w:val="20"/>
        </w:rPr>
        <w:t xml:space="preserve"> </w:t>
      </w:r>
      <w:r w:rsidRPr="006D5733">
        <w:rPr>
          <w:szCs w:val="20"/>
        </w:rPr>
        <w:t>NO</w:t>
      </w:r>
      <w:r w:rsidRPr="006D5733">
        <w:rPr>
          <w:szCs w:val="20"/>
          <w:vertAlign w:val="subscript"/>
        </w:rPr>
        <w:t>2</w:t>
      </w:r>
      <w:r w:rsidRPr="006D5733">
        <w:rPr>
          <w:szCs w:val="20"/>
        </w:rPr>
        <w:t xml:space="preserve"> as the dependent variable</w:t>
      </w:r>
      <w:r>
        <w:rPr>
          <w:szCs w:val="20"/>
        </w:rPr>
        <w:t>.</w:t>
      </w:r>
    </w:p>
    <w:p w14:paraId="05ED5868" w14:textId="522DF07A" w:rsidR="001529CE" w:rsidRDefault="00B96B38" w:rsidP="0025036F">
      <w:pPr>
        <w:pStyle w:val="Heading2"/>
        <w:numPr>
          <w:ilvl w:val="1"/>
          <w:numId w:val="79"/>
        </w:numPr>
      </w:pPr>
      <w:bookmarkStart w:id="224" w:name="_Toc150934029"/>
      <w:bookmarkStart w:id="225" w:name="_Toc159264921"/>
      <w:r>
        <w:t xml:space="preserve"> </w:t>
      </w:r>
      <w:bookmarkStart w:id="226" w:name="_Toc160129598"/>
      <w:r w:rsidR="001529CE">
        <w:t xml:space="preserve">Background </w:t>
      </w:r>
      <w:r w:rsidR="001529CE" w:rsidRPr="004E54A8">
        <w:t>concentrations</w:t>
      </w:r>
      <w:bookmarkEnd w:id="224"/>
      <w:bookmarkEnd w:id="225"/>
      <w:bookmarkEnd w:id="226"/>
    </w:p>
    <w:p w14:paraId="7D654C58" w14:textId="18B09C1B" w:rsidR="001529CE" w:rsidRDefault="001529CE" w:rsidP="001529CE">
      <w:pPr>
        <w:rPr>
          <w:noProof/>
        </w:rPr>
      </w:pPr>
      <w:r>
        <w:rPr>
          <w:noProof/>
        </w:rPr>
        <w:t>B</w:t>
      </w:r>
      <w:r w:rsidRPr="00D75B58">
        <w:rPr>
          <w:noProof/>
        </w:rPr>
        <w:t>ackground NO</w:t>
      </w:r>
      <w:r w:rsidRPr="00775004">
        <w:rPr>
          <w:noProof/>
        </w:rPr>
        <w:t>x</w:t>
      </w:r>
      <w:r w:rsidRPr="00D75B58">
        <w:rPr>
          <w:noProof/>
        </w:rPr>
        <w:t xml:space="preserve"> </w:t>
      </w:r>
      <w:r>
        <w:rPr>
          <w:noProof/>
        </w:rPr>
        <w:t xml:space="preserve">and PM </w:t>
      </w:r>
      <w:r w:rsidRPr="00D75B58">
        <w:rPr>
          <w:noProof/>
        </w:rPr>
        <w:t>values were obtained from background map</w:t>
      </w:r>
      <w:r>
        <w:rPr>
          <w:noProof/>
        </w:rPr>
        <w:t>ping data for local authorities</w:t>
      </w:r>
      <w:r w:rsidRPr="00D75B58">
        <w:rPr>
          <w:noProof/>
        </w:rPr>
        <w:t xml:space="preserve"> available on the LAQM website</w:t>
      </w:r>
      <w:r w:rsidR="0062377C">
        <w:rPr>
          <w:noProof/>
        </w:rPr>
        <w:t>.</w:t>
      </w:r>
      <w:r w:rsidRPr="00D75B58">
        <w:rPr>
          <w:noProof/>
        </w:rPr>
        <w:t xml:space="preserve"> The </w:t>
      </w:r>
      <w:r>
        <w:rPr>
          <w:noProof/>
        </w:rPr>
        <w:t xml:space="preserve">2022 </w:t>
      </w:r>
      <w:r w:rsidRPr="00D75B58">
        <w:rPr>
          <w:noProof/>
        </w:rPr>
        <w:t>background maps</w:t>
      </w:r>
      <w:r>
        <w:rPr>
          <w:noProof/>
        </w:rPr>
        <w:t xml:space="preserve"> (2018 base year) were applied to the study</w:t>
      </w:r>
      <w:r w:rsidRPr="00D75B58">
        <w:rPr>
          <w:noProof/>
        </w:rPr>
        <w:t xml:space="preserve">. </w:t>
      </w:r>
      <w:r w:rsidRPr="008A043F">
        <w:rPr>
          <w:szCs w:val="20"/>
        </w:rPr>
        <w:t xml:space="preserve">The contribution from local road transport sources sectors that </w:t>
      </w:r>
      <w:r>
        <w:rPr>
          <w:szCs w:val="20"/>
        </w:rPr>
        <w:t>were included in the air quality model</w:t>
      </w:r>
      <w:r w:rsidRPr="008A043F">
        <w:rPr>
          <w:szCs w:val="20"/>
        </w:rPr>
        <w:t xml:space="preserve"> were subtracted from the background maps</w:t>
      </w:r>
      <w:r>
        <w:rPr>
          <w:szCs w:val="20"/>
        </w:rPr>
        <w:t xml:space="preserve"> to avoid double counting</w:t>
      </w:r>
      <w:r w:rsidRPr="00D75B58">
        <w:rPr>
          <w:noProof/>
        </w:rPr>
        <w:t>.</w:t>
      </w:r>
      <w:r>
        <w:rPr>
          <w:noProof/>
        </w:rPr>
        <w:t xml:space="preserve"> Due to the geographic location of the modelling domain, background concentration data were sourced from both the Southern England and Greater London regional data sets.</w:t>
      </w:r>
    </w:p>
    <w:p w14:paraId="322EBF82" w14:textId="476F52C2" w:rsidR="001529CE" w:rsidRDefault="00B96B38" w:rsidP="0025036F">
      <w:pPr>
        <w:pStyle w:val="Heading2"/>
        <w:numPr>
          <w:ilvl w:val="1"/>
          <w:numId w:val="79"/>
        </w:numPr>
        <w:rPr>
          <w:noProof/>
        </w:rPr>
      </w:pPr>
      <w:bookmarkStart w:id="227" w:name="_Toc150934030"/>
      <w:bookmarkStart w:id="228" w:name="_Toc159264922"/>
      <w:r>
        <w:rPr>
          <w:noProof/>
        </w:rPr>
        <w:lastRenderedPageBreak/>
        <w:t xml:space="preserve"> </w:t>
      </w:r>
      <w:bookmarkStart w:id="229" w:name="_Toc160129599"/>
      <w:r w:rsidR="001529CE">
        <w:rPr>
          <w:noProof/>
        </w:rPr>
        <w:t>Measured concentrations</w:t>
      </w:r>
      <w:bookmarkEnd w:id="227"/>
      <w:bookmarkEnd w:id="228"/>
      <w:bookmarkEnd w:id="229"/>
    </w:p>
    <w:p w14:paraId="4675BBA9" w14:textId="77777777" w:rsidR="001529CE" w:rsidRDefault="001529CE" w:rsidP="001529CE">
      <w:pPr>
        <w:rPr>
          <w:noProof/>
        </w:rPr>
      </w:pPr>
      <w:r>
        <w:rPr>
          <w:noProof/>
        </w:rPr>
        <w:t>Slough Borough</w:t>
      </w:r>
      <w:r w:rsidRPr="00D9164B">
        <w:rPr>
          <w:noProof/>
        </w:rPr>
        <w:t xml:space="preserve"> Council’s 20</w:t>
      </w:r>
      <w:r>
        <w:rPr>
          <w:noProof/>
        </w:rPr>
        <w:t>22</w:t>
      </w:r>
      <w:r w:rsidRPr="00D9164B">
        <w:rPr>
          <w:noProof/>
        </w:rPr>
        <w:t xml:space="preserve"> NO</w:t>
      </w:r>
      <w:r w:rsidRPr="004663AE">
        <w:rPr>
          <w:noProof/>
          <w:vertAlign w:val="subscript"/>
        </w:rPr>
        <w:t>2</w:t>
      </w:r>
      <w:r w:rsidRPr="00D9164B">
        <w:rPr>
          <w:noProof/>
        </w:rPr>
        <w:t xml:space="preserve"> measurements were applied to the air quality modelling assessment in order to verify the model outputs</w:t>
      </w:r>
      <w:r>
        <w:rPr>
          <w:noProof/>
        </w:rPr>
        <w:t xml:space="preserve"> </w:t>
      </w:r>
      <w:r w:rsidRPr="0092686C">
        <w:rPr>
          <w:noProof/>
        </w:rPr>
        <w:t>and to inform the source apportionment analysis. Measurements were applied from 66</w:t>
      </w:r>
      <w:r w:rsidRPr="00D9164B">
        <w:rPr>
          <w:noProof/>
        </w:rPr>
        <w:t xml:space="preserve"> monitoring sites</w:t>
      </w:r>
      <w:r>
        <w:rPr>
          <w:rStyle w:val="FootnoteReference"/>
          <w:noProof/>
        </w:rPr>
        <w:footnoteReference w:id="27"/>
      </w:r>
      <w:r w:rsidRPr="00D9164B">
        <w:rPr>
          <w:noProof/>
        </w:rPr>
        <w:t xml:space="preserve"> which were confirmed as having sufficient data capture for the 20</w:t>
      </w:r>
      <w:r>
        <w:rPr>
          <w:noProof/>
        </w:rPr>
        <w:t>22</w:t>
      </w:r>
      <w:r w:rsidRPr="00D9164B">
        <w:rPr>
          <w:noProof/>
        </w:rPr>
        <w:t xml:space="preserve"> base year</w:t>
      </w:r>
      <w:r>
        <w:rPr>
          <w:noProof/>
        </w:rPr>
        <w:t xml:space="preserve"> and in locations where concentrations would be accurately represented in the air quality model</w:t>
      </w:r>
      <w:r w:rsidRPr="00D9164B">
        <w:rPr>
          <w:noProof/>
        </w:rPr>
        <w:t>. A map showing the sites at which NO</w:t>
      </w:r>
      <w:r w:rsidRPr="004663AE">
        <w:rPr>
          <w:noProof/>
          <w:vertAlign w:val="subscript"/>
        </w:rPr>
        <w:t>2</w:t>
      </w:r>
      <w:r w:rsidRPr="00D9164B">
        <w:rPr>
          <w:noProof/>
        </w:rPr>
        <w:t xml:space="preserve"> concentrations were measured during 20</w:t>
      </w:r>
      <w:r>
        <w:rPr>
          <w:noProof/>
        </w:rPr>
        <w:t>22</w:t>
      </w:r>
      <w:r w:rsidRPr="00D9164B">
        <w:rPr>
          <w:noProof/>
        </w:rPr>
        <w:t xml:space="preserve"> is presented in</w:t>
      </w:r>
      <w:r>
        <w:rPr>
          <w:noProof/>
        </w:rPr>
        <w:t xml:space="preserve"> Figure 2-A</w:t>
      </w:r>
      <w:r w:rsidRPr="00D9164B">
        <w:rPr>
          <w:noProof/>
        </w:rPr>
        <w:t xml:space="preserve">, with a majority of these being located in and around the </w:t>
      </w:r>
      <w:r>
        <w:rPr>
          <w:noProof/>
        </w:rPr>
        <w:t>town</w:t>
      </w:r>
      <w:r w:rsidRPr="00D9164B">
        <w:rPr>
          <w:noProof/>
        </w:rPr>
        <w:t xml:space="preserve"> centre</w:t>
      </w:r>
      <w:r>
        <w:rPr>
          <w:noProof/>
        </w:rPr>
        <w:t>,</w:t>
      </w:r>
      <w:r w:rsidRPr="00D9164B">
        <w:rPr>
          <w:noProof/>
        </w:rPr>
        <w:t xml:space="preserve"> and on the main </w:t>
      </w:r>
      <w:r>
        <w:rPr>
          <w:noProof/>
        </w:rPr>
        <w:t>road links</w:t>
      </w:r>
      <w:r w:rsidRPr="00D9164B">
        <w:rPr>
          <w:noProof/>
        </w:rPr>
        <w:t xml:space="preserve"> in the </w:t>
      </w:r>
      <w:r>
        <w:rPr>
          <w:noProof/>
        </w:rPr>
        <w:t>borough</w:t>
      </w:r>
      <w:r w:rsidRPr="00D9164B">
        <w:rPr>
          <w:noProof/>
        </w:rPr>
        <w:t>.</w:t>
      </w:r>
    </w:p>
    <w:p w14:paraId="2DAD2FA4" w14:textId="14C6BF89" w:rsidR="001529CE" w:rsidRDefault="00B96B38" w:rsidP="0025036F">
      <w:pPr>
        <w:pStyle w:val="Heading2"/>
        <w:numPr>
          <w:ilvl w:val="1"/>
          <w:numId w:val="79"/>
        </w:numPr>
        <w:rPr>
          <w:noProof/>
        </w:rPr>
      </w:pPr>
      <w:bookmarkStart w:id="230" w:name="_Toc150934031"/>
      <w:bookmarkStart w:id="231" w:name="_Toc159264923"/>
      <w:r>
        <w:rPr>
          <w:noProof/>
        </w:rPr>
        <w:t xml:space="preserve"> </w:t>
      </w:r>
      <w:bookmarkStart w:id="232" w:name="_Toc160129600"/>
      <w:r w:rsidR="001529CE">
        <w:rPr>
          <w:noProof/>
        </w:rPr>
        <w:t>Model verification</w:t>
      </w:r>
      <w:bookmarkEnd w:id="230"/>
      <w:bookmarkEnd w:id="231"/>
      <w:bookmarkEnd w:id="232"/>
    </w:p>
    <w:p w14:paraId="680979F9" w14:textId="77777777" w:rsidR="001529CE" w:rsidRPr="0017607D" w:rsidRDefault="001529CE" w:rsidP="001529CE">
      <w:pPr>
        <w:rPr>
          <w:noProof/>
        </w:rPr>
      </w:pPr>
      <w:r w:rsidRPr="00B86D45">
        <w:rPr>
          <w:noProof/>
        </w:rPr>
        <w:t>To evaluate model performance and uncertainty, the Root Mean Square Error (RMSE) for</w:t>
      </w:r>
      <w:r>
        <w:rPr>
          <w:noProof/>
        </w:rPr>
        <w:t xml:space="preserve"> </w:t>
      </w:r>
      <w:r w:rsidRPr="00B86D45">
        <w:rPr>
          <w:noProof/>
        </w:rPr>
        <w:t xml:space="preserve">observed vs </w:t>
      </w:r>
      <w:r w:rsidRPr="0017607D">
        <w:rPr>
          <w:noProof/>
        </w:rPr>
        <w:t>predicted NO</w:t>
      </w:r>
      <w:r w:rsidRPr="0017607D">
        <w:rPr>
          <w:noProof/>
          <w:vertAlign w:val="subscript"/>
        </w:rPr>
        <w:t>2</w:t>
      </w:r>
      <w:r w:rsidRPr="0017607D">
        <w:rPr>
          <w:noProof/>
        </w:rPr>
        <w:t xml:space="preserve"> annual mean concentrations was calculated, as detailed in Technical Guidance LAQM.TG(22).</w:t>
      </w:r>
    </w:p>
    <w:p w14:paraId="4E9925AA" w14:textId="77777777" w:rsidR="001529CE" w:rsidRPr="0017607D" w:rsidRDefault="001529CE" w:rsidP="001529CE">
      <w:pPr>
        <w:spacing w:after="240"/>
      </w:pPr>
      <w:r w:rsidRPr="0017607D">
        <w:t>A single road NOx (global) adjustment factor was derived from the model verification, and was applied to the calculation of:</w:t>
      </w:r>
    </w:p>
    <w:p w14:paraId="6446CD49" w14:textId="77777777" w:rsidR="001529CE" w:rsidRPr="0092686C" w:rsidRDefault="001529CE" w:rsidP="00EB191B">
      <w:pPr>
        <w:pStyle w:val="ListParagraph"/>
        <w:numPr>
          <w:ilvl w:val="0"/>
          <w:numId w:val="21"/>
        </w:numPr>
        <w:spacing w:after="60" w:line="276" w:lineRule="auto"/>
        <w:jc w:val="both"/>
        <w:rPr>
          <w:noProof/>
        </w:rPr>
      </w:pPr>
      <w:r w:rsidRPr="0017607D">
        <w:t xml:space="preserve">Modelled </w:t>
      </w:r>
      <w:r w:rsidRPr="0017607D">
        <w:rPr>
          <w:noProof/>
        </w:rPr>
        <w:t>concentrations at specified air qu</w:t>
      </w:r>
      <w:r w:rsidRPr="0092686C">
        <w:rPr>
          <w:noProof/>
        </w:rPr>
        <w:t>ality monitoring locations; and</w:t>
      </w:r>
    </w:p>
    <w:p w14:paraId="0B3E6441" w14:textId="77777777" w:rsidR="001529CE" w:rsidRPr="0092686C" w:rsidRDefault="001529CE" w:rsidP="00EB191B">
      <w:pPr>
        <w:pStyle w:val="ListParagraph"/>
        <w:numPr>
          <w:ilvl w:val="0"/>
          <w:numId w:val="21"/>
        </w:numPr>
        <w:spacing w:after="60" w:line="276" w:lineRule="auto"/>
        <w:jc w:val="both"/>
      </w:pPr>
      <w:r w:rsidRPr="0092686C">
        <w:rPr>
          <w:noProof/>
        </w:rPr>
        <w:t>Borough-wide 1 m resolution NO</w:t>
      </w:r>
      <w:r w:rsidRPr="0092686C">
        <w:rPr>
          <w:noProof/>
          <w:vertAlign w:val="subscript"/>
        </w:rPr>
        <w:t>2</w:t>
      </w:r>
      <w:r w:rsidRPr="0092686C">
        <w:rPr>
          <w:noProof/>
        </w:rPr>
        <w:t xml:space="preserve"> and PM annual mean concentration rasters, to provide a continuous representation of t</w:t>
      </w:r>
      <w:r w:rsidRPr="0092686C">
        <w:t>he spatial variation in modelled concentrations.</w:t>
      </w:r>
    </w:p>
    <w:p w14:paraId="7398D951" w14:textId="388B9CBF" w:rsidR="001529CE" w:rsidRDefault="001529CE" w:rsidP="001529CE">
      <w:pPr>
        <w:rPr>
          <w:noProof/>
        </w:rPr>
      </w:pPr>
      <w:bookmarkStart w:id="233" w:name="_Hlk82608914"/>
      <w:r w:rsidRPr="0092686C">
        <w:rPr>
          <w:noProof/>
        </w:rPr>
        <w:t>In the absence of sufficient PM data for verification, the road N</w:t>
      </w:r>
      <w:r w:rsidR="008C57F6">
        <w:rPr>
          <w:noProof/>
        </w:rPr>
        <w:t>O</w:t>
      </w:r>
      <w:r w:rsidRPr="0092686C">
        <w:rPr>
          <w:noProof/>
        </w:rPr>
        <w:t>x adjustment (Table 2-2) was applied to the modelled road PM</w:t>
      </w:r>
      <w:r w:rsidRPr="0092686C">
        <w:rPr>
          <w:noProof/>
          <w:vertAlign w:val="subscript"/>
        </w:rPr>
        <w:t>10</w:t>
      </w:r>
      <w:r w:rsidRPr="0092686C">
        <w:rPr>
          <w:noProof/>
        </w:rPr>
        <w:t xml:space="preserve"> and PM</w:t>
      </w:r>
      <w:r w:rsidRPr="0092686C">
        <w:rPr>
          <w:noProof/>
          <w:vertAlign w:val="subscript"/>
        </w:rPr>
        <w:t xml:space="preserve">2.5 </w:t>
      </w:r>
      <w:r w:rsidRPr="0092686C">
        <w:rPr>
          <w:noProof/>
        </w:rPr>
        <w:t>outputs. This is the recommended methodology from Technical Guidance LAQM.TG(22) which states that in the absence of any PM data for verification, it may be</w:t>
      </w:r>
      <w:r w:rsidRPr="00993FE9">
        <w:rPr>
          <w:noProof/>
        </w:rPr>
        <w:t xml:space="preserve"> appropriate to apply the road Nox adjustment to the modelled road PM.</w:t>
      </w:r>
      <w:bookmarkEnd w:id="233"/>
    </w:p>
    <w:p w14:paraId="49D5F21C" w14:textId="77777777" w:rsidR="001529CE" w:rsidRPr="0092686C" w:rsidRDefault="001529CE" w:rsidP="001529CE">
      <w:pPr>
        <w:spacing w:after="240"/>
        <w:rPr>
          <w:noProof/>
        </w:rPr>
      </w:pPr>
      <w:r>
        <w:rPr>
          <w:noProof/>
        </w:rPr>
        <w:lastRenderedPageBreak/>
        <w:t>Technical Guidance LAQM.TG(22)</w:t>
      </w:r>
      <w:r w:rsidRPr="00B86D45">
        <w:rPr>
          <w:noProof/>
        </w:rPr>
        <w:t xml:space="preserve"> indicates that a RMSE of up to </w:t>
      </w:r>
      <w:r>
        <w:rPr>
          <w:noProof/>
        </w:rPr>
        <w:t>10% of the target limit value (</w:t>
      </w:r>
      <w:r w:rsidRPr="00B86D45">
        <w:rPr>
          <w:noProof/>
        </w:rPr>
        <w:t xml:space="preserve">4 </w:t>
      </w:r>
      <w:r w:rsidRPr="003703B8">
        <w:rPr>
          <w:noProof/>
        </w:rPr>
        <w:t>µ</w:t>
      </w:r>
      <w:r w:rsidRPr="00B86D45">
        <w:rPr>
          <w:noProof/>
        </w:rPr>
        <w:t>g/m</w:t>
      </w:r>
      <w:r w:rsidRPr="003703B8">
        <w:rPr>
          <w:noProof/>
          <w:vertAlign w:val="superscript"/>
        </w:rPr>
        <w:t>3</w:t>
      </w:r>
      <w:r>
        <w:rPr>
          <w:noProof/>
        </w:rPr>
        <w:t>, considering a 40 µg/m</w:t>
      </w:r>
      <w:r w:rsidRPr="003703B8">
        <w:rPr>
          <w:noProof/>
          <w:vertAlign w:val="superscript"/>
        </w:rPr>
        <w:t>3</w:t>
      </w:r>
      <w:r>
        <w:rPr>
          <w:noProof/>
        </w:rPr>
        <w:t xml:space="preserve"> limit value for NO</w:t>
      </w:r>
      <w:r w:rsidRPr="003703B8">
        <w:rPr>
          <w:noProof/>
          <w:vertAlign w:val="subscript"/>
        </w:rPr>
        <w:t>2</w:t>
      </w:r>
      <w:r>
        <w:rPr>
          <w:noProof/>
        </w:rPr>
        <w:t>)</w:t>
      </w:r>
      <w:r w:rsidRPr="00B86D45">
        <w:rPr>
          <w:noProof/>
        </w:rPr>
        <w:t xml:space="preserve"> is ideal, and an RMSE of up to </w:t>
      </w:r>
      <w:r>
        <w:rPr>
          <w:noProof/>
        </w:rPr>
        <w:t>25% of the target limit value (1</w:t>
      </w:r>
      <w:r w:rsidRPr="00B86D45">
        <w:rPr>
          <w:noProof/>
        </w:rPr>
        <w:t xml:space="preserve">0 </w:t>
      </w:r>
      <w:r w:rsidRPr="003703B8">
        <w:rPr>
          <w:noProof/>
        </w:rPr>
        <w:t>µ</w:t>
      </w:r>
      <w:r w:rsidRPr="00B86D45">
        <w:rPr>
          <w:noProof/>
        </w:rPr>
        <w:t>g/m</w:t>
      </w:r>
      <w:r w:rsidRPr="003703B8">
        <w:rPr>
          <w:noProof/>
          <w:vertAlign w:val="superscript"/>
        </w:rPr>
        <w:t>3</w:t>
      </w:r>
      <w:r>
        <w:rPr>
          <w:noProof/>
        </w:rPr>
        <w:t>)</w:t>
      </w:r>
      <w:r w:rsidRPr="00B86D45">
        <w:rPr>
          <w:noProof/>
        </w:rPr>
        <w:t xml:space="preserve"> is </w:t>
      </w:r>
      <w:r w:rsidRPr="0092686C">
        <w:rPr>
          <w:noProof/>
        </w:rPr>
        <w:t xml:space="preserve">acceptable. </w:t>
      </w:r>
    </w:p>
    <w:p w14:paraId="2FB5F56A" w14:textId="77777777" w:rsidR="001529CE" w:rsidRDefault="001529CE" w:rsidP="001529CE">
      <w:pPr>
        <w:spacing w:after="240"/>
      </w:pPr>
      <w:r w:rsidRPr="0092686C">
        <w:rPr>
          <w:noProof/>
        </w:rPr>
        <w:t>In the global case the RMSE was calculated at 5.28 µg</w:t>
      </w:r>
      <w:r w:rsidRPr="00B86D45">
        <w:rPr>
          <w:noProof/>
        </w:rPr>
        <w:t>/m</w:t>
      </w:r>
      <w:r w:rsidRPr="003703B8">
        <w:rPr>
          <w:noProof/>
          <w:vertAlign w:val="superscript"/>
        </w:rPr>
        <w:t>3</w:t>
      </w:r>
      <w:r w:rsidRPr="00B86D45">
        <w:rPr>
          <w:noProof/>
        </w:rPr>
        <w:t xml:space="preserve">, which is </w:t>
      </w:r>
      <w:r>
        <w:rPr>
          <w:noProof/>
        </w:rPr>
        <w:t>acceptable</w:t>
      </w:r>
      <w:r w:rsidRPr="00B86D45">
        <w:rPr>
          <w:noProof/>
        </w:rPr>
        <w:t xml:space="preserve"> and shows good agreement between </w:t>
      </w:r>
      <w:r>
        <w:rPr>
          <w:noProof/>
        </w:rPr>
        <w:t xml:space="preserve">the </w:t>
      </w:r>
      <w:r w:rsidRPr="00B86D45">
        <w:rPr>
          <w:noProof/>
        </w:rPr>
        <w:t>modelled and measured concentrations.</w:t>
      </w:r>
      <w:r>
        <w:rPr>
          <w:noProof/>
        </w:rPr>
        <w:t xml:space="preserve"> </w:t>
      </w:r>
    </w:p>
    <w:p w14:paraId="7294A3CB" w14:textId="27AEA331" w:rsidR="001529CE" w:rsidRPr="000E054F" w:rsidRDefault="00B96B38" w:rsidP="0025036F">
      <w:pPr>
        <w:pStyle w:val="Heading2"/>
        <w:numPr>
          <w:ilvl w:val="1"/>
          <w:numId w:val="79"/>
        </w:numPr>
        <w:rPr>
          <w:noProof/>
        </w:rPr>
      </w:pPr>
      <w:bookmarkStart w:id="234" w:name="_Ref150869754"/>
      <w:bookmarkStart w:id="235" w:name="_Toc150934032"/>
      <w:bookmarkStart w:id="236" w:name="_Toc159264924"/>
      <w:r>
        <w:rPr>
          <w:noProof/>
        </w:rPr>
        <w:t xml:space="preserve"> </w:t>
      </w:r>
      <w:bookmarkStart w:id="237" w:name="_Toc160129601"/>
      <w:r w:rsidR="001529CE">
        <w:rPr>
          <w:noProof/>
        </w:rPr>
        <w:t>Baseline Model results – NO</w:t>
      </w:r>
      <w:r w:rsidR="001529CE" w:rsidRPr="00AC0159">
        <w:rPr>
          <w:noProof/>
          <w:vertAlign w:val="subscript"/>
        </w:rPr>
        <w:t>2</w:t>
      </w:r>
      <w:bookmarkEnd w:id="234"/>
      <w:bookmarkEnd w:id="235"/>
      <w:bookmarkEnd w:id="236"/>
      <w:bookmarkEnd w:id="237"/>
    </w:p>
    <w:p w14:paraId="4B5C9D1B" w14:textId="77777777" w:rsidR="001529CE" w:rsidRPr="0092686C" w:rsidRDefault="001529CE" w:rsidP="001529CE">
      <w:pPr>
        <w:rPr>
          <w:lang w:eastAsia="en-GB"/>
        </w:rPr>
      </w:pPr>
      <w:r w:rsidRPr="0092686C">
        <w:rPr>
          <w:lang w:eastAsia="en-GB"/>
        </w:rPr>
        <w:fldChar w:fldCharType="begin"/>
      </w:r>
      <w:r w:rsidRPr="0092686C">
        <w:rPr>
          <w:lang w:eastAsia="en-GB"/>
        </w:rPr>
        <w:instrText xml:space="preserve"> REF _Ref150764734 \h  \* MERGEFORMAT </w:instrText>
      </w:r>
      <w:r w:rsidRPr="0092686C">
        <w:rPr>
          <w:lang w:eastAsia="en-GB"/>
        </w:rPr>
      </w:r>
      <w:r w:rsidRPr="0092686C">
        <w:rPr>
          <w:lang w:eastAsia="en-GB"/>
        </w:rPr>
        <w:fldChar w:fldCharType="separate"/>
      </w:r>
      <w:r w:rsidRPr="00025EE7">
        <w:t xml:space="preserve">Table </w:t>
      </w:r>
      <w:r w:rsidRPr="00025EE7">
        <w:rPr>
          <w:noProof/>
        </w:rPr>
        <w:t>2</w:t>
      </w:r>
      <w:r w:rsidRPr="00025EE7">
        <w:rPr>
          <w:noProof/>
        </w:rPr>
        <w:noBreakHyphen/>
        <w:t>2</w:t>
      </w:r>
      <w:r w:rsidRPr="0092686C">
        <w:rPr>
          <w:lang w:eastAsia="en-GB"/>
        </w:rPr>
        <w:fldChar w:fldCharType="end"/>
      </w:r>
      <w:r w:rsidRPr="0092686C">
        <w:rPr>
          <w:rStyle w:val="FootnoteReference"/>
          <w:lang w:eastAsia="en-GB"/>
        </w:rPr>
        <w:footnoteReference w:id="28"/>
      </w:r>
      <w:r w:rsidRPr="0092686C">
        <w:rPr>
          <w:lang w:eastAsia="en-GB"/>
        </w:rPr>
        <w:t xml:space="preserve"> shows the</w:t>
      </w:r>
      <w:r>
        <w:rPr>
          <w:lang w:eastAsia="en-GB"/>
        </w:rPr>
        <w:t xml:space="preserve"> modelled annual mean NO</w:t>
      </w:r>
      <w:r>
        <w:rPr>
          <w:vertAlign w:val="subscript"/>
          <w:lang w:eastAsia="en-GB"/>
        </w:rPr>
        <w:t>2</w:t>
      </w:r>
      <w:r>
        <w:rPr>
          <w:lang w:eastAsia="en-GB"/>
        </w:rPr>
        <w:t xml:space="preserve"> concentrations for 2022 SBC air quality monitoring stations that are within close </w:t>
      </w:r>
      <w:r w:rsidRPr="0092686C">
        <w:rPr>
          <w:lang w:eastAsia="en-GB"/>
        </w:rPr>
        <w:t xml:space="preserve">proximity to a modelled road. A map showing the modelled annual mean concentrations for </w:t>
      </w:r>
      <w:r w:rsidRPr="0092686C">
        <w:rPr>
          <w:szCs w:val="20"/>
          <w:lang w:eastAsia="en-GB"/>
        </w:rPr>
        <w:t xml:space="preserve">2022 is shown in </w:t>
      </w:r>
      <w:bookmarkStart w:id="238" w:name="_Ref150764747"/>
      <w:r w:rsidRPr="0092686C">
        <w:rPr>
          <w:szCs w:val="20"/>
          <w:lang w:eastAsia="en-GB"/>
        </w:rPr>
        <w:fldChar w:fldCharType="begin"/>
      </w:r>
      <w:r w:rsidRPr="0092686C">
        <w:rPr>
          <w:szCs w:val="20"/>
          <w:lang w:eastAsia="en-GB"/>
        </w:rPr>
        <w:instrText xml:space="preserve"> REF _Ref150861362 \h  \* MERGEFORMAT </w:instrText>
      </w:r>
      <w:r w:rsidRPr="0092686C">
        <w:rPr>
          <w:szCs w:val="20"/>
          <w:lang w:eastAsia="en-GB"/>
        </w:rPr>
      </w:r>
      <w:r w:rsidRPr="0092686C">
        <w:rPr>
          <w:szCs w:val="20"/>
          <w:lang w:eastAsia="en-GB"/>
        </w:rPr>
        <w:fldChar w:fldCharType="separate"/>
      </w:r>
      <w:r w:rsidRPr="0092686C">
        <w:t xml:space="preserve">Figure </w:t>
      </w:r>
      <w:r>
        <w:rPr>
          <w:noProof/>
        </w:rPr>
        <w:t>2</w:t>
      </w:r>
      <w:r>
        <w:rPr>
          <w:noProof/>
        </w:rPr>
        <w:noBreakHyphen/>
        <w:t>C</w:t>
      </w:r>
      <w:r w:rsidRPr="0092686C">
        <w:rPr>
          <w:szCs w:val="20"/>
          <w:lang w:eastAsia="en-GB"/>
        </w:rPr>
        <w:fldChar w:fldCharType="end"/>
      </w:r>
      <w:r w:rsidRPr="0092686C">
        <w:rPr>
          <w:szCs w:val="20"/>
          <w:lang w:eastAsia="en-GB"/>
        </w:rPr>
        <w:t>.</w:t>
      </w:r>
    </w:p>
    <w:p w14:paraId="3B03E01D" w14:textId="77777777" w:rsidR="001529CE" w:rsidRPr="00753AE6" w:rsidRDefault="001529CE" w:rsidP="00887760">
      <w:pPr>
        <w:pStyle w:val="Figures"/>
      </w:pPr>
      <w:bookmarkStart w:id="239" w:name="_Ref150861362"/>
      <w:bookmarkStart w:id="240" w:name="_Toc160129361"/>
      <w:r w:rsidRPr="0092686C">
        <w:lastRenderedPageBreak/>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E</w:t>
      </w:r>
      <w:r w:rsidR="000F4CA1">
        <w:rPr>
          <w:noProof/>
        </w:rPr>
        <w:fldChar w:fldCharType="end"/>
      </w:r>
      <w:bookmarkEnd w:id="238"/>
      <w:bookmarkEnd w:id="239"/>
      <w:r w:rsidRPr="0092686C">
        <w:t xml:space="preserve"> </w:t>
      </w:r>
      <w:r>
        <w:t>–</w:t>
      </w:r>
      <w:r w:rsidRPr="0092686C">
        <w:t xml:space="preserve"> </w:t>
      </w:r>
      <w:r w:rsidRPr="0092686C">
        <w:rPr>
          <w:lang w:eastAsia="en-GB"/>
        </w:rPr>
        <w:t>Modelled NO</w:t>
      </w:r>
      <w:r w:rsidRPr="0092686C">
        <w:rPr>
          <w:vertAlign w:val="subscript"/>
          <w:lang w:eastAsia="en-GB"/>
        </w:rPr>
        <w:t>2</w:t>
      </w:r>
      <w:r w:rsidRPr="0092686C">
        <w:rPr>
          <w:lang w:eastAsia="en-GB"/>
        </w:rPr>
        <w:t xml:space="preserve"> annual mean concentrations (2022 baseline</w:t>
      </w:r>
      <w:r w:rsidRPr="00753AE6">
        <w:rPr>
          <w:lang w:eastAsia="en-GB"/>
        </w:rPr>
        <w:t>)</w:t>
      </w:r>
      <w:bookmarkEnd w:id="240"/>
    </w:p>
    <w:p w14:paraId="1EB98111" w14:textId="77777777" w:rsidR="001529CE" w:rsidRDefault="001529CE" w:rsidP="001529CE">
      <w:pPr>
        <w:pStyle w:val="RBodyText"/>
      </w:pPr>
      <w:r>
        <w:rPr>
          <w:noProof/>
        </w:rPr>
        <w:drawing>
          <wp:inline distT="0" distB="0" distL="0" distR="0" wp14:anchorId="17B383ED" wp14:editId="53620026">
            <wp:extent cx="6120130" cy="4591685"/>
            <wp:effectExtent l="0" t="0" r="0" b="0"/>
            <wp:docPr id="210442337" name="Picture 210442337" descr="A map showing the modelled nitrogen dioxide annual mean concentrations (2022 baseline). Nitrogen dioxide concentrations mostly follow the major roads, but there are patches of higher concentrations due to industrial 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2337" name="Picture 210442337" descr="A map showing the modelled nitrogen dioxide annual mean concentrations (2022 baseline). Nitrogen dioxide concentrations mostly follow the major roads, but there are patches of higher concentrations due to industrial activity "/>
                    <pic:cNvPicPr/>
                  </pic:nvPicPr>
                  <pic:blipFill>
                    <a:blip r:embed="rId28" cstate="print">
                      <a:extLst>
                        <a:ext uri="{28A0092B-C50C-407E-A947-70E740481C1C}">
                          <a14:useLocalDpi xmlns:a14="http://schemas.microsoft.com/office/drawing/2010/main"/>
                        </a:ext>
                      </a:extLst>
                    </a:blip>
                    <a:stretch>
                      <a:fillRect/>
                    </a:stretch>
                  </pic:blipFill>
                  <pic:spPr>
                    <a:xfrm>
                      <a:off x="0" y="0"/>
                      <a:ext cx="6120130" cy="4591685"/>
                    </a:xfrm>
                    <a:prstGeom prst="rect">
                      <a:avLst/>
                    </a:prstGeom>
                  </pic:spPr>
                </pic:pic>
              </a:graphicData>
            </a:graphic>
          </wp:inline>
        </w:drawing>
      </w:r>
    </w:p>
    <w:p w14:paraId="4D993C6C" w14:textId="77777777" w:rsidR="001529CE" w:rsidRDefault="001529CE" w:rsidP="001529CE">
      <w:pPr>
        <w:pStyle w:val="RBodyText"/>
        <w:sectPr w:rsidR="001529CE" w:rsidSect="006D5A75">
          <w:footerReference w:type="default" r:id="rId29"/>
          <w:pgSz w:w="11906" w:h="16838" w:code="9"/>
          <w:pgMar w:top="1985" w:right="1134" w:bottom="1134" w:left="1134" w:header="907" w:footer="454" w:gutter="0"/>
          <w:cols w:sep="1" w:space="284"/>
          <w:docGrid w:linePitch="299"/>
        </w:sectPr>
      </w:pPr>
    </w:p>
    <w:p w14:paraId="0AAFCD82" w14:textId="77777777" w:rsidR="001529CE" w:rsidRDefault="001529CE" w:rsidP="001529CE">
      <w:pPr>
        <w:pStyle w:val="Caption"/>
      </w:pPr>
      <w:bookmarkStart w:id="241" w:name="_Toc160128565"/>
      <w:bookmarkStart w:id="242" w:name="_Toc159264941"/>
      <w:bookmarkStart w:id="243" w:name="_Toc160123583"/>
      <w:bookmarkStart w:id="244" w:name="_Toc160123799"/>
      <w:r w:rsidRPr="00887760">
        <w:rPr>
          <w:rStyle w:val="TablesChar"/>
          <w:b/>
          <w:bCs/>
        </w:rPr>
        <w:lastRenderedPageBreak/>
        <w:t xml:space="preserve">Table </w:t>
      </w:r>
      <w:r w:rsidR="00780A57" w:rsidRPr="00887760">
        <w:rPr>
          <w:rStyle w:val="TablesChar"/>
          <w:b/>
          <w:bCs/>
        </w:rPr>
        <w:fldChar w:fldCharType="begin"/>
      </w:r>
      <w:r w:rsidR="00780A57" w:rsidRPr="00887760">
        <w:rPr>
          <w:rStyle w:val="TablesChar"/>
          <w:b/>
          <w:bCs/>
        </w:rPr>
        <w:instrText xml:space="preserve"> STYLEREF 1 \s </w:instrText>
      </w:r>
      <w:r w:rsidR="00780A57" w:rsidRPr="00887760">
        <w:rPr>
          <w:rStyle w:val="TablesChar"/>
          <w:b/>
          <w:bCs/>
        </w:rPr>
        <w:fldChar w:fldCharType="separate"/>
      </w:r>
      <w:r w:rsidRPr="00887760">
        <w:rPr>
          <w:rStyle w:val="TablesChar"/>
          <w:b/>
          <w:bCs/>
        </w:rPr>
        <w:t>2</w:t>
      </w:r>
      <w:r w:rsidR="00780A57" w:rsidRPr="00887760">
        <w:rPr>
          <w:rStyle w:val="TablesChar"/>
          <w:b/>
          <w:bCs/>
        </w:rPr>
        <w:fldChar w:fldCharType="end"/>
      </w:r>
      <w:r w:rsidRPr="00887760">
        <w:rPr>
          <w:rStyle w:val="TablesChar"/>
          <w:b/>
          <w:bCs/>
        </w:rPr>
        <w:noBreakHyphen/>
      </w:r>
      <w:r w:rsidR="00780A57" w:rsidRPr="00887760">
        <w:rPr>
          <w:rStyle w:val="TablesChar"/>
          <w:b/>
          <w:bCs/>
        </w:rPr>
        <w:fldChar w:fldCharType="begin"/>
      </w:r>
      <w:r w:rsidR="00780A57" w:rsidRPr="00887760">
        <w:rPr>
          <w:rStyle w:val="TablesChar"/>
          <w:b/>
          <w:bCs/>
        </w:rPr>
        <w:instrText xml:space="preserve"> SEQ Table \* ARABIC \s 1 </w:instrText>
      </w:r>
      <w:r w:rsidR="00780A57" w:rsidRPr="00887760">
        <w:rPr>
          <w:rStyle w:val="TablesChar"/>
          <w:b/>
          <w:bCs/>
        </w:rPr>
        <w:fldChar w:fldCharType="separate"/>
      </w:r>
      <w:r w:rsidRPr="00887760">
        <w:rPr>
          <w:rStyle w:val="TablesChar"/>
          <w:b/>
          <w:bCs/>
        </w:rPr>
        <w:t>2</w:t>
      </w:r>
      <w:r w:rsidR="00780A57" w:rsidRPr="00887760">
        <w:rPr>
          <w:rStyle w:val="TablesChar"/>
          <w:b/>
          <w:bCs/>
        </w:rPr>
        <w:fldChar w:fldCharType="end"/>
      </w:r>
      <w:r w:rsidRPr="00887760">
        <w:rPr>
          <w:rStyle w:val="TablesChar"/>
          <w:b/>
          <w:bCs/>
        </w:rPr>
        <w:t>– Measured &amp; modelled annual mean NO2 concentrations for the 2022 base year scenario.</w:t>
      </w:r>
      <w:bookmarkEnd w:id="241"/>
      <w:r w:rsidRPr="00DB30CA">
        <w:t xml:space="preserve"> Exceeding the AQO (≥40 </w:t>
      </w:r>
      <w:r w:rsidRPr="00DB30CA">
        <w:rPr>
          <w:lang w:eastAsia="en-GB"/>
        </w:rPr>
        <w:t>µg/m</w:t>
      </w:r>
      <w:r w:rsidRPr="00DB30CA">
        <w:rPr>
          <w:vertAlign w:val="superscript"/>
          <w:lang w:eastAsia="en-GB"/>
        </w:rPr>
        <w:t>3</w:t>
      </w:r>
      <w:r w:rsidRPr="00DB30CA">
        <w:rPr>
          <w:lang w:eastAsia="en-GB"/>
        </w:rPr>
        <w:t>)</w:t>
      </w:r>
      <w:r w:rsidRPr="00DB30CA">
        <w:t xml:space="preserve"> = red; within 10% of AQO ( ≥36 </w:t>
      </w:r>
      <w:r w:rsidRPr="00DB30CA">
        <w:rPr>
          <w:lang w:eastAsia="en-GB"/>
        </w:rPr>
        <w:t>µg/m</w:t>
      </w:r>
      <w:r w:rsidRPr="00DB30CA">
        <w:rPr>
          <w:vertAlign w:val="superscript"/>
          <w:lang w:eastAsia="en-GB"/>
        </w:rPr>
        <w:t>3</w:t>
      </w:r>
      <w:r w:rsidRPr="00DB30CA">
        <w:rPr>
          <w:lang w:eastAsia="en-GB"/>
        </w:rPr>
        <w:t xml:space="preserve"> and &lt;40</w:t>
      </w:r>
      <w:r w:rsidRPr="00DB30CA">
        <w:t xml:space="preserve"> </w:t>
      </w:r>
      <w:r w:rsidRPr="00DB30CA">
        <w:rPr>
          <w:lang w:eastAsia="en-GB"/>
        </w:rPr>
        <w:t>µg/m</w:t>
      </w:r>
      <w:r w:rsidRPr="00DB30CA">
        <w:rPr>
          <w:vertAlign w:val="superscript"/>
          <w:lang w:eastAsia="en-GB"/>
        </w:rPr>
        <w:t>3</w:t>
      </w:r>
      <w:r w:rsidRPr="00DB30CA">
        <w:rPr>
          <w:lang w:eastAsia="en-GB"/>
        </w:rPr>
        <w:t>)</w:t>
      </w:r>
      <w:r w:rsidRPr="00DB30CA">
        <w:t xml:space="preserve">  = amber; within 25% of AQO ( ≥30 </w:t>
      </w:r>
      <w:r w:rsidRPr="00DB30CA">
        <w:rPr>
          <w:lang w:eastAsia="en-GB"/>
        </w:rPr>
        <w:t>µg/m</w:t>
      </w:r>
      <w:r w:rsidRPr="00DB30CA">
        <w:rPr>
          <w:vertAlign w:val="superscript"/>
          <w:lang w:eastAsia="en-GB"/>
        </w:rPr>
        <w:t>3</w:t>
      </w:r>
      <w:r w:rsidRPr="00DB30CA">
        <w:rPr>
          <w:lang w:eastAsia="en-GB"/>
        </w:rPr>
        <w:t xml:space="preserve"> and &lt;36</w:t>
      </w:r>
      <w:r w:rsidRPr="00DB30CA">
        <w:t xml:space="preserve"> </w:t>
      </w:r>
      <w:r w:rsidRPr="00DB30CA">
        <w:rPr>
          <w:lang w:eastAsia="en-GB"/>
        </w:rPr>
        <w:t>µg/m</w:t>
      </w:r>
      <w:r w:rsidRPr="00DB30CA">
        <w:rPr>
          <w:vertAlign w:val="superscript"/>
          <w:lang w:eastAsia="en-GB"/>
        </w:rPr>
        <w:t>3</w:t>
      </w:r>
      <w:r w:rsidRPr="00DB30CA">
        <w:rPr>
          <w:lang w:eastAsia="en-GB"/>
        </w:rPr>
        <w:t>)</w:t>
      </w:r>
      <w:r w:rsidRPr="00DB30CA">
        <w:t xml:space="preserve">  = yellow; within 50% of AQO ( ≥20 </w:t>
      </w:r>
      <w:r w:rsidRPr="00DB30CA">
        <w:rPr>
          <w:lang w:eastAsia="en-GB"/>
        </w:rPr>
        <w:t>µg/m</w:t>
      </w:r>
      <w:r w:rsidRPr="00DB30CA">
        <w:rPr>
          <w:vertAlign w:val="superscript"/>
          <w:lang w:eastAsia="en-GB"/>
        </w:rPr>
        <w:t>3</w:t>
      </w:r>
      <w:r w:rsidRPr="00DB30CA">
        <w:rPr>
          <w:lang w:eastAsia="en-GB"/>
        </w:rPr>
        <w:t xml:space="preserve"> and &lt;30</w:t>
      </w:r>
      <w:r w:rsidRPr="00DB30CA">
        <w:t xml:space="preserve"> </w:t>
      </w:r>
      <w:r w:rsidRPr="00DB30CA">
        <w:rPr>
          <w:lang w:eastAsia="en-GB"/>
        </w:rPr>
        <w:t>µg/m</w:t>
      </w:r>
      <w:r w:rsidRPr="00DB30CA">
        <w:rPr>
          <w:vertAlign w:val="superscript"/>
          <w:lang w:eastAsia="en-GB"/>
        </w:rPr>
        <w:t>3</w:t>
      </w:r>
      <w:r w:rsidRPr="00DB30CA">
        <w:rPr>
          <w:lang w:eastAsia="en-GB"/>
        </w:rPr>
        <w:t>)</w:t>
      </w:r>
      <w:r w:rsidRPr="00DB30CA">
        <w:t xml:space="preserve">  = light green; more than 50% below the AQO (&lt;20 </w:t>
      </w:r>
      <w:r w:rsidRPr="00DB30CA">
        <w:rPr>
          <w:lang w:eastAsia="en-GB"/>
        </w:rPr>
        <w:t>µg/m</w:t>
      </w:r>
      <w:r w:rsidRPr="00DB30CA">
        <w:rPr>
          <w:vertAlign w:val="superscript"/>
          <w:lang w:eastAsia="en-GB"/>
        </w:rPr>
        <w:t>3</w:t>
      </w:r>
      <w:r w:rsidRPr="00DB30CA">
        <w:t>) = green.</w:t>
      </w:r>
      <w:bookmarkEnd w:id="242"/>
      <w:bookmarkEnd w:id="243"/>
      <w:bookmarkEnd w:id="244"/>
    </w:p>
    <w:tbl>
      <w:tblPr>
        <w:tblW w:w="21032" w:type="dxa"/>
        <w:tblLook w:val="04A0" w:firstRow="1" w:lastRow="0" w:firstColumn="1" w:lastColumn="0" w:noHBand="0" w:noVBand="1"/>
      </w:tblPr>
      <w:tblGrid>
        <w:gridCol w:w="2268"/>
        <w:gridCol w:w="4536"/>
        <w:gridCol w:w="1843"/>
        <w:gridCol w:w="1981"/>
        <w:gridCol w:w="2268"/>
        <w:gridCol w:w="4256"/>
        <w:gridCol w:w="2126"/>
        <w:gridCol w:w="1754"/>
      </w:tblGrid>
      <w:tr w:rsidR="001529CE" w:rsidRPr="00C77271" w14:paraId="4968B508" w14:textId="77777777" w:rsidTr="007B10BD">
        <w:trPr>
          <w:trHeight w:val="75"/>
        </w:trPr>
        <w:tc>
          <w:tcPr>
            <w:tcW w:w="2268" w:type="dxa"/>
            <w:tcBorders>
              <w:top w:val="single" w:sz="8" w:space="0" w:color="000000"/>
              <w:left w:val="nil"/>
              <w:bottom w:val="single" w:sz="8" w:space="0" w:color="000000"/>
              <w:right w:val="nil"/>
            </w:tcBorders>
            <w:shd w:val="clear" w:color="auto" w:fill="008938"/>
            <w:noWrap/>
            <w:vAlign w:val="center"/>
            <w:hideMark/>
          </w:tcPr>
          <w:p w14:paraId="156BB8A4"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Site ID</w:t>
            </w:r>
          </w:p>
        </w:tc>
        <w:tc>
          <w:tcPr>
            <w:tcW w:w="4536" w:type="dxa"/>
            <w:tcBorders>
              <w:top w:val="single" w:sz="8" w:space="0" w:color="000000"/>
              <w:left w:val="nil"/>
              <w:bottom w:val="single" w:sz="8" w:space="0" w:color="000000"/>
              <w:right w:val="nil"/>
            </w:tcBorders>
            <w:shd w:val="clear" w:color="auto" w:fill="008938"/>
            <w:noWrap/>
            <w:vAlign w:val="center"/>
            <w:hideMark/>
          </w:tcPr>
          <w:p w14:paraId="609718D5"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Site name</w:t>
            </w:r>
          </w:p>
        </w:tc>
        <w:tc>
          <w:tcPr>
            <w:tcW w:w="1843" w:type="dxa"/>
            <w:tcBorders>
              <w:top w:val="single" w:sz="8" w:space="0" w:color="000000"/>
              <w:left w:val="nil"/>
              <w:bottom w:val="single" w:sz="8" w:space="0" w:color="000000"/>
              <w:right w:val="nil"/>
            </w:tcBorders>
            <w:shd w:val="clear" w:color="auto" w:fill="008938"/>
            <w:vAlign w:val="center"/>
            <w:hideMark/>
          </w:tcPr>
          <w:p w14:paraId="1FA0987E"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2022 Monitored NO</w:t>
            </w:r>
            <w:r w:rsidRPr="009A5368">
              <w:rPr>
                <w:rFonts w:cs="Arial"/>
                <w:b/>
                <w:bCs/>
                <w:color w:val="FFFFFF" w:themeColor="background1"/>
                <w:sz w:val="16"/>
                <w:szCs w:val="16"/>
                <w:vertAlign w:val="subscript"/>
                <w:lang w:eastAsia="en-GB"/>
              </w:rPr>
              <w:t>2</w:t>
            </w:r>
          </w:p>
        </w:tc>
        <w:tc>
          <w:tcPr>
            <w:tcW w:w="1981" w:type="dxa"/>
            <w:tcBorders>
              <w:top w:val="single" w:sz="8" w:space="0" w:color="000000"/>
              <w:left w:val="nil"/>
              <w:bottom w:val="single" w:sz="8" w:space="0" w:color="000000"/>
              <w:right w:val="nil"/>
            </w:tcBorders>
            <w:shd w:val="clear" w:color="auto" w:fill="008938"/>
            <w:noWrap/>
            <w:vAlign w:val="center"/>
            <w:hideMark/>
          </w:tcPr>
          <w:p w14:paraId="6F06EFF0"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2022 Modelled NO</w:t>
            </w:r>
            <w:r w:rsidRPr="009A5368">
              <w:rPr>
                <w:rFonts w:cs="Arial"/>
                <w:b/>
                <w:bCs/>
                <w:color w:val="FFFFFF" w:themeColor="background1"/>
                <w:sz w:val="16"/>
                <w:szCs w:val="16"/>
                <w:vertAlign w:val="subscript"/>
                <w:lang w:eastAsia="en-GB"/>
              </w:rPr>
              <w:t>2</w:t>
            </w:r>
          </w:p>
        </w:tc>
        <w:tc>
          <w:tcPr>
            <w:tcW w:w="2268" w:type="dxa"/>
            <w:tcBorders>
              <w:top w:val="single" w:sz="8" w:space="0" w:color="000000"/>
              <w:left w:val="nil"/>
              <w:bottom w:val="single" w:sz="8" w:space="0" w:color="000000"/>
              <w:right w:val="nil"/>
            </w:tcBorders>
            <w:shd w:val="clear" w:color="auto" w:fill="008938"/>
            <w:vAlign w:val="center"/>
            <w:hideMark/>
          </w:tcPr>
          <w:p w14:paraId="782FC60A"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Site ID</w:t>
            </w:r>
          </w:p>
        </w:tc>
        <w:tc>
          <w:tcPr>
            <w:tcW w:w="4256" w:type="dxa"/>
            <w:tcBorders>
              <w:top w:val="single" w:sz="8" w:space="0" w:color="000000"/>
              <w:left w:val="nil"/>
              <w:bottom w:val="single" w:sz="8" w:space="0" w:color="000000"/>
              <w:right w:val="nil"/>
            </w:tcBorders>
            <w:shd w:val="clear" w:color="auto" w:fill="008938"/>
            <w:vAlign w:val="center"/>
            <w:hideMark/>
          </w:tcPr>
          <w:p w14:paraId="5BCD7793"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Site name</w:t>
            </w:r>
          </w:p>
        </w:tc>
        <w:tc>
          <w:tcPr>
            <w:tcW w:w="2126" w:type="dxa"/>
            <w:tcBorders>
              <w:top w:val="single" w:sz="8" w:space="0" w:color="000000"/>
              <w:left w:val="nil"/>
              <w:bottom w:val="single" w:sz="8" w:space="0" w:color="000000"/>
              <w:right w:val="nil"/>
            </w:tcBorders>
            <w:shd w:val="clear" w:color="auto" w:fill="008938"/>
            <w:vAlign w:val="center"/>
            <w:hideMark/>
          </w:tcPr>
          <w:p w14:paraId="74712BAC"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2022 Monitored NO</w:t>
            </w:r>
            <w:r w:rsidRPr="00D705F2">
              <w:rPr>
                <w:rFonts w:cs="Arial"/>
                <w:b/>
                <w:bCs/>
                <w:color w:val="FFFFFF" w:themeColor="background1"/>
                <w:sz w:val="16"/>
                <w:szCs w:val="16"/>
                <w:vertAlign w:val="subscript"/>
                <w:lang w:eastAsia="en-GB"/>
              </w:rPr>
              <w:t>2</w:t>
            </w:r>
          </w:p>
        </w:tc>
        <w:tc>
          <w:tcPr>
            <w:tcW w:w="1754" w:type="dxa"/>
            <w:tcBorders>
              <w:top w:val="single" w:sz="8" w:space="0" w:color="000000"/>
              <w:left w:val="nil"/>
              <w:bottom w:val="single" w:sz="8" w:space="0" w:color="000000"/>
              <w:right w:val="nil"/>
            </w:tcBorders>
            <w:shd w:val="clear" w:color="auto" w:fill="008938"/>
            <w:vAlign w:val="center"/>
            <w:hideMark/>
          </w:tcPr>
          <w:p w14:paraId="34A56D8E" w14:textId="77777777" w:rsidR="001529CE" w:rsidRPr="009A5368" w:rsidRDefault="001529CE" w:rsidP="007B10BD">
            <w:pPr>
              <w:spacing w:before="0" w:line="240" w:lineRule="auto"/>
              <w:jc w:val="center"/>
              <w:rPr>
                <w:rFonts w:cs="Arial"/>
                <w:b/>
                <w:bCs/>
                <w:color w:val="FFFFFF" w:themeColor="background1"/>
                <w:sz w:val="16"/>
                <w:szCs w:val="16"/>
                <w:lang w:eastAsia="en-GB"/>
              </w:rPr>
            </w:pPr>
            <w:r w:rsidRPr="009A5368">
              <w:rPr>
                <w:rFonts w:cs="Arial"/>
                <w:b/>
                <w:bCs/>
                <w:color w:val="FFFFFF" w:themeColor="background1"/>
                <w:sz w:val="16"/>
                <w:szCs w:val="16"/>
                <w:lang w:eastAsia="en-GB"/>
              </w:rPr>
              <w:t>2022 Modelled NO</w:t>
            </w:r>
            <w:r w:rsidRPr="009A5368">
              <w:rPr>
                <w:rFonts w:cs="Arial"/>
                <w:b/>
                <w:bCs/>
                <w:color w:val="FFFFFF" w:themeColor="background1"/>
                <w:sz w:val="16"/>
                <w:szCs w:val="16"/>
                <w:vertAlign w:val="subscript"/>
                <w:lang w:eastAsia="en-GB"/>
              </w:rPr>
              <w:t>2</w:t>
            </w:r>
          </w:p>
        </w:tc>
      </w:tr>
      <w:tr w:rsidR="001529CE" w:rsidRPr="00C77271" w14:paraId="3F30690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0F5C29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29</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F369D53"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Yew Tree Rd (Uxbridge Rd)</w:t>
            </w:r>
          </w:p>
        </w:tc>
        <w:tc>
          <w:tcPr>
            <w:tcW w:w="1843" w:type="dxa"/>
            <w:tcBorders>
              <w:top w:val="nil"/>
              <w:left w:val="nil"/>
              <w:bottom w:val="nil"/>
              <w:right w:val="nil"/>
            </w:tcBorders>
            <w:shd w:val="clear" w:color="D9D9D9" w:fill="FF0000"/>
            <w:noWrap/>
            <w:vAlign w:val="bottom"/>
            <w:hideMark/>
          </w:tcPr>
          <w:p w14:paraId="6D3E792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44.20</w:t>
            </w:r>
          </w:p>
        </w:tc>
        <w:tc>
          <w:tcPr>
            <w:tcW w:w="1981" w:type="dxa"/>
            <w:tcBorders>
              <w:top w:val="nil"/>
              <w:left w:val="single" w:sz="8" w:space="0" w:color="auto"/>
              <w:bottom w:val="nil"/>
              <w:right w:val="nil"/>
            </w:tcBorders>
            <w:shd w:val="clear" w:color="auto" w:fill="C6EFCE"/>
            <w:noWrap/>
            <w:vAlign w:val="bottom"/>
            <w:hideMark/>
          </w:tcPr>
          <w:p w14:paraId="10B9CA1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29.30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28BC6B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47</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753A1A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Ledgers Road (b)</w:t>
            </w:r>
          </w:p>
        </w:tc>
        <w:tc>
          <w:tcPr>
            <w:tcW w:w="2126" w:type="dxa"/>
            <w:tcBorders>
              <w:top w:val="nil"/>
              <w:left w:val="nil"/>
              <w:bottom w:val="nil"/>
              <w:right w:val="nil"/>
            </w:tcBorders>
            <w:shd w:val="clear" w:color="D9D9D9" w:fill="C6EFCE"/>
            <w:noWrap/>
            <w:vAlign w:val="bottom"/>
            <w:hideMark/>
          </w:tcPr>
          <w:p w14:paraId="2E6CE2C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24.50</w:t>
            </w:r>
          </w:p>
        </w:tc>
        <w:tc>
          <w:tcPr>
            <w:tcW w:w="1754" w:type="dxa"/>
            <w:tcBorders>
              <w:top w:val="nil"/>
              <w:left w:val="single" w:sz="8" w:space="0" w:color="auto"/>
              <w:bottom w:val="nil"/>
              <w:right w:val="nil"/>
            </w:tcBorders>
            <w:shd w:val="clear" w:color="auto" w:fill="C6EFCE"/>
            <w:noWrap/>
            <w:vAlign w:val="bottom"/>
            <w:hideMark/>
          </w:tcPr>
          <w:p w14:paraId="2244A9B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26.93</w:t>
            </w:r>
          </w:p>
        </w:tc>
      </w:tr>
      <w:tr w:rsidR="001529CE" w:rsidRPr="00C77271" w14:paraId="22B6E6D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F3A730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63,SLO 64,SLO 65</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05AED6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w:t>
            </w:r>
          </w:p>
        </w:tc>
        <w:tc>
          <w:tcPr>
            <w:tcW w:w="1843" w:type="dxa"/>
            <w:tcBorders>
              <w:top w:val="nil"/>
              <w:left w:val="nil"/>
              <w:bottom w:val="nil"/>
              <w:right w:val="nil"/>
            </w:tcBorders>
            <w:shd w:val="clear" w:color="000000" w:fill="E47E00"/>
            <w:noWrap/>
            <w:vAlign w:val="bottom"/>
            <w:hideMark/>
          </w:tcPr>
          <w:p w14:paraId="7B52E59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36.80</w:t>
            </w:r>
          </w:p>
        </w:tc>
        <w:tc>
          <w:tcPr>
            <w:tcW w:w="1981" w:type="dxa"/>
            <w:tcBorders>
              <w:top w:val="nil"/>
              <w:left w:val="single" w:sz="8" w:space="0" w:color="auto"/>
              <w:bottom w:val="nil"/>
              <w:right w:val="nil"/>
            </w:tcBorders>
            <w:shd w:val="clear" w:color="000000" w:fill="C6EFCE"/>
            <w:noWrap/>
            <w:vAlign w:val="bottom"/>
            <w:hideMark/>
          </w:tcPr>
          <w:p w14:paraId="363F4CF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23.27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577871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12</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586CA3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Lakeside road</w:t>
            </w:r>
          </w:p>
        </w:tc>
        <w:tc>
          <w:tcPr>
            <w:tcW w:w="2126" w:type="dxa"/>
            <w:tcBorders>
              <w:top w:val="nil"/>
              <w:left w:val="nil"/>
              <w:bottom w:val="nil"/>
              <w:right w:val="nil"/>
            </w:tcBorders>
            <w:shd w:val="clear" w:color="000000" w:fill="C6EFCE"/>
            <w:noWrap/>
            <w:vAlign w:val="bottom"/>
            <w:hideMark/>
          </w:tcPr>
          <w:p w14:paraId="5F08445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24.40</w:t>
            </w:r>
          </w:p>
        </w:tc>
        <w:tc>
          <w:tcPr>
            <w:tcW w:w="1754" w:type="dxa"/>
            <w:tcBorders>
              <w:top w:val="nil"/>
              <w:left w:val="single" w:sz="8" w:space="0" w:color="auto"/>
              <w:bottom w:val="nil"/>
              <w:right w:val="nil"/>
            </w:tcBorders>
            <w:shd w:val="clear" w:color="auto" w:fill="C6EFCE"/>
            <w:noWrap/>
            <w:vAlign w:val="bottom"/>
            <w:hideMark/>
          </w:tcPr>
          <w:p w14:paraId="5B31DB4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27.61</w:t>
            </w:r>
          </w:p>
        </w:tc>
      </w:tr>
      <w:tr w:rsidR="001529CE" w:rsidRPr="00C77271" w14:paraId="2175021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DC1FBE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121</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5EA93A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Ledgers Road (b)</w:t>
            </w:r>
          </w:p>
        </w:tc>
        <w:tc>
          <w:tcPr>
            <w:tcW w:w="1843" w:type="dxa"/>
            <w:tcBorders>
              <w:top w:val="nil"/>
              <w:left w:val="nil"/>
              <w:bottom w:val="nil"/>
              <w:right w:val="nil"/>
            </w:tcBorders>
            <w:shd w:val="clear" w:color="auto" w:fill="FFFF00"/>
            <w:noWrap/>
            <w:vAlign w:val="bottom"/>
            <w:hideMark/>
          </w:tcPr>
          <w:p w14:paraId="4330593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35.70</w:t>
            </w:r>
          </w:p>
        </w:tc>
        <w:tc>
          <w:tcPr>
            <w:tcW w:w="1981" w:type="dxa"/>
            <w:tcBorders>
              <w:top w:val="nil"/>
              <w:left w:val="single" w:sz="8" w:space="0" w:color="auto"/>
              <w:bottom w:val="nil"/>
              <w:right w:val="nil"/>
            </w:tcBorders>
            <w:shd w:val="clear" w:color="D9D9D9" w:fill="C6EFCE"/>
            <w:noWrap/>
            <w:vAlign w:val="bottom"/>
            <w:hideMark/>
          </w:tcPr>
          <w:p w14:paraId="30DB9F7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21.29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481AE8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E11A5D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Wexham Road</w:t>
            </w:r>
          </w:p>
        </w:tc>
        <w:tc>
          <w:tcPr>
            <w:tcW w:w="2126" w:type="dxa"/>
            <w:tcBorders>
              <w:top w:val="nil"/>
              <w:left w:val="nil"/>
              <w:bottom w:val="nil"/>
              <w:right w:val="nil"/>
            </w:tcBorders>
            <w:shd w:val="clear" w:color="D9D9D9" w:fill="C6EFCE"/>
            <w:noWrap/>
            <w:vAlign w:val="bottom"/>
            <w:hideMark/>
          </w:tcPr>
          <w:p w14:paraId="761434D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24.20</w:t>
            </w:r>
          </w:p>
        </w:tc>
        <w:tc>
          <w:tcPr>
            <w:tcW w:w="1754" w:type="dxa"/>
            <w:tcBorders>
              <w:top w:val="nil"/>
              <w:left w:val="single" w:sz="8" w:space="0" w:color="auto"/>
              <w:bottom w:val="nil"/>
              <w:right w:val="nil"/>
            </w:tcBorders>
            <w:shd w:val="clear" w:color="auto" w:fill="C6EFCE"/>
            <w:noWrap/>
            <w:vAlign w:val="bottom"/>
            <w:hideMark/>
          </w:tcPr>
          <w:p w14:paraId="003C397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26.18</w:t>
            </w:r>
          </w:p>
        </w:tc>
      </w:tr>
      <w:tr w:rsidR="001529CE" w:rsidRPr="00C77271" w14:paraId="28D9D4D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0DD015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50</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98A6E6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Tuns Lane (B)</w:t>
            </w:r>
          </w:p>
        </w:tc>
        <w:tc>
          <w:tcPr>
            <w:tcW w:w="1843" w:type="dxa"/>
            <w:tcBorders>
              <w:top w:val="nil"/>
              <w:left w:val="nil"/>
              <w:bottom w:val="nil"/>
              <w:right w:val="nil"/>
            </w:tcBorders>
            <w:shd w:val="clear" w:color="auto" w:fill="FFFF00"/>
            <w:noWrap/>
            <w:vAlign w:val="bottom"/>
            <w:hideMark/>
          </w:tcPr>
          <w:p w14:paraId="2EBA5DE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32.90</w:t>
            </w:r>
          </w:p>
        </w:tc>
        <w:tc>
          <w:tcPr>
            <w:tcW w:w="1981" w:type="dxa"/>
            <w:tcBorders>
              <w:top w:val="nil"/>
              <w:left w:val="single" w:sz="8" w:space="0" w:color="auto"/>
              <w:bottom w:val="nil"/>
              <w:right w:val="nil"/>
            </w:tcBorders>
            <w:shd w:val="clear" w:color="auto" w:fill="C6EFCE"/>
            <w:noWrap/>
            <w:vAlign w:val="bottom"/>
            <w:hideMark/>
          </w:tcPr>
          <w:p w14:paraId="3EB143C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26.16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811EF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18E2AD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 London Road</w:t>
            </w:r>
          </w:p>
        </w:tc>
        <w:tc>
          <w:tcPr>
            <w:tcW w:w="2126" w:type="dxa"/>
            <w:tcBorders>
              <w:top w:val="nil"/>
              <w:left w:val="nil"/>
              <w:bottom w:val="nil"/>
              <w:right w:val="nil"/>
            </w:tcBorders>
            <w:shd w:val="clear" w:color="000000" w:fill="C6EFCE"/>
            <w:noWrap/>
            <w:vAlign w:val="bottom"/>
            <w:hideMark/>
          </w:tcPr>
          <w:p w14:paraId="060D978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24.10</w:t>
            </w:r>
          </w:p>
        </w:tc>
        <w:tc>
          <w:tcPr>
            <w:tcW w:w="1754" w:type="dxa"/>
            <w:tcBorders>
              <w:top w:val="nil"/>
              <w:left w:val="single" w:sz="8" w:space="0" w:color="auto"/>
              <w:bottom w:val="nil"/>
              <w:right w:val="nil"/>
            </w:tcBorders>
            <w:shd w:val="clear" w:color="auto" w:fill="C6EFCE"/>
            <w:noWrap/>
            <w:vAlign w:val="bottom"/>
            <w:hideMark/>
          </w:tcPr>
          <w:p w14:paraId="5279E1D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21.46</w:t>
            </w:r>
          </w:p>
        </w:tc>
      </w:tr>
      <w:tr w:rsidR="001529CE" w:rsidRPr="00C77271" w14:paraId="00150A4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7C8015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11</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EE9603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 London Road</w:t>
            </w:r>
          </w:p>
        </w:tc>
        <w:tc>
          <w:tcPr>
            <w:tcW w:w="1843" w:type="dxa"/>
            <w:tcBorders>
              <w:top w:val="nil"/>
              <w:left w:val="nil"/>
              <w:bottom w:val="nil"/>
              <w:right w:val="nil"/>
            </w:tcBorders>
            <w:shd w:val="clear" w:color="auto" w:fill="FFFF00"/>
            <w:noWrap/>
            <w:vAlign w:val="bottom"/>
            <w:hideMark/>
          </w:tcPr>
          <w:p w14:paraId="3A1E165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32.60</w:t>
            </w:r>
          </w:p>
        </w:tc>
        <w:tc>
          <w:tcPr>
            <w:tcW w:w="1981" w:type="dxa"/>
            <w:tcBorders>
              <w:top w:val="nil"/>
              <w:left w:val="single" w:sz="8" w:space="0" w:color="auto"/>
              <w:bottom w:val="nil"/>
              <w:right w:val="nil"/>
            </w:tcBorders>
            <w:shd w:val="clear" w:color="auto" w:fill="C6EFCE"/>
            <w:noWrap/>
            <w:vAlign w:val="bottom"/>
            <w:hideMark/>
          </w:tcPr>
          <w:p w14:paraId="2F4C166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23.27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504E8A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78,SLO 79,SLO 80</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85E2A1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 (A)</w:t>
            </w:r>
          </w:p>
        </w:tc>
        <w:tc>
          <w:tcPr>
            <w:tcW w:w="2126" w:type="dxa"/>
            <w:tcBorders>
              <w:top w:val="nil"/>
              <w:left w:val="nil"/>
              <w:bottom w:val="nil"/>
              <w:right w:val="nil"/>
            </w:tcBorders>
            <w:shd w:val="clear" w:color="D9D9D9" w:fill="C6EFCE"/>
            <w:noWrap/>
            <w:vAlign w:val="bottom"/>
            <w:hideMark/>
          </w:tcPr>
          <w:p w14:paraId="4F81322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24.00</w:t>
            </w:r>
          </w:p>
        </w:tc>
        <w:tc>
          <w:tcPr>
            <w:tcW w:w="1754" w:type="dxa"/>
            <w:tcBorders>
              <w:top w:val="nil"/>
              <w:left w:val="single" w:sz="8" w:space="0" w:color="auto"/>
              <w:bottom w:val="nil"/>
              <w:right w:val="nil"/>
            </w:tcBorders>
            <w:shd w:val="clear" w:color="auto" w:fill="C6EFCE"/>
            <w:noWrap/>
            <w:vAlign w:val="bottom"/>
            <w:hideMark/>
          </w:tcPr>
          <w:p w14:paraId="2A6F04B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27.56</w:t>
            </w:r>
          </w:p>
        </w:tc>
      </w:tr>
      <w:tr w:rsidR="001529CE" w:rsidRPr="00C77271" w14:paraId="462DDCB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237C37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40</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052BA9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Wexham Road</w:t>
            </w:r>
          </w:p>
        </w:tc>
        <w:tc>
          <w:tcPr>
            <w:tcW w:w="1843" w:type="dxa"/>
            <w:tcBorders>
              <w:top w:val="nil"/>
              <w:left w:val="nil"/>
              <w:bottom w:val="nil"/>
              <w:right w:val="nil"/>
            </w:tcBorders>
            <w:shd w:val="clear" w:color="auto" w:fill="FFFF00"/>
            <w:noWrap/>
            <w:vAlign w:val="bottom"/>
            <w:hideMark/>
          </w:tcPr>
          <w:p w14:paraId="30CD453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32.60</w:t>
            </w:r>
          </w:p>
        </w:tc>
        <w:tc>
          <w:tcPr>
            <w:tcW w:w="1981" w:type="dxa"/>
            <w:tcBorders>
              <w:top w:val="nil"/>
              <w:left w:val="single" w:sz="8" w:space="0" w:color="auto"/>
              <w:bottom w:val="nil"/>
              <w:right w:val="nil"/>
            </w:tcBorders>
            <w:shd w:val="clear" w:color="auto" w:fill="FFFF00"/>
            <w:noWrap/>
            <w:vAlign w:val="bottom"/>
            <w:hideMark/>
          </w:tcPr>
          <w:p w14:paraId="4DE438E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31.60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767B01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81,SLO 82,SLO 83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FDA2DD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London Road (A)</w:t>
            </w:r>
          </w:p>
        </w:tc>
        <w:tc>
          <w:tcPr>
            <w:tcW w:w="2126" w:type="dxa"/>
            <w:tcBorders>
              <w:top w:val="nil"/>
              <w:left w:val="nil"/>
              <w:bottom w:val="nil"/>
              <w:right w:val="nil"/>
            </w:tcBorders>
            <w:shd w:val="clear" w:color="000000" w:fill="C6EFCE"/>
            <w:noWrap/>
            <w:vAlign w:val="bottom"/>
            <w:hideMark/>
          </w:tcPr>
          <w:p w14:paraId="201DEE7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24.00</w:t>
            </w:r>
          </w:p>
        </w:tc>
        <w:tc>
          <w:tcPr>
            <w:tcW w:w="1754" w:type="dxa"/>
            <w:tcBorders>
              <w:top w:val="nil"/>
              <w:left w:val="single" w:sz="8" w:space="0" w:color="auto"/>
              <w:bottom w:val="nil"/>
              <w:right w:val="nil"/>
            </w:tcBorders>
            <w:shd w:val="clear" w:color="auto" w:fill="C6EFCE"/>
            <w:noWrap/>
            <w:vAlign w:val="bottom"/>
            <w:hideMark/>
          </w:tcPr>
          <w:p w14:paraId="375154C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27.69</w:t>
            </w:r>
          </w:p>
        </w:tc>
      </w:tr>
      <w:tr w:rsidR="001529CE" w:rsidRPr="00C77271" w14:paraId="38E6585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87A09F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10</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CDD1143"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London Road (A)</w:t>
            </w:r>
          </w:p>
        </w:tc>
        <w:tc>
          <w:tcPr>
            <w:tcW w:w="1843" w:type="dxa"/>
            <w:tcBorders>
              <w:top w:val="nil"/>
              <w:left w:val="nil"/>
              <w:bottom w:val="nil"/>
              <w:right w:val="nil"/>
            </w:tcBorders>
            <w:shd w:val="clear" w:color="auto" w:fill="FFFF00"/>
            <w:noWrap/>
            <w:vAlign w:val="bottom"/>
            <w:hideMark/>
          </w:tcPr>
          <w:p w14:paraId="37EC0A9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32.50</w:t>
            </w:r>
          </w:p>
        </w:tc>
        <w:tc>
          <w:tcPr>
            <w:tcW w:w="1981" w:type="dxa"/>
            <w:tcBorders>
              <w:top w:val="nil"/>
              <w:left w:val="single" w:sz="8" w:space="0" w:color="auto"/>
              <w:bottom w:val="nil"/>
              <w:right w:val="nil"/>
            </w:tcBorders>
            <w:shd w:val="clear" w:color="auto" w:fill="C6EFCE"/>
            <w:noWrap/>
            <w:vAlign w:val="bottom"/>
            <w:hideMark/>
          </w:tcPr>
          <w:p w14:paraId="755EEEC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26.95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5FA999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72,SLO 73,SLO 74</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9E3EFBC"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High Street Langley (A)</w:t>
            </w:r>
          </w:p>
        </w:tc>
        <w:tc>
          <w:tcPr>
            <w:tcW w:w="2126" w:type="dxa"/>
            <w:tcBorders>
              <w:top w:val="nil"/>
              <w:left w:val="nil"/>
              <w:bottom w:val="nil"/>
              <w:right w:val="nil"/>
            </w:tcBorders>
            <w:shd w:val="clear" w:color="D9D9D9" w:fill="C6EFCE"/>
            <w:noWrap/>
            <w:vAlign w:val="bottom"/>
            <w:hideMark/>
          </w:tcPr>
          <w:p w14:paraId="0870AEA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23.90</w:t>
            </w:r>
          </w:p>
        </w:tc>
        <w:tc>
          <w:tcPr>
            <w:tcW w:w="1754" w:type="dxa"/>
            <w:tcBorders>
              <w:top w:val="nil"/>
              <w:left w:val="single" w:sz="8" w:space="0" w:color="auto"/>
              <w:bottom w:val="nil"/>
              <w:right w:val="nil"/>
            </w:tcBorders>
            <w:shd w:val="clear" w:color="auto" w:fill="C6EFCE"/>
            <w:noWrap/>
            <w:vAlign w:val="bottom"/>
            <w:hideMark/>
          </w:tcPr>
          <w:p w14:paraId="65E90EB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27.26</w:t>
            </w:r>
          </w:p>
        </w:tc>
      </w:tr>
      <w:tr w:rsidR="001529CE" w:rsidRPr="00C77271" w14:paraId="47EEC385"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7D82E5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18</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B75A70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 (A)</w:t>
            </w:r>
          </w:p>
        </w:tc>
        <w:tc>
          <w:tcPr>
            <w:tcW w:w="1843" w:type="dxa"/>
            <w:tcBorders>
              <w:top w:val="nil"/>
              <w:left w:val="nil"/>
              <w:bottom w:val="nil"/>
              <w:right w:val="nil"/>
            </w:tcBorders>
            <w:shd w:val="clear" w:color="auto" w:fill="FFFF00"/>
            <w:noWrap/>
            <w:vAlign w:val="bottom"/>
            <w:hideMark/>
          </w:tcPr>
          <w:p w14:paraId="2B967E7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31.60</w:t>
            </w:r>
          </w:p>
        </w:tc>
        <w:tc>
          <w:tcPr>
            <w:tcW w:w="1981" w:type="dxa"/>
            <w:tcBorders>
              <w:top w:val="nil"/>
              <w:left w:val="single" w:sz="8" w:space="0" w:color="auto"/>
              <w:bottom w:val="nil"/>
              <w:right w:val="nil"/>
            </w:tcBorders>
            <w:shd w:val="clear" w:color="000000" w:fill="C6EFCE"/>
            <w:noWrap/>
            <w:vAlign w:val="bottom"/>
            <w:hideMark/>
          </w:tcPr>
          <w:p w14:paraId="477E151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22.97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AFBCAE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8A2E41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Wellington Street</w:t>
            </w:r>
          </w:p>
        </w:tc>
        <w:tc>
          <w:tcPr>
            <w:tcW w:w="2126" w:type="dxa"/>
            <w:tcBorders>
              <w:top w:val="nil"/>
              <w:left w:val="nil"/>
              <w:bottom w:val="nil"/>
              <w:right w:val="nil"/>
            </w:tcBorders>
            <w:shd w:val="clear" w:color="000000" w:fill="C6EFCE"/>
            <w:noWrap/>
            <w:vAlign w:val="bottom"/>
            <w:hideMark/>
          </w:tcPr>
          <w:p w14:paraId="5C14413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23.80</w:t>
            </w:r>
          </w:p>
        </w:tc>
        <w:tc>
          <w:tcPr>
            <w:tcW w:w="1754" w:type="dxa"/>
            <w:tcBorders>
              <w:top w:val="nil"/>
              <w:left w:val="single" w:sz="8" w:space="0" w:color="auto"/>
              <w:bottom w:val="nil"/>
              <w:right w:val="nil"/>
            </w:tcBorders>
            <w:shd w:val="clear" w:color="auto" w:fill="C6EFCE"/>
            <w:noWrap/>
            <w:vAlign w:val="bottom"/>
            <w:hideMark/>
          </w:tcPr>
          <w:p w14:paraId="101670B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22.00</w:t>
            </w:r>
          </w:p>
        </w:tc>
      </w:tr>
      <w:tr w:rsidR="001529CE" w:rsidRPr="00C77271" w14:paraId="3B3A2A6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DCF912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53</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F000B6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High Street Langley (A)</w:t>
            </w:r>
          </w:p>
        </w:tc>
        <w:tc>
          <w:tcPr>
            <w:tcW w:w="1843" w:type="dxa"/>
            <w:tcBorders>
              <w:top w:val="nil"/>
              <w:left w:val="nil"/>
              <w:bottom w:val="nil"/>
              <w:right w:val="nil"/>
            </w:tcBorders>
            <w:shd w:val="clear" w:color="auto" w:fill="FFFF00"/>
            <w:noWrap/>
            <w:vAlign w:val="bottom"/>
            <w:hideMark/>
          </w:tcPr>
          <w:p w14:paraId="0FC1B1B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30.30</w:t>
            </w:r>
          </w:p>
        </w:tc>
        <w:tc>
          <w:tcPr>
            <w:tcW w:w="1981" w:type="dxa"/>
            <w:tcBorders>
              <w:top w:val="nil"/>
              <w:left w:val="single" w:sz="8" w:space="0" w:color="auto"/>
              <w:bottom w:val="nil"/>
              <w:right w:val="nil"/>
            </w:tcBorders>
            <w:shd w:val="clear" w:color="auto" w:fill="C6EFCE"/>
            <w:noWrap/>
            <w:vAlign w:val="bottom"/>
            <w:hideMark/>
          </w:tcPr>
          <w:p w14:paraId="14CC017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20.20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161045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1F0CD8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Yew Tree Rd (Ux Rd) (B)</w:t>
            </w:r>
          </w:p>
        </w:tc>
        <w:tc>
          <w:tcPr>
            <w:tcW w:w="2126" w:type="dxa"/>
            <w:tcBorders>
              <w:top w:val="nil"/>
              <w:left w:val="nil"/>
              <w:bottom w:val="nil"/>
              <w:right w:val="nil"/>
            </w:tcBorders>
            <w:shd w:val="clear" w:color="D9D9D9" w:fill="C6EFCE"/>
            <w:noWrap/>
            <w:vAlign w:val="bottom"/>
            <w:hideMark/>
          </w:tcPr>
          <w:p w14:paraId="7E09B65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23.80</w:t>
            </w:r>
          </w:p>
        </w:tc>
        <w:tc>
          <w:tcPr>
            <w:tcW w:w="1754" w:type="dxa"/>
            <w:tcBorders>
              <w:top w:val="nil"/>
              <w:left w:val="single" w:sz="8" w:space="0" w:color="auto"/>
              <w:bottom w:val="nil"/>
              <w:right w:val="nil"/>
            </w:tcBorders>
            <w:shd w:val="clear" w:color="auto" w:fill="C6EFCE"/>
            <w:noWrap/>
            <w:vAlign w:val="bottom"/>
            <w:hideMark/>
          </w:tcPr>
          <w:p w14:paraId="55A522F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24.45</w:t>
            </w:r>
          </w:p>
        </w:tc>
      </w:tr>
      <w:tr w:rsidR="001529CE" w:rsidRPr="00C77271" w14:paraId="31C01B5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17A7E4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46</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34A313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Cornwall House, Bath Rd</w:t>
            </w:r>
          </w:p>
        </w:tc>
        <w:tc>
          <w:tcPr>
            <w:tcW w:w="1843" w:type="dxa"/>
            <w:tcBorders>
              <w:top w:val="nil"/>
              <w:left w:val="nil"/>
              <w:bottom w:val="nil"/>
              <w:right w:val="nil"/>
            </w:tcBorders>
            <w:shd w:val="clear" w:color="auto" w:fill="C6EFCE"/>
            <w:noWrap/>
            <w:vAlign w:val="bottom"/>
            <w:hideMark/>
          </w:tcPr>
          <w:p w14:paraId="2050091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29.80</w:t>
            </w:r>
          </w:p>
        </w:tc>
        <w:tc>
          <w:tcPr>
            <w:tcW w:w="1981" w:type="dxa"/>
            <w:tcBorders>
              <w:top w:val="nil"/>
              <w:left w:val="single" w:sz="8" w:space="0" w:color="auto"/>
              <w:bottom w:val="nil"/>
              <w:right w:val="nil"/>
            </w:tcBorders>
            <w:shd w:val="clear" w:color="auto" w:fill="C6EFCE"/>
            <w:noWrap/>
            <w:vAlign w:val="bottom"/>
            <w:hideMark/>
          </w:tcPr>
          <w:p w14:paraId="397A857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24.76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C5ED73C"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90,SLO 91,SLO 92</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D73EAB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Cornwall House, Bath Rd</w:t>
            </w:r>
          </w:p>
        </w:tc>
        <w:tc>
          <w:tcPr>
            <w:tcW w:w="2126" w:type="dxa"/>
            <w:tcBorders>
              <w:top w:val="nil"/>
              <w:left w:val="nil"/>
              <w:bottom w:val="nil"/>
              <w:right w:val="nil"/>
            </w:tcBorders>
            <w:shd w:val="clear" w:color="000000" w:fill="C6EFCE"/>
            <w:noWrap/>
            <w:vAlign w:val="bottom"/>
            <w:hideMark/>
          </w:tcPr>
          <w:p w14:paraId="72FF769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23.80</w:t>
            </w:r>
          </w:p>
        </w:tc>
        <w:tc>
          <w:tcPr>
            <w:tcW w:w="1754" w:type="dxa"/>
            <w:tcBorders>
              <w:top w:val="nil"/>
              <w:left w:val="single" w:sz="8" w:space="0" w:color="auto"/>
              <w:bottom w:val="nil"/>
              <w:right w:val="nil"/>
            </w:tcBorders>
            <w:shd w:val="clear" w:color="auto" w:fill="C6EFCE"/>
            <w:noWrap/>
            <w:vAlign w:val="bottom"/>
            <w:hideMark/>
          </w:tcPr>
          <w:p w14:paraId="4D758D7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28.43</w:t>
            </w:r>
          </w:p>
        </w:tc>
      </w:tr>
      <w:tr w:rsidR="001529CE" w:rsidRPr="00C77271" w14:paraId="64570A0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E6AD8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26</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99BFFB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Yew Tree Rd (Ux Rd) (B)</w:t>
            </w:r>
          </w:p>
        </w:tc>
        <w:tc>
          <w:tcPr>
            <w:tcW w:w="1843" w:type="dxa"/>
            <w:tcBorders>
              <w:top w:val="nil"/>
              <w:left w:val="nil"/>
              <w:bottom w:val="nil"/>
              <w:right w:val="nil"/>
            </w:tcBorders>
            <w:shd w:val="clear" w:color="auto" w:fill="C6EFCE"/>
            <w:noWrap/>
            <w:vAlign w:val="bottom"/>
            <w:hideMark/>
          </w:tcPr>
          <w:p w14:paraId="70ADE9F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29.70</w:t>
            </w:r>
          </w:p>
        </w:tc>
        <w:tc>
          <w:tcPr>
            <w:tcW w:w="1981" w:type="dxa"/>
            <w:tcBorders>
              <w:top w:val="nil"/>
              <w:left w:val="single" w:sz="8" w:space="0" w:color="auto"/>
              <w:bottom w:val="nil"/>
              <w:right w:val="nil"/>
            </w:tcBorders>
            <w:shd w:val="clear" w:color="auto" w:fill="C6EFCE"/>
            <w:noWrap/>
            <w:vAlign w:val="bottom"/>
            <w:hideMark/>
          </w:tcPr>
          <w:p w14:paraId="5AF69F4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27.07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24A015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44</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C228BE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Rogans (Colnbrook By-pass)</w:t>
            </w:r>
          </w:p>
        </w:tc>
        <w:tc>
          <w:tcPr>
            <w:tcW w:w="2126" w:type="dxa"/>
            <w:tcBorders>
              <w:top w:val="nil"/>
              <w:left w:val="nil"/>
              <w:bottom w:val="nil"/>
              <w:right w:val="nil"/>
            </w:tcBorders>
            <w:shd w:val="clear" w:color="D9D9D9" w:fill="C6EFCE"/>
            <w:noWrap/>
            <w:vAlign w:val="bottom"/>
            <w:hideMark/>
          </w:tcPr>
          <w:p w14:paraId="445DC4D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23.60</w:t>
            </w:r>
          </w:p>
        </w:tc>
        <w:tc>
          <w:tcPr>
            <w:tcW w:w="1754" w:type="dxa"/>
            <w:tcBorders>
              <w:top w:val="nil"/>
              <w:left w:val="single" w:sz="8" w:space="0" w:color="auto"/>
              <w:bottom w:val="nil"/>
              <w:right w:val="nil"/>
            </w:tcBorders>
            <w:shd w:val="clear" w:color="D9D9D9" w:fill="C6EFCE"/>
            <w:noWrap/>
            <w:vAlign w:val="bottom"/>
            <w:hideMark/>
          </w:tcPr>
          <w:p w14:paraId="5C55D84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23.84</w:t>
            </w:r>
          </w:p>
        </w:tc>
      </w:tr>
      <w:tr w:rsidR="001529CE" w:rsidRPr="00C77271" w14:paraId="3C80763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A27F65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60,SLO 61,SLO 62</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A22855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Wellington Street</w:t>
            </w:r>
          </w:p>
        </w:tc>
        <w:tc>
          <w:tcPr>
            <w:tcW w:w="1843" w:type="dxa"/>
            <w:tcBorders>
              <w:top w:val="nil"/>
              <w:left w:val="nil"/>
              <w:bottom w:val="nil"/>
              <w:right w:val="nil"/>
            </w:tcBorders>
            <w:shd w:val="clear" w:color="auto" w:fill="C6EFCE"/>
            <w:noWrap/>
            <w:vAlign w:val="bottom"/>
            <w:hideMark/>
          </w:tcPr>
          <w:p w14:paraId="4961CEF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29.50</w:t>
            </w:r>
          </w:p>
        </w:tc>
        <w:tc>
          <w:tcPr>
            <w:tcW w:w="1981" w:type="dxa"/>
            <w:tcBorders>
              <w:top w:val="nil"/>
              <w:left w:val="single" w:sz="8" w:space="0" w:color="auto"/>
              <w:bottom w:val="nil"/>
              <w:right w:val="nil"/>
            </w:tcBorders>
            <w:shd w:val="clear" w:color="auto" w:fill="C6EFCE"/>
            <w:noWrap/>
            <w:vAlign w:val="bottom"/>
            <w:hideMark/>
          </w:tcPr>
          <w:p w14:paraId="484EBA3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F49D46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69,SLO 70,SLO 71</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E671F4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Albert Street/Upton Court Park Road</w:t>
            </w:r>
          </w:p>
        </w:tc>
        <w:tc>
          <w:tcPr>
            <w:tcW w:w="2126" w:type="dxa"/>
            <w:tcBorders>
              <w:top w:val="nil"/>
              <w:left w:val="nil"/>
              <w:bottom w:val="nil"/>
              <w:right w:val="nil"/>
            </w:tcBorders>
            <w:shd w:val="clear" w:color="000000" w:fill="C6EFCE"/>
            <w:noWrap/>
            <w:vAlign w:val="bottom"/>
            <w:hideMark/>
          </w:tcPr>
          <w:p w14:paraId="7527E42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23.60</w:t>
            </w:r>
          </w:p>
        </w:tc>
        <w:tc>
          <w:tcPr>
            <w:tcW w:w="1754" w:type="dxa"/>
            <w:tcBorders>
              <w:top w:val="nil"/>
              <w:left w:val="single" w:sz="8" w:space="0" w:color="auto"/>
              <w:bottom w:val="nil"/>
              <w:right w:val="nil"/>
            </w:tcBorders>
            <w:shd w:val="clear" w:color="auto" w:fill="C6EFCE"/>
            <w:noWrap/>
            <w:vAlign w:val="bottom"/>
            <w:hideMark/>
          </w:tcPr>
          <w:p w14:paraId="16685B3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27.18</w:t>
            </w:r>
          </w:p>
        </w:tc>
      </w:tr>
      <w:tr w:rsidR="001529CE" w:rsidRPr="00C77271" w14:paraId="493DAB7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7450EE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97</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F5885D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Albert Street/Upton Court Park Road</w:t>
            </w:r>
          </w:p>
        </w:tc>
        <w:tc>
          <w:tcPr>
            <w:tcW w:w="1843" w:type="dxa"/>
            <w:tcBorders>
              <w:top w:val="nil"/>
              <w:left w:val="nil"/>
              <w:bottom w:val="nil"/>
              <w:right w:val="nil"/>
            </w:tcBorders>
            <w:shd w:val="clear" w:color="auto" w:fill="C6EFCE"/>
            <w:noWrap/>
            <w:vAlign w:val="bottom"/>
            <w:hideMark/>
          </w:tcPr>
          <w:p w14:paraId="221424A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29.20</w:t>
            </w:r>
          </w:p>
        </w:tc>
        <w:tc>
          <w:tcPr>
            <w:tcW w:w="1981" w:type="dxa"/>
            <w:tcBorders>
              <w:top w:val="nil"/>
              <w:left w:val="single" w:sz="8" w:space="0" w:color="auto"/>
              <w:bottom w:val="nil"/>
              <w:right w:val="nil"/>
            </w:tcBorders>
            <w:shd w:val="clear" w:color="D9D9D9" w:fill="C6EFCE"/>
            <w:noWrap/>
            <w:vAlign w:val="bottom"/>
            <w:hideMark/>
          </w:tcPr>
          <w:p w14:paraId="79CE414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8AB263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19</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8E716A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Windsor Road (B)</w:t>
            </w:r>
          </w:p>
        </w:tc>
        <w:tc>
          <w:tcPr>
            <w:tcW w:w="2126" w:type="dxa"/>
            <w:tcBorders>
              <w:top w:val="nil"/>
              <w:left w:val="nil"/>
              <w:bottom w:val="nil"/>
              <w:right w:val="nil"/>
            </w:tcBorders>
            <w:shd w:val="clear" w:color="D9D9D9" w:fill="C6EFCE"/>
            <w:noWrap/>
            <w:vAlign w:val="bottom"/>
            <w:hideMark/>
          </w:tcPr>
          <w:p w14:paraId="345BECF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23.50</w:t>
            </w:r>
          </w:p>
        </w:tc>
        <w:tc>
          <w:tcPr>
            <w:tcW w:w="1754" w:type="dxa"/>
            <w:tcBorders>
              <w:top w:val="nil"/>
              <w:left w:val="single" w:sz="8" w:space="0" w:color="auto"/>
              <w:bottom w:val="nil"/>
              <w:right w:val="nil"/>
            </w:tcBorders>
            <w:shd w:val="clear" w:color="auto" w:fill="C6EFCE"/>
            <w:noWrap/>
            <w:vAlign w:val="bottom"/>
            <w:hideMark/>
          </w:tcPr>
          <w:p w14:paraId="459D93D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24.73</w:t>
            </w:r>
          </w:p>
        </w:tc>
      </w:tr>
      <w:tr w:rsidR="001529CE" w:rsidRPr="00C77271" w14:paraId="1C273A2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DE7166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28</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553F73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Rogans (Colnbrook By-pass)</w:t>
            </w:r>
          </w:p>
        </w:tc>
        <w:tc>
          <w:tcPr>
            <w:tcW w:w="1843" w:type="dxa"/>
            <w:tcBorders>
              <w:top w:val="nil"/>
              <w:left w:val="nil"/>
              <w:bottom w:val="nil"/>
              <w:right w:val="nil"/>
            </w:tcBorders>
            <w:shd w:val="clear" w:color="auto" w:fill="C6EFCE"/>
            <w:noWrap/>
            <w:vAlign w:val="bottom"/>
            <w:hideMark/>
          </w:tcPr>
          <w:p w14:paraId="013ED0F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28.80</w:t>
            </w:r>
          </w:p>
        </w:tc>
        <w:tc>
          <w:tcPr>
            <w:tcW w:w="1981" w:type="dxa"/>
            <w:tcBorders>
              <w:top w:val="nil"/>
              <w:left w:val="single" w:sz="8" w:space="0" w:color="auto"/>
              <w:bottom w:val="nil"/>
              <w:right w:val="nil"/>
            </w:tcBorders>
            <w:shd w:val="clear" w:color="auto" w:fill="C6EFCE"/>
            <w:noWrap/>
            <w:vAlign w:val="bottom"/>
            <w:hideMark/>
          </w:tcPr>
          <w:p w14:paraId="61E470F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3CECBF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34, SLO 35, SLO 36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F746B7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 Town Centre Wellington Street</w:t>
            </w:r>
          </w:p>
        </w:tc>
        <w:tc>
          <w:tcPr>
            <w:tcW w:w="2126" w:type="dxa"/>
            <w:tcBorders>
              <w:top w:val="nil"/>
              <w:left w:val="nil"/>
              <w:bottom w:val="nil"/>
              <w:right w:val="nil"/>
            </w:tcBorders>
            <w:shd w:val="clear" w:color="000000" w:fill="C6EFCE"/>
            <w:noWrap/>
            <w:vAlign w:val="bottom"/>
            <w:hideMark/>
          </w:tcPr>
          <w:p w14:paraId="304AD9A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23.50</w:t>
            </w:r>
          </w:p>
        </w:tc>
        <w:tc>
          <w:tcPr>
            <w:tcW w:w="1754" w:type="dxa"/>
            <w:tcBorders>
              <w:top w:val="nil"/>
              <w:left w:val="single" w:sz="8" w:space="0" w:color="auto"/>
              <w:bottom w:val="nil"/>
              <w:right w:val="nil"/>
            </w:tcBorders>
            <w:shd w:val="clear" w:color="auto" w:fill="C6EFCE"/>
            <w:noWrap/>
            <w:vAlign w:val="bottom"/>
            <w:hideMark/>
          </w:tcPr>
          <w:p w14:paraId="428C51B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27.65</w:t>
            </w:r>
          </w:p>
        </w:tc>
      </w:tr>
      <w:tr w:rsidR="001529CE" w:rsidRPr="00C77271" w14:paraId="663BC11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7EF139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57,SLO 58,SLO 59</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9CF090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Windmill</w:t>
            </w:r>
          </w:p>
        </w:tc>
        <w:tc>
          <w:tcPr>
            <w:tcW w:w="1843" w:type="dxa"/>
            <w:tcBorders>
              <w:top w:val="nil"/>
              <w:left w:val="nil"/>
              <w:bottom w:val="nil"/>
              <w:right w:val="nil"/>
            </w:tcBorders>
            <w:shd w:val="clear" w:color="auto" w:fill="C6EFCE"/>
            <w:noWrap/>
            <w:vAlign w:val="bottom"/>
            <w:hideMark/>
          </w:tcPr>
          <w:p w14:paraId="369B345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28.80</w:t>
            </w:r>
          </w:p>
        </w:tc>
        <w:tc>
          <w:tcPr>
            <w:tcW w:w="1981" w:type="dxa"/>
            <w:tcBorders>
              <w:top w:val="nil"/>
              <w:left w:val="single" w:sz="8" w:space="0" w:color="auto"/>
              <w:bottom w:val="nil"/>
              <w:right w:val="nil"/>
            </w:tcBorders>
            <w:shd w:val="clear" w:color="auto" w:fill="C6EFCE"/>
            <w:noWrap/>
            <w:vAlign w:val="bottom"/>
            <w:hideMark/>
          </w:tcPr>
          <w:p w14:paraId="7B3356F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26.67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B9C9433"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66,SLO 67,SLO 68</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0EE719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Princess Street</w:t>
            </w:r>
          </w:p>
        </w:tc>
        <w:tc>
          <w:tcPr>
            <w:tcW w:w="2126" w:type="dxa"/>
            <w:tcBorders>
              <w:top w:val="nil"/>
              <w:left w:val="nil"/>
              <w:bottom w:val="nil"/>
              <w:right w:val="nil"/>
            </w:tcBorders>
            <w:shd w:val="clear" w:color="D9D9D9" w:fill="C6EFCE"/>
            <w:noWrap/>
            <w:vAlign w:val="bottom"/>
            <w:hideMark/>
          </w:tcPr>
          <w:p w14:paraId="1687D06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23.50</w:t>
            </w:r>
          </w:p>
        </w:tc>
        <w:tc>
          <w:tcPr>
            <w:tcW w:w="1754" w:type="dxa"/>
            <w:tcBorders>
              <w:top w:val="nil"/>
              <w:left w:val="single" w:sz="8" w:space="0" w:color="auto"/>
              <w:bottom w:val="nil"/>
              <w:right w:val="nil"/>
            </w:tcBorders>
            <w:shd w:val="clear" w:color="auto" w:fill="C6EFCE"/>
            <w:noWrap/>
            <w:vAlign w:val="bottom"/>
            <w:hideMark/>
          </w:tcPr>
          <w:p w14:paraId="735385A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27.84</w:t>
            </w:r>
          </w:p>
        </w:tc>
      </w:tr>
      <w:tr w:rsidR="001529CE" w:rsidRPr="00C77271" w14:paraId="6BEBF5D6" w14:textId="77777777" w:rsidTr="007B10BD">
        <w:trPr>
          <w:trHeight w:val="85"/>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D6AA23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12</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EDCCC5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 Windmill Bath Road</w:t>
            </w:r>
          </w:p>
        </w:tc>
        <w:tc>
          <w:tcPr>
            <w:tcW w:w="1843" w:type="dxa"/>
            <w:tcBorders>
              <w:top w:val="nil"/>
              <w:left w:val="nil"/>
              <w:bottom w:val="nil"/>
              <w:right w:val="nil"/>
            </w:tcBorders>
            <w:shd w:val="clear" w:color="auto" w:fill="C6EFCE"/>
            <w:noWrap/>
            <w:vAlign w:val="bottom"/>
            <w:hideMark/>
          </w:tcPr>
          <w:p w14:paraId="1797718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28.70</w:t>
            </w:r>
          </w:p>
        </w:tc>
        <w:tc>
          <w:tcPr>
            <w:tcW w:w="1981" w:type="dxa"/>
            <w:tcBorders>
              <w:top w:val="nil"/>
              <w:left w:val="single" w:sz="8" w:space="0" w:color="auto"/>
              <w:bottom w:val="nil"/>
              <w:right w:val="nil"/>
            </w:tcBorders>
            <w:shd w:val="clear" w:color="auto" w:fill="C6EFCE"/>
            <w:noWrap/>
            <w:vAlign w:val="bottom"/>
            <w:hideMark/>
          </w:tcPr>
          <w:p w14:paraId="27EB3F0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26.67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6DDDA7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87,SLO 88,SLO 89</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812E8C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 Windmill Bath Road</w:t>
            </w:r>
          </w:p>
        </w:tc>
        <w:tc>
          <w:tcPr>
            <w:tcW w:w="2126" w:type="dxa"/>
            <w:tcBorders>
              <w:top w:val="nil"/>
              <w:left w:val="nil"/>
              <w:bottom w:val="nil"/>
              <w:right w:val="nil"/>
            </w:tcBorders>
            <w:shd w:val="clear" w:color="000000" w:fill="C6EFCE"/>
            <w:noWrap/>
            <w:vAlign w:val="bottom"/>
            <w:hideMark/>
          </w:tcPr>
          <w:p w14:paraId="587953E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23.50</w:t>
            </w:r>
          </w:p>
        </w:tc>
        <w:tc>
          <w:tcPr>
            <w:tcW w:w="1754" w:type="dxa"/>
            <w:tcBorders>
              <w:top w:val="nil"/>
              <w:left w:val="single" w:sz="8" w:space="0" w:color="auto"/>
              <w:bottom w:val="nil"/>
              <w:right w:val="nil"/>
            </w:tcBorders>
            <w:shd w:val="clear" w:color="auto" w:fill="C6EFCE"/>
            <w:noWrap/>
            <w:vAlign w:val="bottom"/>
            <w:hideMark/>
          </w:tcPr>
          <w:p w14:paraId="419428B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28.08</w:t>
            </w:r>
          </w:p>
        </w:tc>
      </w:tr>
      <w:tr w:rsidR="001529CE" w:rsidRPr="00C77271" w14:paraId="2FB14FA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642F36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10</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180762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 Town Centre Wellington Street</w:t>
            </w:r>
          </w:p>
        </w:tc>
        <w:tc>
          <w:tcPr>
            <w:tcW w:w="1843" w:type="dxa"/>
            <w:tcBorders>
              <w:top w:val="nil"/>
              <w:left w:val="nil"/>
              <w:bottom w:val="nil"/>
              <w:right w:val="nil"/>
            </w:tcBorders>
            <w:shd w:val="clear" w:color="auto" w:fill="C6EFCE"/>
            <w:noWrap/>
            <w:vAlign w:val="bottom"/>
            <w:hideMark/>
          </w:tcPr>
          <w:p w14:paraId="1842B2A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28.30</w:t>
            </w:r>
          </w:p>
        </w:tc>
        <w:tc>
          <w:tcPr>
            <w:tcW w:w="1981" w:type="dxa"/>
            <w:tcBorders>
              <w:top w:val="nil"/>
              <w:left w:val="single" w:sz="8" w:space="0" w:color="auto"/>
              <w:bottom w:val="nil"/>
              <w:right w:val="nil"/>
            </w:tcBorders>
            <w:shd w:val="clear" w:color="auto" w:fill="C6EFCE"/>
            <w:noWrap/>
            <w:vAlign w:val="bottom"/>
            <w:hideMark/>
          </w:tcPr>
          <w:p w14:paraId="51CC98B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0C965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30</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AEFDE2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Cippenham Lane (a)</w:t>
            </w:r>
          </w:p>
        </w:tc>
        <w:tc>
          <w:tcPr>
            <w:tcW w:w="2126" w:type="dxa"/>
            <w:tcBorders>
              <w:top w:val="nil"/>
              <w:left w:val="nil"/>
              <w:bottom w:val="nil"/>
              <w:right w:val="nil"/>
            </w:tcBorders>
            <w:shd w:val="clear" w:color="D9D9D9" w:fill="C6EFCE"/>
            <w:noWrap/>
            <w:vAlign w:val="bottom"/>
            <w:hideMark/>
          </w:tcPr>
          <w:p w14:paraId="6F2B06A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23.40</w:t>
            </w:r>
          </w:p>
        </w:tc>
        <w:tc>
          <w:tcPr>
            <w:tcW w:w="1754" w:type="dxa"/>
            <w:tcBorders>
              <w:top w:val="nil"/>
              <w:left w:val="single" w:sz="8" w:space="0" w:color="auto"/>
              <w:bottom w:val="nil"/>
              <w:right w:val="nil"/>
            </w:tcBorders>
            <w:shd w:val="clear" w:color="auto" w:fill="C6EFCE"/>
            <w:noWrap/>
            <w:vAlign w:val="bottom"/>
            <w:hideMark/>
          </w:tcPr>
          <w:p w14:paraId="60AB88F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23.59</w:t>
            </w:r>
          </w:p>
        </w:tc>
      </w:tr>
      <w:tr w:rsidR="001529CE" w:rsidRPr="00C77271" w14:paraId="5048B43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049AC2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55E695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Princess Street</w:t>
            </w:r>
          </w:p>
        </w:tc>
        <w:tc>
          <w:tcPr>
            <w:tcW w:w="1843" w:type="dxa"/>
            <w:tcBorders>
              <w:top w:val="nil"/>
              <w:left w:val="nil"/>
              <w:bottom w:val="nil"/>
              <w:right w:val="nil"/>
            </w:tcBorders>
            <w:shd w:val="clear" w:color="auto" w:fill="C6EFCE"/>
            <w:noWrap/>
            <w:vAlign w:val="bottom"/>
            <w:hideMark/>
          </w:tcPr>
          <w:p w14:paraId="71FC6DF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28.30</w:t>
            </w:r>
          </w:p>
        </w:tc>
        <w:tc>
          <w:tcPr>
            <w:tcW w:w="1981" w:type="dxa"/>
            <w:tcBorders>
              <w:top w:val="nil"/>
              <w:left w:val="single" w:sz="8" w:space="0" w:color="auto"/>
              <w:bottom w:val="nil"/>
              <w:right w:val="nil"/>
            </w:tcBorders>
            <w:shd w:val="clear" w:color="auto" w:fill="C6EFCE"/>
            <w:noWrap/>
            <w:vAlign w:val="bottom"/>
            <w:hideMark/>
          </w:tcPr>
          <w:p w14:paraId="7C13BFD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29.97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CB3D24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96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997D88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Elliman Avenue (b)</w:t>
            </w:r>
          </w:p>
        </w:tc>
        <w:tc>
          <w:tcPr>
            <w:tcW w:w="2126" w:type="dxa"/>
            <w:tcBorders>
              <w:top w:val="nil"/>
              <w:left w:val="nil"/>
              <w:bottom w:val="nil"/>
              <w:right w:val="nil"/>
            </w:tcBorders>
            <w:shd w:val="clear" w:color="000000" w:fill="C6EFCE"/>
            <w:noWrap/>
            <w:vAlign w:val="bottom"/>
            <w:hideMark/>
          </w:tcPr>
          <w:p w14:paraId="115A4C8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23.10</w:t>
            </w:r>
          </w:p>
        </w:tc>
        <w:tc>
          <w:tcPr>
            <w:tcW w:w="1754" w:type="dxa"/>
            <w:tcBorders>
              <w:top w:val="nil"/>
              <w:left w:val="single" w:sz="8" w:space="0" w:color="auto"/>
              <w:bottom w:val="nil"/>
              <w:right w:val="nil"/>
            </w:tcBorders>
            <w:shd w:val="clear" w:color="auto" w:fill="008938"/>
            <w:noWrap/>
            <w:vAlign w:val="bottom"/>
            <w:hideMark/>
          </w:tcPr>
          <w:p w14:paraId="50365ADD" w14:textId="77777777" w:rsidR="001529CE" w:rsidRPr="009A5368" w:rsidRDefault="001529CE" w:rsidP="007B10BD">
            <w:pPr>
              <w:spacing w:before="0" w:line="240" w:lineRule="auto"/>
              <w:jc w:val="center"/>
              <w:rPr>
                <w:rFonts w:cs="Arial"/>
                <w:sz w:val="16"/>
                <w:szCs w:val="16"/>
                <w:lang w:eastAsia="en-GB"/>
              </w:rPr>
            </w:pPr>
            <w:r w:rsidRPr="000E7A4C">
              <w:rPr>
                <w:rFonts w:cs="Arial"/>
                <w:color w:val="FFFFFF" w:themeColor="background1"/>
                <w:sz w:val="16"/>
                <w:szCs w:val="16"/>
              </w:rPr>
              <w:t>19.72</w:t>
            </w:r>
          </w:p>
        </w:tc>
      </w:tr>
      <w:tr w:rsidR="001529CE" w:rsidRPr="00C77271" w14:paraId="76E53A7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0376DD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17</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97D973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Horton Road (Caravan Park)</w:t>
            </w:r>
          </w:p>
        </w:tc>
        <w:tc>
          <w:tcPr>
            <w:tcW w:w="1843" w:type="dxa"/>
            <w:tcBorders>
              <w:top w:val="nil"/>
              <w:left w:val="nil"/>
              <w:bottom w:val="nil"/>
              <w:right w:val="nil"/>
            </w:tcBorders>
            <w:shd w:val="clear" w:color="auto" w:fill="C6EFCE"/>
            <w:noWrap/>
            <w:vAlign w:val="bottom"/>
            <w:hideMark/>
          </w:tcPr>
          <w:p w14:paraId="221FD99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28.30</w:t>
            </w:r>
          </w:p>
        </w:tc>
        <w:tc>
          <w:tcPr>
            <w:tcW w:w="1981" w:type="dxa"/>
            <w:tcBorders>
              <w:top w:val="nil"/>
              <w:left w:val="single" w:sz="8" w:space="0" w:color="auto"/>
              <w:bottom w:val="nil"/>
              <w:right w:val="nil"/>
            </w:tcBorders>
            <w:shd w:val="clear" w:color="D9D9D9" w:fill="C6EFCE"/>
            <w:noWrap/>
            <w:vAlign w:val="bottom"/>
            <w:hideMark/>
          </w:tcPr>
          <w:p w14:paraId="3AEBA5A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26.60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D3E3CF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39</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7B6FA3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Grampian Way</w:t>
            </w:r>
          </w:p>
        </w:tc>
        <w:tc>
          <w:tcPr>
            <w:tcW w:w="2126" w:type="dxa"/>
            <w:tcBorders>
              <w:top w:val="nil"/>
              <w:left w:val="nil"/>
              <w:bottom w:val="nil"/>
              <w:right w:val="nil"/>
            </w:tcBorders>
            <w:shd w:val="clear" w:color="D9D9D9" w:fill="C6EFCE"/>
            <w:noWrap/>
            <w:vAlign w:val="bottom"/>
            <w:hideMark/>
          </w:tcPr>
          <w:p w14:paraId="21AA32A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22.90</w:t>
            </w:r>
          </w:p>
        </w:tc>
        <w:tc>
          <w:tcPr>
            <w:tcW w:w="1754" w:type="dxa"/>
            <w:tcBorders>
              <w:top w:val="nil"/>
              <w:left w:val="single" w:sz="8" w:space="0" w:color="auto"/>
              <w:bottom w:val="nil"/>
              <w:right w:val="nil"/>
            </w:tcBorders>
            <w:shd w:val="clear" w:color="D9D9D9" w:fill="C6EFCE"/>
            <w:noWrap/>
            <w:vAlign w:val="bottom"/>
            <w:hideMark/>
          </w:tcPr>
          <w:p w14:paraId="1965F14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24.89</w:t>
            </w:r>
          </w:p>
        </w:tc>
      </w:tr>
      <w:tr w:rsidR="001529CE" w:rsidRPr="00C77271" w14:paraId="4B7C3245"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30161C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49</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7116BC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Windsor Road (B)</w:t>
            </w:r>
          </w:p>
        </w:tc>
        <w:tc>
          <w:tcPr>
            <w:tcW w:w="1843" w:type="dxa"/>
            <w:tcBorders>
              <w:top w:val="nil"/>
              <w:left w:val="nil"/>
              <w:bottom w:val="nil"/>
              <w:right w:val="nil"/>
            </w:tcBorders>
            <w:shd w:val="clear" w:color="auto" w:fill="C6EFCE"/>
            <w:noWrap/>
            <w:vAlign w:val="bottom"/>
            <w:hideMark/>
          </w:tcPr>
          <w:p w14:paraId="7261AD7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28.20</w:t>
            </w:r>
          </w:p>
        </w:tc>
        <w:tc>
          <w:tcPr>
            <w:tcW w:w="1981" w:type="dxa"/>
            <w:tcBorders>
              <w:top w:val="nil"/>
              <w:left w:val="single" w:sz="8" w:space="0" w:color="auto"/>
              <w:bottom w:val="nil"/>
              <w:right w:val="nil"/>
            </w:tcBorders>
            <w:shd w:val="clear" w:color="auto" w:fill="C6EFCE"/>
            <w:noWrap/>
            <w:vAlign w:val="bottom"/>
            <w:hideMark/>
          </w:tcPr>
          <w:p w14:paraId="2849140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26.02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6927AB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13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C7A38A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Elliman Avenue (a)</w:t>
            </w:r>
          </w:p>
        </w:tc>
        <w:tc>
          <w:tcPr>
            <w:tcW w:w="2126" w:type="dxa"/>
            <w:tcBorders>
              <w:top w:val="nil"/>
              <w:left w:val="nil"/>
              <w:bottom w:val="nil"/>
              <w:right w:val="nil"/>
            </w:tcBorders>
            <w:shd w:val="clear" w:color="000000" w:fill="C6EFCE"/>
            <w:noWrap/>
            <w:vAlign w:val="bottom"/>
            <w:hideMark/>
          </w:tcPr>
          <w:p w14:paraId="47DB989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22.70</w:t>
            </w:r>
          </w:p>
        </w:tc>
        <w:tc>
          <w:tcPr>
            <w:tcW w:w="1754" w:type="dxa"/>
            <w:tcBorders>
              <w:top w:val="nil"/>
              <w:left w:val="single" w:sz="8" w:space="0" w:color="auto"/>
              <w:bottom w:val="nil"/>
              <w:right w:val="nil"/>
            </w:tcBorders>
            <w:shd w:val="clear" w:color="auto" w:fill="C6EFCE"/>
            <w:noWrap/>
            <w:vAlign w:val="bottom"/>
            <w:hideMark/>
          </w:tcPr>
          <w:p w14:paraId="4E7A78E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27.65</w:t>
            </w:r>
          </w:p>
        </w:tc>
      </w:tr>
      <w:tr w:rsidR="001529CE" w:rsidRPr="00C77271" w14:paraId="6B2FB57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6A1556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115</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657716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Elliman Avenue (b)</w:t>
            </w:r>
          </w:p>
        </w:tc>
        <w:tc>
          <w:tcPr>
            <w:tcW w:w="1843" w:type="dxa"/>
            <w:tcBorders>
              <w:top w:val="nil"/>
              <w:left w:val="nil"/>
              <w:bottom w:val="nil"/>
              <w:right w:val="nil"/>
            </w:tcBorders>
            <w:shd w:val="clear" w:color="auto" w:fill="C6EFCE"/>
            <w:noWrap/>
            <w:vAlign w:val="bottom"/>
            <w:hideMark/>
          </w:tcPr>
          <w:p w14:paraId="03A6031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28.00</w:t>
            </w:r>
          </w:p>
        </w:tc>
        <w:tc>
          <w:tcPr>
            <w:tcW w:w="1981" w:type="dxa"/>
            <w:tcBorders>
              <w:top w:val="nil"/>
              <w:left w:val="single" w:sz="8" w:space="0" w:color="auto"/>
              <w:bottom w:val="nil"/>
              <w:right w:val="nil"/>
            </w:tcBorders>
            <w:shd w:val="clear" w:color="auto" w:fill="C6EFCE"/>
            <w:noWrap/>
            <w:vAlign w:val="bottom"/>
            <w:hideMark/>
          </w:tcPr>
          <w:p w14:paraId="12D1433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22.14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10BDE1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75,SLO 76,SLO 77</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F52B9D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 xml:space="preserve">Blair Road </w:t>
            </w:r>
            <w:r>
              <w:rPr>
                <w:rFonts w:cs="Arial"/>
                <w:sz w:val="16"/>
                <w:szCs w:val="16"/>
              </w:rPr>
              <w:t>–</w:t>
            </w:r>
            <w:r w:rsidRPr="009A5368">
              <w:rPr>
                <w:rFonts w:cs="Arial"/>
                <w:sz w:val="16"/>
                <w:szCs w:val="16"/>
              </w:rPr>
              <w:t xml:space="preserve"> Victoria Court</w:t>
            </w:r>
          </w:p>
        </w:tc>
        <w:tc>
          <w:tcPr>
            <w:tcW w:w="2126" w:type="dxa"/>
            <w:tcBorders>
              <w:top w:val="nil"/>
              <w:left w:val="nil"/>
              <w:bottom w:val="nil"/>
              <w:right w:val="nil"/>
            </w:tcBorders>
            <w:shd w:val="clear" w:color="D9D9D9" w:fill="C6EFCE"/>
            <w:noWrap/>
            <w:vAlign w:val="bottom"/>
            <w:hideMark/>
          </w:tcPr>
          <w:p w14:paraId="63AF74F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22.60</w:t>
            </w:r>
          </w:p>
        </w:tc>
        <w:tc>
          <w:tcPr>
            <w:tcW w:w="1754" w:type="dxa"/>
            <w:tcBorders>
              <w:top w:val="nil"/>
              <w:left w:val="single" w:sz="8" w:space="0" w:color="auto"/>
              <w:bottom w:val="nil"/>
              <w:right w:val="nil"/>
            </w:tcBorders>
            <w:shd w:val="clear" w:color="D9D9D9" w:fill="C6EFCE"/>
            <w:noWrap/>
            <w:vAlign w:val="bottom"/>
            <w:hideMark/>
          </w:tcPr>
          <w:p w14:paraId="5D28396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27.52</w:t>
            </w:r>
          </w:p>
        </w:tc>
      </w:tr>
      <w:tr w:rsidR="001529CE" w:rsidRPr="00C77271" w14:paraId="00AD3E35"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0511F73"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122</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3303F7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Cippenham Lane (a)</w:t>
            </w:r>
          </w:p>
        </w:tc>
        <w:tc>
          <w:tcPr>
            <w:tcW w:w="1843" w:type="dxa"/>
            <w:tcBorders>
              <w:top w:val="nil"/>
              <w:left w:val="nil"/>
              <w:bottom w:val="nil"/>
              <w:right w:val="nil"/>
            </w:tcBorders>
            <w:shd w:val="clear" w:color="auto" w:fill="C6EFCE"/>
            <w:noWrap/>
            <w:vAlign w:val="bottom"/>
            <w:hideMark/>
          </w:tcPr>
          <w:p w14:paraId="4CFEA28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28.00</w:t>
            </w:r>
          </w:p>
        </w:tc>
        <w:tc>
          <w:tcPr>
            <w:tcW w:w="1981" w:type="dxa"/>
            <w:tcBorders>
              <w:top w:val="nil"/>
              <w:left w:val="single" w:sz="8" w:space="0" w:color="auto"/>
              <w:bottom w:val="nil"/>
              <w:right w:val="nil"/>
            </w:tcBorders>
            <w:shd w:val="clear" w:color="000000" w:fill="C6EFCE"/>
            <w:noWrap/>
            <w:vAlign w:val="bottom"/>
            <w:hideMark/>
          </w:tcPr>
          <w:p w14:paraId="5FADCBA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22.36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96B228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38</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E198DB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Oatlands Drive (a)</w:t>
            </w:r>
          </w:p>
        </w:tc>
        <w:tc>
          <w:tcPr>
            <w:tcW w:w="2126" w:type="dxa"/>
            <w:tcBorders>
              <w:top w:val="nil"/>
              <w:left w:val="nil"/>
              <w:bottom w:val="nil"/>
              <w:right w:val="nil"/>
            </w:tcBorders>
            <w:shd w:val="clear" w:color="000000" w:fill="C6EFCE"/>
            <w:noWrap/>
            <w:vAlign w:val="bottom"/>
            <w:hideMark/>
          </w:tcPr>
          <w:p w14:paraId="055E36B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22.40</w:t>
            </w:r>
          </w:p>
        </w:tc>
        <w:tc>
          <w:tcPr>
            <w:tcW w:w="1754" w:type="dxa"/>
            <w:tcBorders>
              <w:top w:val="nil"/>
              <w:left w:val="single" w:sz="8" w:space="0" w:color="auto"/>
              <w:bottom w:val="nil"/>
              <w:right w:val="nil"/>
            </w:tcBorders>
            <w:shd w:val="clear" w:color="auto" w:fill="C6EFCE"/>
            <w:noWrap/>
            <w:vAlign w:val="bottom"/>
            <w:hideMark/>
          </w:tcPr>
          <w:p w14:paraId="0A65DBC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24.54</w:t>
            </w:r>
          </w:p>
        </w:tc>
      </w:tr>
      <w:tr w:rsidR="001529CE" w:rsidRPr="00C77271" w14:paraId="27C8268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13833B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8</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4250A1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Grampian Way</w:t>
            </w:r>
          </w:p>
        </w:tc>
        <w:tc>
          <w:tcPr>
            <w:tcW w:w="1843" w:type="dxa"/>
            <w:tcBorders>
              <w:top w:val="nil"/>
              <w:left w:val="nil"/>
              <w:bottom w:val="nil"/>
              <w:right w:val="nil"/>
            </w:tcBorders>
            <w:shd w:val="clear" w:color="auto" w:fill="C6EFCE"/>
            <w:noWrap/>
            <w:vAlign w:val="bottom"/>
            <w:hideMark/>
          </w:tcPr>
          <w:p w14:paraId="0C00D71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27.80</w:t>
            </w:r>
          </w:p>
        </w:tc>
        <w:tc>
          <w:tcPr>
            <w:tcW w:w="1981" w:type="dxa"/>
            <w:tcBorders>
              <w:top w:val="nil"/>
              <w:left w:val="single" w:sz="8" w:space="0" w:color="auto"/>
              <w:bottom w:val="nil"/>
              <w:right w:val="nil"/>
            </w:tcBorders>
            <w:shd w:val="clear" w:color="auto" w:fill="C6EFCE"/>
            <w:noWrap/>
            <w:vAlign w:val="bottom"/>
            <w:hideMark/>
          </w:tcPr>
          <w:p w14:paraId="1747FDB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28.62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FDDE0D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E084C0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Langley Road</w:t>
            </w:r>
          </w:p>
        </w:tc>
        <w:tc>
          <w:tcPr>
            <w:tcW w:w="2126" w:type="dxa"/>
            <w:tcBorders>
              <w:top w:val="nil"/>
              <w:left w:val="nil"/>
              <w:bottom w:val="nil"/>
              <w:right w:val="nil"/>
            </w:tcBorders>
            <w:shd w:val="clear" w:color="D9D9D9" w:fill="C6EFCE"/>
            <w:noWrap/>
            <w:vAlign w:val="bottom"/>
            <w:hideMark/>
          </w:tcPr>
          <w:p w14:paraId="5F595A2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22.20</w:t>
            </w:r>
          </w:p>
        </w:tc>
        <w:tc>
          <w:tcPr>
            <w:tcW w:w="1754" w:type="dxa"/>
            <w:tcBorders>
              <w:top w:val="nil"/>
              <w:left w:val="single" w:sz="8" w:space="0" w:color="auto"/>
              <w:bottom w:val="nil"/>
              <w:right w:val="nil"/>
            </w:tcBorders>
            <w:shd w:val="clear" w:color="auto" w:fill="C6EFCE"/>
            <w:noWrap/>
            <w:vAlign w:val="bottom"/>
            <w:hideMark/>
          </w:tcPr>
          <w:p w14:paraId="01E420B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28.54</w:t>
            </w:r>
          </w:p>
        </w:tc>
      </w:tr>
      <w:tr w:rsidR="001529CE" w:rsidRPr="00C77271" w14:paraId="3F1C5D8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47B1AA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114</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1B9808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Elliman Avenue (a)</w:t>
            </w:r>
          </w:p>
        </w:tc>
        <w:tc>
          <w:tcPr>
            <w:tcW w:w="1843" w:type="dxa"/>
            <w:tcBorders>
              <w:top w:val="nil"/>
              <w:left w:val="nil"/>
              <w:bottom w:val="nil"/>
              <w:right w:val="nil"/>
            </w:tcBorders>
            <w:shd w:val="clear" w:color="auto" w:fill="C6EFCE"/>
            <w:noWrap/>
            <w:vAlign w:val="bottom"/>
            <w:hideMark/>
          </w:tcPr>
          <w:p w14:paraId="0485C14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27.30</w:t>
            </w:r>
          </w:p>
        </w:tc>
        <w:tc>
          <w:tcPr>
            <w:tcW w:w="1981" w:type="dxa"/>
            <w:tcBorders>
              <w:top w:val="nil"/>
              <w:left w:val="single" w:sz="8" w:space="0" w:color="auto"/>
              <w:bottom w:val="nil"/>
              <w:right w:val="nil"/>
            </w:tcBorders>
            <w:shd w:val="clear" w:color="000000" w:fill="C6EFCE"/>
            <w:noWrap/>
            <w:vAlign w:val="bottom"/>
            <w:hideMark/>
          </w:tcPr>
          <w:p w14:paraId="1A544D4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23.16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F268FF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32</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56EB0E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Chalvey Road East (a)</w:t>
            </w:r>
          </w:p>
        </w:tc>
        <w:tc>
          <w:tcPr>
            <w:tcW w:w="2126" w:type="dxa"/>
            <w:tcBorders>
              <w:top w:val="nil"/>
              <w:left w:val="nil"/>
              <w:bottom w:val="nil"/>
              <w:right w:val="nil"/>
            </w:tcBorders>
            <w:shd w:val="clear" w:color="000000" w:fill="C6EFCE"/>
            <w:noWrap/>
            <w:vAlign w:val="bottom"/>
            <w:hideMark/>
          </w:tcPr>
          <w:p w14:paraId="32857F8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22.20</w:t>
            </w:r>
          </w:p>
        </w:tc>
        <w:tc>
          <w:tcPr>
            <w:tcW w:w="1754" w:type="dxa"/>
            <w:tcBorders>
              <w:top w:val="nil"/>
              <w:left w:val="single" w:sz="8" w:space="0" w:color="auto"/>
              <w:bottom w:val="nil"/>
              <w:right w:val="nil"/>
            </w:tcBorders>
            <w:shd w:val="clear" w:color="000000" w:fill="C6EFCE"/>
            <w:noWrap/>
            <w:vAlign w:val="bottom"/>
            <w:hideMark/>
          </w:tcPr>
          <w:p w14:paraId="4679862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21.56</w:t>
            </w:r>
          </w:p>
        </w:tc>
      </w:tr>
      <w:tr w:rsidR="001529CE" w:rsidRPr="00C77271" w14:paraId="4C3DE9E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E3D22A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37</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A67C20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 xml:space="preserve">Blair Road </w:t>
            </w:r>
            <w:r>
              <w:rPr>
                <w:rFonts w:cs="Arial"/>
                <w:sz w:val="16"/>
                <w:szCs w:val="16"/>
              </w:rPr>
              <w:t>–</w:t>
            </w:r>
            <w:r w:rsidRPr="009A5368">
              <w:rPr>
                <w:rFonts w:cs="Arial"/>
                <w:sz w:val="16"/>
                <w:szCs w:val="16"/>
              </w:rPr>
              <w:t xml:space="preserve"> Victoria Court</w:t>
            </w:r>
          </w:p>
        </w:tc>
        <w:tc>
          <w:tcPr>
            <w:tcW w:w="1843" w:type="dxa"/>
            <w:tcBorders>
              <w:top w:val="nil"/>
              <w:left w:val="nil"/>
              <w:bottom w:val="nil"/>
              <w:right w:val="nil"/>
            </w:tcBorders>
            <w:shd w:val="clear" w:color="auto" w:fill="C6EFCE"/>
            <w:noWrap/>
            <w:vAlign w:val="bottom"/>
            <w:hideMark/>
          </w:tcPr>
          <w:p w14:paraId="098C54F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27.10</w:t>
            </w:r>
          </w:p>
        </w:tc>
        <w:tc>
          <w:tcPr>
            <w:tcW w:w="1981" w:type="dxa"/>
            <w:tcBorders>
              <w:top w:val="nil"/>
              <w:left w:val="single" w:sz="8" w:space="0" w:color="auto"/>
              <w:bottom w:val="nil"/>
              <w:right w:val="nil"/>
            </w:tcBorders>
            <w:shd w:val="clear" w:color="D9D9D9" w:fill="C6EFCE"/>
            <w:noWrap/>
            <w:vAlign w:val="bottom"/>
            <w:hideMark/>
          </w:tcPr>
          <w:p w14:paraId="67A3BB2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25.21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F4FAEF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EF7435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Elbow Meadows</w:t>
            </w:r>
          </w:p>
        </w:tc>
        <w:tc>
          <w:tcPr>
            <w:tcW w:w="2126" w:type="dxa"/>
            <w:tcBorders>
              <w:top w:val="nil"/>
              <w:left w:val="nil"/>
              <w:bottom w:val="nil"/>
              <w:right w:val="nil"/>
            </w:tcBorders>
            <w:shd w:val="clear" w:color="D9D9D9" w:fill="C6EFCE"/>
            <w:noWrap/>
            <w:vAlign w:val="bottom"/>
            <w:hideMark/>
          </w:tcPr>
          <w:p w14:paraId="6EDF611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21.90</w:t>
            </w:r>
          </w:p>
        </w:tc>
        <w:tc>
          <w:tcPr>
            <w:tcW w:w="1754" w:type="dxa"/>
            <w:tcBorders>
              <w:top w:val="nil"/>
              <w:left w:val="single" w:sz="8" w:space="0" w:color="auto"/>
              <w:bottom w:val="nil"/>
              <w:right w:val="nil"/>
            </w:tcBorders>
            <w:shd w:val="clear" w:color="auto" w:fill="C6EFCE"/>
            <w:noWrap/>
            <w:vAlign w:val="bottom"/>
            <w:hideMark/>
          </w:tcPr>
          <w:p w14:paraId="0A9D366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24.40</w:t>
            </w:r>
          </w:p>
        </w:tc>
      </w:tr>
      <w:tr w:rsidR="001529CE" w:rsidRPr="00C77271" w14:paraId="6FDA6BD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E43623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112</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A1BB843"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Oatlands Drive (a)</w:t>
            </w:r>
          </w:p>
        </w:tc>
        <w:tc>
          <w:tcPr>
            <w:tcW w:w="1843" w:type="dxa"/>
            <w:tcBorders>
              <w:top w:val="nil"/>
              <w:left w:val="nil"/>
              <w:bottom w:val="nil"/>
              <w:right w:val="nil"/>
            </w:tcBorders>
            <w:shd w:val="clear" w:color="auto" w:fill="C6EFCE"/>
            <w:noWrap/>
            <w:vAlign w:val="bottom"/>
            <w:hideMark/>
          </w:tcPr>
          <w:p w14:paraId="1478CBE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26.80</w:t>
            </w:r>
          </w:p>
        </w:tc>
        <w:tc>
          <w:tcPr>
            <w:tcW w:w="1981" w:type="dxa"/>
            <w:tcBorders>
              <w:top w:val="nil"/>
              <w:left w:val="single" w:sz="8" w:space="0" w:color="auto"/>
              <w:bottom w:val="nil"/>
              <w:right w:val="nil"/>
            </w:tcBorders>
            <w:shd w:val="clear" w:color="000000" w:fill="C6EFCE"/>
            <w:noWrap/>
            <w:vAlign w:val="bottom"/>
            <w:hideMark/>
          </w:tcPr>
          <w:p w14:paraId="7933A74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20.71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DA5FFE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4570CF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Torridge Road</w:t>
            </w:r>
          </w:p>
        </w:tc>
        <w:tc>
          <w:tcPr>
            <w:tcW w:w="2126" w:type="dxa"/>
            <w:tcBorders>
              <w:top w:val="nil"/>
              <w:left w:val="nil"/>
              <w:bottom w:val="nil"/>
              <w:right w:val="nil"/>
            </w:tcBorders>
            <w:shd w:val="clear" w:color="000000" w:fill="C6EFCE"/>
            <w:noWrap/>
            <w:vAlign w:val="bottom"/>
            <w:hideMark/>
          </w:tcPr>
          <w:p w14:paraId="4A996DF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21.70</w:t>
            </w:r>
          </w:p>
        </w:tc>
        <w:tc>
          <w:tcPr>
            <w:tcW w:w="1754" w:type="dxa"/>
            <w:tcBorders>
              <w:top w:val="nil"/>
              <w:left w:val="single" w:sz="8" w:space="0" w:color="auto"/>
              <w:bottom w:val="nil"/>
              <w:right w:val="nil"/>
            </w:tcBorders>
            <w:shd w:val="clear" w:color="000000" w:fill="C6EFCE"/>
            <w:noWrap/>
            <w:vAlign w:val="bottom"/>
            <w:hideMark/>
          </w:tcPr>
          <w:p w14:paraId="7B1BAD7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27.01</w:t>
            </w:r>
          </w:p>
        </w:tc>
      </w:tr>
      <w:tr w:rsidR="001529CE" w:rsidRPr="00C77271" w14:paraId="32C9549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9673D1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51</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8A07C0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Langley Road</w:t>
            </w:r>
          </w:p>
        </w:tc>
        <w:tc>
          <w:tcPr>
            <w:tcW w:w="1843" w:type="dxa"/>
            <w:tcBorders>
              <w:top w:val="nil"/>
              <w:left w:val="nil"/>
              <w:bottom w:val="nil"/>
              <w:right w:val="nil"/>
            </w:tcBorders>
            <w:shd w:val="clear" w:color="auto" w:fill="C6EFCE"/>
            <w:noWrap/>
            <w:vAlign w:val="bottom"/>
            <w:hideMark/>
          </w:tcPr>
          <w:p w14:paraId="3FC38B2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26.70</w:t>
            </w:r>
          </w:p>
        </w:tc>
        <w:tc>
          <w:tcPr>
            <w:tcW w:w="1981" w:type="dxa"/>
            <w:tcBorders>
              <w:top w:val="nil"/>
              <w:left w:val="single" w:sz="8" w:space="0" w:color="auto"/>
              <w:bottom w:val="nil"/>
              <w:right w:val="nil"/>
            </w:tcBorders>
            <w:shd w:val="clear" w:color="D9D9D9" w:fill="C6EFCE"/>
            <w:noWrap/>
            <w:vAlign w:val="bottom"/>
            <w:hideMark/>
          </w:tcPr>
          <w:p w14:paraId="4BBE83B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23.98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6D05C9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24</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27E28BC"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Chalvey Road East (b)</w:t>
            </w:r>
          </w:p>
        </w:tc>
        <w:tc>
          <w:tcPr>
            <w:tcW w:w="2126" w:type="dxa"/>
            <w:tcBorders>
              <w:top w:val="nil"/>
              <w:left w:val="nil"/>
              <w:bottom w:val="nil"/>
              <w:right w:val="nil"/>
            </w:tcBorders>
            <w:shd w:val="clear" w:color="D9D9D9" w:fill="C6EFCE"/>
            <w:noWrap/>
            <w:vAlign w:val="bottom"/>
            <w:hideMark/>
          </w:tcPr>
          <w:p w14:paraId="1CEDA07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21.40</w:t>
            </w:r>
          </w:p>
        </w:tc>
        <w:tc>
          <w:tcPr>
            <w:tcW w:w="1754" w:type="dxa"/>
            <w:tcBorders>
              <w:top w:val="nil"/>
              <w:left w:val="single" w:sz="8" w:space="0" w:color="auto"/>
              <w:bottom w:val="nil"/>
              <w:right w:val="nil"/>
            </w:tcBorders>
            <w:shd w:val="clear" w:color="auto" w:fill="C6EFCE"/>
            <w:noWrap/>
            <w:vAlign w:val="bottom"/>
            <w:hideMark/>
          </w:tcPr>
          <w:p w14:paraId="6332E6B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25.98</w:t>
            </w:r>
          </w:p>
        </w:tc>
      </w:tr>
      <w:tr w:rsidR="001529CE" w:rsidRPr="00C77271" w14:paraId="1CDCDA2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0BE1BF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118</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8438BA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Chalvey Road East (a)</w:t>
            </w:r>
          </w:p>
        </w:tc>
        <w:tc>
          <w:tcPr>
            <w:tcW w:w="1843" w:type="dxa"/>
            <w:tcBorders>
              <w:top w:val="nil"/>
              <w:left w:val="nil"/>
              <w:bottom w:val="nil"/>
              <w:right w:val="nil"/>
            </w:tcBorders>
            <w:shd w:val="clear" w:color="auto" w:fill="C6EFCE"/>
            <w:noWrap/>
            <w:vAlign w:val="bottom"/>
            <w:hideMark/>
          </w:tcPr>
          <w:p w14:paraId="6252477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26.40</w:t>
            </w:r>
          </w:p>
        </w:tc>
        <w:tc>
          <w:tcPr>
            <w:tcW w:w="1981" w:type="dxa"/>
            <w:tcBorders>
              <w:top w:val="nil"/>
              <w:left w:val="single" w:sz="8" w:space="0" w:color="auto"/>
              <w:bottom w:val="nil"/>
              <w:right w:val="nil"/>
            </w:tcBorders>
            <w:shd w:val="clear" w:color="auto" w:fill="C6EFCE"/>
            <w:noWrap/>
            <w:vAlign w:val="bottom"/>
            <w:hideMark/>
          </w:tcPr>
          <w:p w14:paraId="098D3F82"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22.04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ACA2171"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7719CE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Windmill (Bath Rd)</w:t>
            </w:r>
          </w:p>
        </w:tc>
        <w:tc>
          <w:tcPr>
            <w:tcW w:w="2126" w:type="dxa"/>
            <w:tcBorders>
              <w:top w:val="nil"/>
              <w:left w:val="nil"/>
              <w:bottom w:val="nil"/>
              <w:right w:val="nil"/>
            </w:tcBorders>
            <w:shd w:val="clear" w:color="000000" w:fill="C6EFCE"/>
            <w:noWrap/>
            <w:vAlign w:val="bottom"/>
            <w:hideMark/>
          </w:tcPr>
          <w:p w14:paraId="2C9D343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21.30</w:t>
            </w:r>
          </w:p>
        </w:tc>
        <w:tc>
          <w:tcPr>
            <w:tcW w:w="1754" w:type="dxa"/>
            <w:tcBorders>
              <w:top w:val="nil"/>
              <w:left w:val="single" w:sz="8" w:space="0" w:color="auto"/>
              <w:bottom w:val="nil"/>
              <w:right w:val="nil"/>
            </w:tcBorders>
            <w:shd w:val="clear" w:color="auto" w:fill="C6EFCE"/>
            <w:noWrap/>
            <w:vAlign w:val="bottom"/>
            <w:hideMark/>
          </w:tcPr>
          <w:p w14:paraId="25E9FEB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26.19</w:t>
            </w:r>
          </w:p>
        </w:tc>
      </w:tr>
      <w:tr w:rsidR="001529CE" w:rsidRPr="00C77271" w14:paraId="370CBD8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FA96AF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119</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17AA34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Chalvey Road East (b)</w:t>
            </w:r>
          </w:p>
        </w:tc>
        <w:tc>
          <w:tcPr>
            <w:tcW w:w="1843" w:type="dxa"/>
            <w:tcBorders>
              <w:top w:val="nil"/>
              <w:left w:val="nil"/>
              <w:bottom w:val="nil"/>
              <w:right w:val="nil"/>
            </w:tcBorders>
            <w:shd w:val="clear" w:color="auto" w:fill="C6EFCE"/>
            <w:noWrap/>
            <w:vAlign w:val="bottom"/>
            <w:hideMark/>
          </w:tcPr>
          <w:p w14:paraId="58D6070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25.80</w:t>
            </w:r>
          </w:p>
        </w:tc>
        <w:tc>
          <w:tcPr>
            <w:tcW w:w="1981" w:type="dxa"/>
            <w:tcBorders>
              <w:top w:val="nil"/>
              <w:left w:val="single" w:sz="8" w:space="0" w:color="auto"/>
              <w:bottom w:val="nil"/>
              <w:right w:val="nil"/>
            </w:tcBorders>
            <w:shd w:val="clear" w:color="D9D9D9" w:fill="C6EFCE"/>
            <w:noWrap/>
            <w:vAlign w:val="bottom"/>
            <w:hideMark/>
          </w:tcPr>
          <w:p w14:paraId="25D8482D"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21.22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555A0D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93,SLO 94,SLO 95</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109392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High Street Langley (B)</w:t>
            </w:r>
          </w:p>
        </w:tc>
        <w:tc>
          <w:tcPr>
            <w:tcW w:w="2126" w:type="dxa"/>
            <w:tcBorders>
              <w:top w:val="nil"/>
              <w:left w:val="nil"/>
              <w:bottom w:val="nil"/>
              <w:right w:val="nil"/>
            </w:tcBorders>
            <w:shd w:val="clear" w:color="D9D9D9" w:fill="C6EFCE"/>
            <w:noWrap/>
            <w:vAlign w:val="bottom"/>
            <w:hideMark/>
          </w:tcPr>
          <w:p w14:paraId="09E2FC4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21.20</w:t>
            </w:r>
          </w:p>
        </w:tc>
        <w:tc>
          <w:tcPr>
            <w:tcW w:w="1754" w:type="dxa"/>
            <w:tcBorders>
              <w:top w:val="nil"/>
              <w:left w:val="single" w:sz="8" w:space="0" w:color="auto"/>
              <w:bottom w:val="nil"/>
              <w:right w:val="nil"/>
            </w:tcBorders>
            <w:shd w:val="clear" w:color="auto" w:fill="FFFF00"/>
            <w:noWrap/>
            <w:vAlign w:val="bottom"/>
            <w:hideMark/>
          </w:tcPr>
          <w:p w14:paraId="63F487D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33.37</w:t>
            </w:r>
          </w:p>
        </w:tc>
      </w:tr>
      <w:tr w:rsidR="001529CE" w:rsidRPr="00C77271" w14:paraId="0B79188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ECF4C7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43</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1B45C9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Windmill (Bath Rd)</w:t>
            </w:r>
          </w:p>
        </w:tc>
        <w:tc>
          <w:tcPr>
            <w:tcW w:w="1843" w:type="dxa"/>
            <w:tcBorders>
              <w:top w:val="nil"/>
              <w:left w:val="nil"/>
              <w:bottom w:val="nil"/>
              <w:right w:val="nil"/>
            </w:tcBorders>
            <w:shd w:val="clear" w:color="auto" w:fill="C6EFCE"/>
            <w:noWrap/>
            <w:vAlign w:val="bottom"/>
            <w:hideMark/>
          </w:tcPr>
          <w:p w14:paraId="2F503EDB"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25.60</w:t>
            </w:r>
          </w:p>
        </w:tc>
        <w:tc>
          <w:tcPr>
            <w:tcW w:w="1981" w:type="dxa"/>
            <w:tcBorders>
              <w:top w:val="nil"/>
              <w:left w:val="single" w:sz="8" w:space="0" w:color="auto"/>
              <w:bottom w:val="nil"/>
              <w:right w:val="nil"/>
            </w:tcBorders>
            <w:shd w:val="clear" w:color="auto" w:fill="C6EFCE"/>
            <w:noWrap/>
            <w:vAlign w:val="bottom"/>
            <w:hideMark/>
          </w:tcPr>
          <w:p w14:paraId="34882E1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25.26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75D6D6A"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63B70C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Slough-Colnbrook-(Pippins)</w:t>
            </w:r>
          </w:p>
        </w:tc>
        <w:tc>
          <w:tcPr>
            <w:tcW w:w="2126" w:type="dxa"/>
            <w:tcBorders>
              <w:top w:val="nil"/>
              <w:left w:val="nil"/>
              <w:bottom w:val="nil"/>
              <w:right w:val="nil"/>
            </w:tcBorders>
            <w:shd w:val="clear" w:color="000000" w:fill="C6EFCE"/>
            <w:noWrap/>
            <w:vAlign w:val="bottom"/>
            <w:hideMark/>
          </w:tcPr>
          <w:p w14:paraId="316219A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21.10</w:t>
            </w:r>
          </w:p>
        </w:tc>
        <w:tc>
          <w:tcPr>
            <w:tcW w:w="1754" w:type="dxa"/>
            <w:tcBorders>
              <w:top w:val="nil"/>
              <w:left w:val="single" w:sz="8" w:space="0" w:color="auto"/>
              <w:bottom w:val="nil"/>
              <w:right w:val="nil"/>
            </w:tcBorders>
            <w:shd w:val="clear" w:color="auto" w:fill="008938"/>
            <w:noWrap/>
            <w:vAlign w:val="bottom"/>
            <w:hideMark/>
          </w:tcPr>
          <w:p w14:paraId="1B7FA8BD" w14:textId="77777777" w:rsidR="001529CE" w:rsidRPr="009A5368" w:rsidRDefault="001529CE" w:rsidP="007B10BD">
            <w:pPr>
              <w:spacing w:before="0" w:line="240" w:lineRule="auto"/>
              <w:jc w:val="center"/>
              <w:rPr>
                <w:rFonts w:cs="Arial"/>
                <w:sz w:val="16"/>
                <w:szCs w:val="16"/>
                <w:lang w:eastAsia="en-GB"/>
              </w:rPr>
            </w:pPr>
            <w:r w:rsidRPr="000E7A4C">
              <w:rPr>
                <w:rFonts w:cs="Arial"/>
                <w:color w:val="FFFFFF" w:themeColor="background1"/>
                <w:sz w:val="16"/>
                <w:szCs w:val="16"/>
              </w:rPr>
              <w:t>14.95</w:t>
            </w:r>
          </w:p>
        </w:tc>
      </w:tr>
      <w:tr w:rsidR="001529CE" w:rsidRPr="00C77271" w14:paraId="21B809D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FAFB46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54</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2A8FC2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High Street Langley (B)</w:t>
            </w:r>
          </w:p>
        </w:tc>
        <w:tc>
          <w:tcPr>
            <w:tcW w:w="1843" w:type="dxa"/>
            <w:tcBorders>
              <w:top w:val="nil"/>
              <w:left w:val="nil"/>
              <w:bottom w:val="nil"/>
              <w:right w:val="nil"/>
            </w:tcBorders>
            <w:shd w:val="clear" w:color="auto" w:fill="C6EFCE"/>
            <w:noWrap/>
            <w:vAlign w:val="bottom"/>
            <w:hideMark/>
          </w:tcPr>
          <w:p w14:paraId="37DE667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25.30</w:t>
            </w:r>
          </w:p>
        </w:tc>
        <w:tc>
          <w:tcPr>
            <w:tcW w:w="1981" w:type="dxa"/>
            <w:tcBorders>
              <w:top w:val="nil"/>
              <w:left w:val="single" w:sz="8" w:space="0" w:color="auto"/>
              <w:bottom w:val="nil"/>
              <w:right w:val="nil"/>
            </w:tcBorders>
            <w:shd w:val="clear" w:color="D9D9D9" w:fill="C6EFCE"/>
            <w:noWrap/>
            <w:vAlign w:val="bottom"/>
            <w:hideMark/>
          </w:tcPr>
          <w:p w14:paraId="6A0DDE8F"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21.42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20136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22</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6952F2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Windsor Road</w:t>
            </w:r>
          </w:p>
        </w:tc>
        <w:tc>
          <w:tcPr>
            <w:tcW w:w="2126" w:type="dxa"/>
            <w:tcBorders>
              <w:top w:val="nil"/>
              <w:left w:val="nil"/>
              <w:bottom w:val="nil"/>
              <w:right w:val="nil"/>
            </w:tcBorders>
            <w:shd w:val="clear" w:color="D9D9D9" w:fill="C6EFCE"/>
            <w:noWrap/>
            <w:vAlign w:val="bottom"/>
            <w:hideMark/>
          </w:tcPr>
          <w:p w14:paraId="143E0797"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21.00</w:t>
            </w:r>
          </w:p>
        </w:tc>
        <w:tc>
          <w:tcPr>
            <w:tcW w:w="1754" w:type="dxa"/>
            <w:tcBorders>
              <w:top w:val="nil"/>
              <w:left w:val="single" w:sz="8" w:space="0" w:color="auto"/>
              <w:bottom w:val="nil"/>
              <w:right w:val="nil"/>
            </w:tcBorders>
            <w:shd w:val="clear" w:color="auto" w:fill="FFFF00"/>
            <w:noWrap/>
            <w:vAlign w:val="bottom"/>
            <w:hideMark/>
          </w:tcPr>
          <w:p w14:paraId="2AB5F656"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31.17</w:t>
            </w:r>
          </w:p>
        </w:tc>
      </w:tr>
      <w:tr w:rsidR="001529CE" w:rsidRPr="00C77271" w14:paraId="528BBA7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C5EA40C"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7</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5C82E8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Colnbrook By-pass</w:t>
            </w:r>
          </w:p>
        </w:tc>
        <w:tc>
          <w:tcPr>
            <w:tcW w:w="1843" w:type="dxa"/>
            <w:tcBorders>
              <w:top w:val="nil"/>
              <w:left w:val="nil"/>
              <w:bottom w:val="nil"/>
              <w:right w:val="nil"/>
            </w:tcBorders>
            <w:shd w:val="clear" w:color="auto" w:fill="C6EFCE"/>
            <w:noWrap/>
            <w:vAlign w:val="bottom"/>
            <w:hideMark/>
          </w:tcPr>
          <w:p w14:paraId="2BAD1C6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25.30</w:t>
            </w:r>
          </w:p>
        </w:tc>
        <w:tc>
          <w:tcPr>
            <w:tcW w:w="1981" w:type="dxa"/>
            <w:tcBorders>
              <w:top w:val="nil"/>
              <w:left w:val="single" w:sz="8" w:space="0" w:color="auto"/>
              <w:bottom w:val="nil"/>
              <w:right w:val="nil"/>
            </w:tcBorders>
            <w:shd w:val="clear" w:color="000000" w:fill="C6EFCE"/>
            <w:noWrap/>
            <w:vAlign w:val="bottom"/>
            <w:hideMark/>
          </w:tcPr>
          <w:p w14:paraId="2B265EF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26.88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A1656F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55</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61319C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Oatlands Drive (b)</w:t>
            </w:r>
          </w:p>
        </w:tc>
        <w:tc>
          <w:tcPr>
            <w:tcW w:w="2126" w:type="dxa"/>
            <w:tcBorders>
              <w:top w:val="nil"/>
              <w:left w:val="nil"/>
              <w:bottom w:val="nil"/>
              <w:right w:val="nil"/>
            </w:tcBorders>
            <w:shd w:val="clear" w:color="000000" w:fill="C6EFCE"/>
            <w:noWrap/>
            <w:vAlign w:val="bottom"/>
            <w:hideMark/>
          </w:tcPr>
          <w:p w14:paraId="65D084E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21.00</w:t>
            </w:r>
          </w:p>
        </w:tc>
        <w:tc>
          <w:tcPr>
            <w:tcW w:w="1754" w:type="dxa"/>
            <w:tcBorders>
              <w:top w:val="nil"/>
              <w:left w:val="single" w:sz="8" w:space="0" w:color="auto"/>
              <w:bottom w:val="nil"/>
              <w:right w:val="nil"/>
            </w:tcBorders>
            <w:shd w:val="clear" w:color="auto" w:fill="008938"/>
            <w:noWrap/>
            <w:vAlign w:val="bottom"/>
            <w:hideMark/>
          </w:tcPr>
          <w:p w14:paraId="0B86EF01" w14:textId="77777777" w:rsidR="001529CE" w:rsidRPr="009A5368" w:rsidRDefault="001529CE" w:rsidP="007B10BD">
            <w:pPr>
              <w:spacing w:before="0" w:line="240" w:lineRule="auto"/>
              <w:jc w:val="center"/>
              <w:rPr>
                <w:rFonts w:cs="Arial"/>
                <w:sz w:val="16"/>
                <w:szCs w:val="16"/>
                <w:lang w:eastAsia="en-GB"/>
              </w:rPr>
            </w:pPr>
            <w:r w:rsidRPr="000E7A4C">
              <w:rPr>
                <w:rFonts w:cs="Arial"/>
                <w:color w:val="FFFFFF" w:themeColor="background1"/>
                <w:sz w:val="16"/>
                <w:szCs w:val="16"/>
              </w:rPr>
              <w:t>18.94</w:t>
            </w:r>
          </w:p>
        </w:tc>
      </w:tr>
      <w:tr w:rsidR="001529CE" w:rsidRPr="00C77271" w14:paraId="5D52978C"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57DAE3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113</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19244C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Oatlands Drive (b)</w:t>
            </w:r>
          </w:p>
        </w:tc>
        <w:tc>
          <w:tcPr>
            <w:tcW w:w="1843" w:type="dxa"/>
            <w:tcBorders>
              <w:top w:val="nil"/>
              <w:left w:val="nil"/>
              <w:bottom w:val="nil"/>
              <w:right w:val="nil"/>
            </w:tcBorders>
            <w:shd w:val="clear" w:color="auto" w:fill="C6EFCE"/>
            <w:noWrap/>
            <w:vAlign w:val="bottom"/>
            <w:hideMark/>
          </w:tcPr>
          <w:p w14:paraId="736598B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25.20</w:t>
            </w:r>
          </w:p>
        </w:tc>
        <w:tc>
          <w:tcPr>
            <w:tcW w:w="1981" w:type="dxa"/>
            <w:tcBorders>
              <w:top w:val="nil"/>
              <w:left w:val="single" w:sz="8" w:space="0" w:color="auto"/>
              <w:bottom w:val="nil"/>
              <w:right w:val="nil"/>
            </w:tcBorders>
            <w:shd w:val="clear" w:color="D9D9D9" w:fill="C6EFCE"/>
            <w:noWrap/>
            <w:vAlign w:val="bottom"/>
            <w:hideMark/>
          </w:tcPr>
          <w:p w14:paraId="1BA0086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56E6D1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123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85C153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Ledgers Road (a)</w:t>
            </w:r>
          </w:p>
        </w:tc>
        <w:tc>
          <w:tcPr>
            <w:tcW w:w="2126" w:type="dxa"/>
            <w:tcBorders>
              <w:top w:val="nil"/>
              <w:left w:val="nil"/>
              <w:bottom w:val="nil"/>
              <w:right w:val="nil"/>
            </w:tcBorders>
            <w:shd w:val="clear" w:color="auto" w:fill="C6EFCE"/>
            <w:noWrap/>
            <w:vAlign w:val="bottom"/>
            <w:hideMark/>
          </w:tcPr>
          <w:p w14:paraId="5FA70DF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20.80</w:t>
            </w:r>
          </w:p>
        </w:tc>
        <w:tc>
          <w:tcPr>
            <w:tcW w:w="1754" w:type="dxa"/>
            <w:tcBorders>
              <w:top w:val="nil"/>
              <w:left w:val="single" w:sz="8" w:space="0" w:color="auto"/>
              <w:bottom w:val="nil"/>
              <w:right w:val="nil"/>
            </w:tcBorders>
            <w:shd w:val="clear" w:color="D9D9D9" w:fill="C6EFCE"/>
            <w:noWrap/>
            <w:vAlign w:val="bottom"/>
            <w:hideMark/>
          </w:tcPr>
          <w:p w14:paraId="26CE8F0C"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20.56</w:t>
            </w:r>
          </w:p>
        </w:tc>
      </w:tr>
      <w:tr w:rsidR="001529CE" w:rsidRPr="00C77271" w14:paraId="4A67D48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448CCE0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21</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68C9635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Windsor Road</w:t>
            </w:r>
          </w:p>
        </w:tc>
        <w:tc>
          <w:tcPr>
            <w:tcW w:w="1843" w:type="dxa"/>
            <w:tcBorders>
              <w:top w:val="nil"/>
              <w:left w:val="nil"/>
              <w:bottom w:val="nil"/>
              <w:right w:val="nil"/>
            </w:tcBorders>
            <w:shd w:val="clear" w:color="auto" w:fill="C6EFCE"/>
            <w:noWrap/>
            <w:vAlign w:val="bottom"/>
          </w:tcPr>
          <w:p w14:paraId="10F42D23"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25.20</w:t>
            </w:r>
          </w:p>
        </w:tc>
        <w:tc>
          <w:tcPr>
            <w:tcW w:w="1981" w:type="dxa"/>
            <w:tcBorders>
              <w:top w:val="nil"/>
              <w:left w:val="single" w:sz="8" w:space="0" w:color="auto"/>
              <w:bottom w:val="nil"/>
              <w:right w:val="nil"/>
            </w:tcBorders>
            <w:shd w:val="clear" w:color="D9D9D9" w:fill="C6EFCE"/>
            <w:noWrap/>
            <w:vAlign w:val="bottom"/>
          </w:tcPr>
          <w:p w14:paraId="0274643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23.91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46357D47"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SLH 8</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0D13EAD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Slough-Lakeside-2</w:t>
            </w:r>
          </w:p>
        </w:tc>
        <w:tc>
          <w:tcPr>
            <w:tcW w:w="2126" w:type="dxa"/>
            <w:tcBorders>
              <w:top w:val="nil"/>
              <w:left w:val="nil"/>
              <w:bottom w:val="nil"/>
              <w:right w:val="nil"/>
            </w:tcBorders>
            <w:shd w:val="clear" w:color="auto" w:fill="008938"/>
            <w:noWrap/>
            <w:vAlign w:val="bottom"/>
          </w:tcPr>
          <w:p w14:paraId="5024B649"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19.90</w:t>
            </w:r>
          </w:p>
        </w:tc>
        <w:tc>
          <w:tcPr>
            <w:tcW w:w="1754" w:type="dxa"/>
            <w:tcBorders>
              <w:top w:val="nil"/>
              <w:left w:val="single" w:sz="8" w:space="0" w:color="auto"/>
              <w:bottom w:val="nil"/>
              <w:right w:val="nil"/>
            </w:tcBorders>
            <w:shd w:val="clear" w:color="auto" w:fill="008938"/>
            <w:noWrap/>
            <w:vAlign w:val="bottom"/>
          </w:tcPr>
          <w:p w14:paraId="2B71DE3F" w14:textId="77777777" w:rsidR="001529CE" w:rsidRPr="009A5368" w:rsidRDefault="001529CE" w:rsidP="007B10BD">
            <w:pPr>
              <w:spacing w:before="0" w:line="240" w:lineRule="auto"/>
              <w:jc w:val="center"/>
              <w:rPr>
                <w:rFonts w:cs="Arial"/>
                <w:sz w:val="16"/>
                <w:szCs w:val="16"/>
                <w:lang w:eastAsia="en-GB"/>
              </w:rPr>
            </w:pPr>
            <w:r w:rsidRPr="000E7A4C">
              <w:rPr>
                <w:rFonts w:cs="Arial"/>
                <w:color w:val="FFFFFF" w:themeColor="background1"/>
                <w:sz w:val="16"/>
                <w:szCs w:val="16"/>
              </w:rPr>
              <w:t>15.82</w:t>
            </w:r>
          </w:p>
        </w:tc>
      </w:tr>
      <w:tr w:rsidR="001529CE" w:rsidRPr="00C77271" w14:paraId="5C76FCD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0C5211DF"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120</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43845A0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Ledgers Road (a)</w:t>
            </w:r>
          </w:p>
        </w:tc>
        <w:tc>
          <w:tcPr>
            <w:tcW w:w="1843" w:type="dxa"/>
            <w:tcBorders>
              <w:top w:val="nil"/>
              <w:left w:val="nil"/>
              <w:bottom w:val="nil"/>
              <w:right w:val="nil"/>
            </w:tcBorders>
            <w:shd w:val="clear" w:color="auto" w:fill="C6EFCE"/>
            <w:noWrap/>
            <w:vAlign w:val="bottom"/>
          </w:tcPr>
          <w:p w14:paraId="477E72F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25.10</w:t>
            </w:r>
          </w:p>
        </w:tc>
        <w:tc>
          <w:tcPr>
            <w:tcW w:w="1981" w:type="dxa"/>
            <w:tcBorders>
              <w:top w:val="nil"/>
              <w:left w:val="single" w:sz="8" w:space="0" w:color="auto"/>
              <w:bottom w:val="nil"/>
              <w:right w:val="nil"/>
            </w:tcBorders>
            <w:shd w:val="clear" w:color="D9D9D9" w:fill="C6EFCE"/>
            <w:noWrap/>
            <w:vAlign w:val="bottom"/>
          </w:tcPr>
          <w:p w14:paraId="590E59CE"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20.49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698246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25</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65B8705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Station Road</w:t>
            </w:r>
          </w:p>
        </w:tc>
        <w:tc>
          <w:tcPr>
            <w:tcW w:w="2126" w:type="dxa"/>
            <w:tcBorders>
              <w:top w:val="nil"/>
              <w:left w:val="nil"/>
              <w:bottom w:val="nil"/>
              <w:right w:val="nil"/>
            </w:tcBorders>
            <w:shd w:val="clear" w:color="auto" w:fill="008938"/>
            <w:noWrap/>
            <w:vAlign w:val="bottom"/>
          </w:tcPr>
          <w:p w14:paraId="6FBA5793"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19.60</w:t>
            </w:r>
          </w:p>
        </w:tc>
        <w:tc>
          <w:tcPr>
            <w:tcW w:w="1754" w:type="dxa"/>
            <w:tcBorders>
              <w:top w:val="nil"/>
              <w:left w:val="single" w:sz="8" w:space="0" w:color="auto"/>
              <w:bottom w:val="nil"/>
              <w:right w:val="nil"/>
            </w:tcBorders>
            <w:shd w:val="clear" w:color="D9D9D9" w:fill="C6EFCE"/>
            <w:noWrap/>
            <w:vAlign w:val="bottom"/>
          </w:tcPr>
          <w:p w14:paraId="5ABE956A"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24.72</w:t>
            </w:r>
          </w:p>
        </w:tc>
      </w:tr>
      <w:tr w:rsidR="001529CE" w:rsidRPr="00C77271" w14:paraId="195C593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BCDBAB0"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52</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7E7FC6D4"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Station Road</w:t>
            </w:r>
          </w:p>
        </w:tc>
        <w:tc>
          <w:tcPr>
            <w:tcW w:w="1843" w:type="dxa"/>
            <w:tcBorders>
              <w:top w:val="nil"/>
              <w:left w:val="nil"/>
              <w:bottom w:val="nil"/>
              <w:right w:val="nil"/>
            </w:tcBorders>
            <w:shd w:val="clear" w:color="auto" w:fill="C6EFCE"/>
            <w:noWrap/>
            <w:vAlign w:val="bottom"/>
          </w:tcPr>
          <w:p w14:paraId="06FBAB81"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24.80</w:t>
            </w:r>
          </w:p>
        </w:tc>
        <w:tc>
          <w:tcPr>
            <w:tcW w:w="1981" w:type="dxa"/>
            <w:tcBorders>
              <w:top w:val="nil"/>
              <w:left w:val="single" w:sz="8" w:space="0" w:color="auto"/>
              <w:bottom w:val="nil"/>
              <w:right w:val="nil"/>
            </w:tcBorders>
            <w:shd w:val="clear" w:color="D9D9D9" w:fill="C6EFCE"/>
            <w:noWrap/>
            <w:vAlign w:val="bottom"/>
          </w:tcPr>
          <w:p w14:paraId="7FEF2A5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23.05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538011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08F36F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Salt Hill Park tennis courts</w:t>
            </w:r>
          </w:p>
        </w:tc>
        <w:tc>
          <w:tcPr>
            <w:tcW w:w="2126" w:type="dxa"/>
            <w:tcBorders>
              <w:top w:val="nil"/>
              <w:left w:val="nil"/>
              <w:bottom w:val="nil"/>
              <w:right w:val="nil"/>
            </w:tcBorders>
            <w:shd w:val="clear" w:color="auto" w:fill="008938"/>
            <w:noWrap/>
            <w:vAlign w:val="bottom"/>
          </w:tcPr>
          <w:p w14:paraId="313C4027"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19.40</w:t>
            </w:r>
          </w:p>
        </w:tc>
        <w:tc>
          <w:tcPr>
            <w:tcW w:w="1754" w:type="dxa"/>
            <w:tcBorders>
              <w:top w:val="nil"/>
              <w:left w:val="single" w:sz="8" w:space="0" w:color="auto"/>
              <w:bottom w:val="nil"/>
              <w:right w:val="nil"/>
            </w:tcBorders>
            <w:shd w:val="clear" w:color="D9D9D9" w:fill="C6EFCE"/>
            <w:noWrap/>
            <w:vAlign w:val="bottom"/>
          </w:tcPr>
          <w:p w14:paraId="6F75E84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29.23</w:t>
            </w:r>
          </w:p>
        </w:tc>
      </w:tr>
      <w:tr w:rsidR="001529CE" w:rsidRPr="00C77271" w14:paraId="3FD840DC"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06D744A9"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84,SLO 85,SLO 86</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0B71CB48"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Spackmans Way HE Receptor 7</w:t>
            </w:r>
          </w:p>
        </w:tc>
        <w:tc>
          <w:tcPr>
            <w:tcW w:w="1843" w:type="dxa"/>
            <w:tcBorders>
              <w:top w:val="nil"/>
              <w:left w:val="nil"/>
              <w:bottom w:val="nil"/>
              <w:right w:val="nil"/>
            </w:tcBorders>
            <w:shd w:val="clear" w:color="auto" w:fill="C6EFCE"/>
            <w:noWrap/>
            <w:vAlign w:val="bottom"/>
          </w:tcPr>
          <w:p w14:paraId="2790525D"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24.60</w:t>
            </w:r>
          </w:p>
        </w:tc>
        <w:tc>
          <w:tcPr>
            <w:tcW w:w="1981" w:type="dxa"/>
            <w:tcBorders>
              <w:top w:val="nil"/>
              <w:left w:val="single" w:sz="8" w:space="0" w:color="auto"/>
              <w:bottom w:val="nil"/>
              <w:right w:val="nil"/>
            </w:tcBorders>
            <w:shd w:val="clear" w:color="D9D9D9" w:fill="C6EFCE"/>
            <w:noWrap/>
            <w:vAlign w:val="bottom"/>
          </w:tcPr>
          <w:p w14:paraId="66B47F0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27.87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3579B65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14,SLO 15,SLO 16</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955D592"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Pippins</w:t>
            </w:r>
          </w:p>
        </w:tc>
        <w:tc>
          <w:tcPr>
            <w:tcW w:w="2126" w:type="dxa"/>
            <w:tcBorders>
              <w:top w:val="nil"/>
              <w:left w:val="nil"/>
              <w:bottom w:val="nil"/>
              <w:right w:val="nil"/>
            </w:tcBorders>
            <w:shd w:val="clear" w:color="auto" w:fill="008938"/>
            <w:noWrap/>
            <w:vAlign w:val="bottom"/>
          </w:tcPr>
          <w:p w14:paraId="0CEEF5F8"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18.50</w:t>
            </w:r>
          </w:p>
        </w:tc>
        <w:tc>
          <w:tcPr>
            <w:tcW w:w="1754" w:type="dxa"/>
            <w:tcBorders>
              <w:top w:val="nil"/>
              <w:left w:val="single" w:sz="8" w:space="0" w:color="auto"/>
              <w:bottom w:val="nil"/>
              <w:right w:val="nil"/>
            </w:tcBorders>
            <w:shd w:val="clear" w:color="D9D9D9" w:fill="C6EFCE"/>
            <w:noWrap/>
            <w:vAlign w:val="bottom"/>
          </w:tcPr>
          <w:p w14:paraId="465ED9D9"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24.41</w:t>
            </w:r>
          </w:p>
        </w:tc>
      </w:tr>
      <w:tr w:rsidR="001529CE" w:rsidRPr="00C77271" w14:paraId="25DE435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663D0865"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9</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4E77E7AD"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Brands Hill</w:t>
            </w:r>
          </w:p>
        </w:tc>
        <w:tc>
          <w:tcPr>
            <w:tcW w:w="1843" w:type="dxa"/>
            <w:tcBorders>
              <w:top w:val="nil"/>
              <w:left w:val="nil"/>
              <w:bottom w:val="nil"/>
              <w:right w:val="nil"/>
            </w:tcBorders>
            <w:shd w:val="clear" w:color="auto" w:fill="C6EFCE"/>
            <w:noWrap/>
            <w:vAlign w:val="bottom"/>
          </w:tcPr>
          <w:p w14:paraId="68FFC1A5"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24.60</w:t>
            </w:r>
          </w:p>
        </w:tc>
        <w:tc>
          <w:tcPr>
            <w:tcW w:w="1981" w:type="dxa"/>
            <w:tcBorders>
              <w:top w:val="nil"/>
              <w:left w:val="single" w:sz="8" w:space="0" w:color="auto"/>
              <w:bottom w:val="nil"/>
              <w:right w:val="nil"/>
            </w:tcBorders>
            <w:shd w:val="clear" w:color="D9D9D9" w:fill="C6EFCE"/>
            <w:noWrap/>
            <w:vAlign w:val="bottom"/>
          </w:tcPr>
          <w:p w14:paraId="36B4C310"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24.02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4FAC1AC6"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3</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88BEF3B"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Salt Hill Park Footbridge</w:t>
            </w:r>
          </w:p>
        </w:tc>
        <w:tc>
          <w:tcPr>
            <w:tcW w:w="2126" w:type="dxa"/>
            <w:tcBorders>
              <w:top w:val="nil"/>
              <w:left w:val="nil"/>
              <w:bottom w:val="nil"/>
              <w:right w:val="nil"/>
            </w:tcBorders>
            <w:shd w:val="clear" w:color="auto" w:fill="008938"/>
            <w:noWrap/>
            <w:vAlign w:val="bottom"/>
          </w:tcPr>
          <w:p w14:paraId="4B6560FB"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16.50</w:t>
            </w:r>
          </w:p>
        </w:tc>
        <w:tc>
          <w:tcPr>
            <w:tcW w:w="1754" w:type="dxa"/>
            <w:tcBorders>
              <w:top w:val="nil"/>
              <w:left w:val="single" w:sz="8" w:space="0" w:color="auto"/>
              <w:bottom w:val="nil"/>
              <w:right w:val="nil"/>
            </w:tcBorders>
            <w:shd w:val="clear" w:color="D9D9D9" w:fill="C6EFCE"/>
            <w:noWrap/>
            <w:vAlign w:val="bottom"/>
          </w:tcPr>
          <w:p w14:paraId="0B466004"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21.26</w:t>
            </w:r>
          </w:p>
        </w:tc>
      </w:tr>
      <w:tr w:rsidR="001529CE" w:rsidRPr="00C77271" w14:paraId="16B9670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AC9F177" w14:textId="77777777" w:rsidR="001529CE" w:rsidRPr="009A5368" w:rsidRDefault="001529CE" w:rsidP="007B10BD">
            <w:pPr>
              <w:spacing w:before="0" w:line="240" w:lineRule="auto"/>
              <w:rPr>
                <w:rFonts w:cs="Arial"/>
                <w:sz w:val="16"/>
                <w:szCs w:val="16"/>
              </w:rPr>
            </w:pPr>
            <w:r w:rsidRPr="009A5368">
              <w:rPr>
                <w:rFonts w:cs="Arial"/>
                <w:sz w:val="16"/>
                <w:szCs w:val="16"/>
              </w:rPr>
              <w:t>SLO 117</w:t>
            </w:r>
          </w:p>
        </w:tc>
        <w:tc>
          <w:tcPr>
            <w:tcW w:w="453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041370D" w14:textId="77777777" w:rsidR="001529CE" w:rsidRPr="009A5368" w:rsidRDefault="001529CE" w:rsidP="007B10BD">
            <w:pPr>
              <w:spacing w:before="0" w:line="240" w:lineRule="auto"/>
              <w:rPr>
                <w:rFonts w:cs="Arial"/>
                <w:sz w:val="16"/>
                <w:szCs w:val="16"/>
              </w:rPr>
            </w:pPr>
            <w:r w:rsidRPr="009A5368">
              <w:rPr>
                <w:rFonts w:cs="Arial"/>
                <w:sz w:val="16"/>
                <w:szCs w:val="16"/>
              </w:rPr>
              <w:t>Tuns Lane (B)</w:t>
            </w:r>
          </w:p>
        </w:tc>
        <w:tc>
          <w:tcPr>
            <w:tcW w:w="1843" w:type="dxa"/>
            <w:tcBorders>
              <w:top w:val="nil"/>
              <w:left w:val="nil"/>
              <w:bottom w:val="nil"/>
              <w:right w:val="nil"/>
            </w:tcBorders>
            <w:shd w:val="clear" w:color="auto" w:fill="C6EFCE"/>
            <w:noWrap/>
            <w:vAlign w:val="bottom"/>
          </w:tcPr>
          <w:p w14:paraId="30E9B8E1" w14:textId="77777777" w:rsidR="001529CE" w:rsidRPr="009A5368" w:rsidRDefault="001529CE" w:rsidP="007B10BD">
            <w:pPr>
              <w:spacing w:before="0" w:line="240" w:lineRule="auto"/>
              <w:jc w:val="center"/>
              <w:rPr>
                <w:rFonts w:cs="Arial"/>
                <w:sz w:val="16"/>
                <w:szCs w:val="16"/>
              </w:rPr>
            </w:pPr>
            <w:r w:rsidRPr="009A5368">
              <w:rPr>
                <w:rFonts w:cs="Arial"/>
                <w:sz w:val="16"/>
                <w:szCs w:val="16"/>
              </w:rPr>
              <w:t>24.50</w:t>
            </w:r>
          </w:p>
        </w:tc>
        <w:tc>
          <w:tcPr>
            <w:tcW w:w="1981" w:type="dxa"/>
            <w:tcBorders>
              <w:top w:val="nil"/>
              <w:left w:val="single" w:sz="8" w:space="0" w:color="auto"/>
              <w:bottom w:val="nil"/>
              <w:right w:val="nil"/>
            </w:tcBorders>
            <w:shd w:val="clear" w:color="D9D9D9" w:fill="C6EFCE"/>
            <w:noWrap/>
            <w:vAlign w:val="bottom"/>
          </w:tcPr>
          <w:p w14:paraId="11664A56" w14:textId="77777777" w:rsidR="001529CE" w:rsidRPr="009A5368" w:rsidRDefault="001529CE" w:rsidP="007B10BD">
            <w:pPr>
              <w:spacing w:before="0" w:line="240" w:lineRule="auto"/>
              <w:jc w:val="center"/>
              <w:rPr>
                <w:rFonts w:cs="Arial"/>
                <w:sz w:val="16"/>
                <w:szCs w:val="16"/>
              </w:rPr>
            </w:pPr>
            <w:r w:rsidRPr="009A5368">
              <w:rPr>
                <w:rFonts w:cs="Arial"/>
                <w:sz w:val="16"/>
                <w:szCs w:val="16"/>
              </w:rPr>
              <w:t>22.60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C3E7A5E"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SLO 2</w:t>
            </w:r>
          </w:p>
        </w:tc>
        <w:tc>
          <w:tcPr>
            <w:tcW w:w="4256"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3E939AC" w14:textId="77777777" w:rsidR="001529CE" w:rsidRPr="009A5368" w:rsidRDefault="001529CE" w:rsidP="007B10BD">
            <w:pPr>
              <w:spacing w:before="0" w:line="240" w:lineRule="auto"/>
              <w:rPr>
                <w:rFonts w:cs="Arial"/>
                <w:sz w:val="16"/>
                <w:szCs w:val="16"/>
                <w:lang w:eastAsia="en-GB"/>
              </w:rPr>
            </w:pPr>
            <w:r w:rsidRPr="009A5368">
              <w:rPr>
                <w:rFonts w:cs="Arial"/>
                <w:sz w:val="16"/>
                <w:szCs w:val="16"/>
              </w:rPr>
              <w:t>Salt Hill Park Footpath</w:t>
            </w:r>
          </w:p>
        </w:tc>
        <w:tc>
          <w:tcPr>
            <w:tcW w:w="2126" w:type="dxa"/>
            <w:tcBorders>
              <w:top w:val="nil"/>
              <w:left w:val="nil"/>
              <w:bottom w:val="nil"/>
              <w:right w:val="nil"/>
            </w:tcBorders>
            <w:shd w:val="clear" w:color="auto" w:fill="008938"/>
            <w:noWrap/>
            <w:vAlign w:val="bottom"/>
          </w:tcPr>
          <w:p w14:paraId="455646F0" w14:textId="77777777" w:rsidR="001529CE" w:rsidRPr="000E7A4C" w:rsidRDefault="001529CE" w:rsidP="007B10BD">
            <w:pPr>
              <w:spacing w:before="0" w:line="240" w:lineRule="auto"/>
              <w:jc w:val="center"/>
              <w:rPr>
                <w:rFonts w:cs="Arial"/>
                <w:color w:val="FFFFFF" w:themeColor="background1"/>
                <w:sz w:val="16"/>
                <w:szCs w:val="16"/>
                <w:lang w:eastAsia="en-GB"/>
              </w:rPr>
            </w:pPr>
            <w:r w:rsidRPr="000E7A4C">
              <w:rPr>
                <w:rFonts w:cs="Arial"/>
                <w:color w:val="FFFFFF" w:themeColor="background1"/>
                <w:sz w:val="16"/>
                <w:szCs w:val="16"/>
              </w:rPr>
              <w:t>15.50</w:t>
            </w:r>
          </w:p>
        </w:tc>
        <w:tc>
          <w:tcPr>
            <w:tcW w:w="1754" w:type="dxa"/>
            <w:tcBorders>
              <w:top w:val="nil"/>
              <w:left w:val="single" w:sz="8" w:space="0" w:color="auto"/>
              <w:bottom w:val="nil"/>
              <w:right w:val="nil"/>
            </w:tcBorders>
            <w:shd w:val="clear" w:color="D9D9D9" w:fill="C6EFCE"/>
            <w:noWrap/>
            <w:vAlign w:val="bottom"/>
          </w:tcPr>
          <w:p w14:paraId="19EC3BA8" w14:textId="77777777" w:rsidR="001529CE" w:rsidRPr="009A5368" w:rsidRDefault="001529CE" w:rsidP="007B10BD">
            <w:pPr>
              <w:spacing w:before="0" w:line="240" w:lineRule="auto"/>
              <w:jc w:val="center"/>
              <w:rPr>
                <w:rFonts w:cs="Arial"/>
                <w:sz w:val="16"/>
                <w:szCs w:val="16"/>
                <w:lang w:eastAsia="en-GB"/>
              </w:rPr>
            </w:pPr>
            <w:r w:rsidRPr="009A5368">
              <w:rPr>
                <w:rFonts w:cs="Arial"/>
                <w:sz w:val="16"/>
                <w:szCs w:val="16"/>
              </w:rPr>
              <w:t>23.22</w:t>
            </w:r>
          </w:p>
        </w:tc>
      </w:tr>
    </w:tbl>
    <w:p w14:paraId="61B2974A" w14:textId="77777777" w:rsidR="001529CE" w:rsidRDefault="001529CE" w:rsidP="001529CE">
      <w:pPr>
        <w:sectPr w:rsidR="001529CE" w:rsidSect="00C77271">
          <w:footerReference w:type="default" r:id="rId30"/>
          <w:pgSz w:w="23808" w:h="16840" w:orient="landscape" w:code="8"/>
          <w:pgMar w:top="1418" w:right="1474" w:bottom="1418" w:left="1134" w:header="964" w:footer="454" w:gutter="0"/>
          <w:cols w:space="708"/>
          <w:docGrid w:linePitch="360"/>
        </w:sectPr>
      </w:pPr>
    </w:p>
    <w:p w14:paraId="1B62D59D" w14:textId="4B148B9D" w:rsidR="001529CE" w:rsidRPr="000E054F" w:rsidRDefault="00B96B38" w:rsidP="0025036F">
      <w:pPr>
        <w:pStyle w:val="Heading2"/>
        <w:numPr>
          <w:ilvl w:val="1"/>
          <w:numId w:val="79"/>
        </w:numPr>
      </w:pPr>
      <w:bookmarkStart w:id="245" w:name="_Toc150934033"/>
      <w:bookmarkStart w:id="246" w:name="_Toc159264925"/>
      <w:r>
        <w:lastRenderedPageBreak/>
        <w:t xml:space="preserve"> </w:t>
      </w:r>
      <w:bookmarkStart w:id="247" w:name="_Toc160129602"/>
      <w:r w:rsidR="001529CE">
        <w:t>Baseline Model results – PM</w:t>
      </w:r>
      <w:r w:rsidR="001529CE" w:rsidRPr="00E50B83">
        <w:rPr>
          <w:vertAlign w:val="subscript"/>
        </w:rPr>
        <w:t xml:space="preserve">10 </w:t>
      </w:r>
      <w:r w:rsidR="001529CE">
        <w:t>and PM</w:t>
      </w:r>
      <w:r w:rsidR="001529CE" w:rsidRPr="00E50B83">
        <w:rPr>
          <w:vertAlign w:val="subscript"/>
        </w:rPr>
        <w:t>2.5</w:t>
      </w:r>
      <w:bookmarkEnd w:id="245"/>
      <w:bookmarkEnd w:id="246"/>
      <w:bookmarkEnd w:id="247"/>
    </w:p>
    <w:p w14:paraId="39A9B8CF" w14:textId="77777777" w:rsidR="001529CE" w:rsidRDefault="001529CE" w:rsidP="001529CE">
      <w:pPr>
        <w:rPr>
          <w:szCs w:val="20"/>
          <w:lang w:eastAsia="en-GB"/>
        </w:rPr>
      </w:pPr>
      <w:r>
        <w:rPr>
          <w:lang w:eastAsia="en-GB"/>
        </w:rPr>
        <w:fldChar w:fldCharType="begin"/>
      </w:r>
      <w:r>
        <w:rPr>
          <w:lang w:eastAsia="en-GB"/>
        </w:rPr>
        <w:instrText xml:space="preserve"> REF _Ref159264966 \h </w:instrText>
      </w:r>
      <w:r>
        <w:rPr>
          <w:lang w:eastAsia="en-GB"/>
        </w:rPr>
      </w:r>
      <w:r>
        <w:rPr>
          <w:lang w:eastAsia="en-GB"/>
        </w:rPr>
        <w:fldChar w:fldCharType="separate"/>
      </w:r>
      <w:r w:rsidRPr="00EF7456">
        <w:t xml:space="preserve">Table </w:t>
      </w:r>
      <w:r>
        <w:rPr>
          <w:noProof/>
        </w:rPr>
        <w:t>2</w:t>
      </w:r>
      <w:r>
        <w:noBreakHyphen/>
      </w:r>
      <w:r>
        <w:rPr>
          <w:noProof/>
        </w:rPr>
        <w:t>3</w:t>
      </w:r>
      <w:r>
        <w:rPr>
          <w:lang w:eastAsia="en-GB"/>
        </w:rPr>
        <w:fldChar w:fldCharType="end"/>
      </w:r>
      <w:r>
        <w:rPr>
          <w:lang w:eastAsia="en-GB"/>
        </w:rPr>
        <w:t xml:space="preserve"> and </w:t>
      </w:r>
      <w:r>
        <w:rPr>
          <w:lang w:eastAsia="en-GB"/>
        </w:rPr>
        <w:fldChar w:fldCharType="begin"/>
      </w:r>
      <w:r>
        <w:rPr>
          <w:lang w:eastAsia="en-GB"/>
        </w:rPr>
        <w:instrText xml:space="preserve"> REF _Ref150764929 \h </w:instrText>
      </w:r>
      <w:r>
        <w:rPr>
          <w:lang w:eastAsia="en-GB"/>
        </w:rPr>
      </w:r>
      <w:r>
        <w:rPr>
          <w:lang w:eastAsia="en-GB"/>
        </w:rPr>
        <w:fldChar w:fldCharType="separate"/>
      </w:r>
      <w:r w:rsidRPr="00EF7456">
        <w:t xml:space="preserve">Table </w:t>
      </w:r>
      <w:r>
        <w:rPr>
          <w:noProof/>
        </w:rPr>
        <w:t>2</w:t>
      </w:r>
      <w:r>
        <w:noBreakHyphen/>
      </w:r>
      <w:r>
        <w:rPr>
          <w:noProof/>
        </w:rPr>
        <w:t>4</w:t>
      </w:r>
      <w:r>
        <w:rPr>
          <w:lang w:eastAsia="en-GB"/>
        </w:rPr>
        <w:fldChar w:fldCharType="end"/>
      </w:r>
      <w:r>
        <w:rPr>
          <w:lang w:eastAsia="en-GB"/>
        </w:rPr>
        <w:t xml:space="preserve"> show the modelled annual mean PM</w:t>
      </w:r>
      <w:r w:rsidRPr="000E054F">
        <w:rPr>
          <w:vertAlign w:val="subscript"/>
          <w:lang w:eastAsia="en-GB"/>
        </w:rPr>
        <w:t>10</w:t>
      </w:r>
      <w:r>
        <w:rPr>
          <w:lang w:eastAsia="en-GB"/>
        </w:rPr>
        <w:t xml:space="preserve"> and PM</w:t>
      </w:r>
      <w:r>
        <w:rPr>
          <w:vertAlign w:val="subscript"/>
          <w:lang w:eastAsia="en-GB"/>
        </w:rPr>
        <w:t>2.5</w:t>
      </w:r>
      <w:r>
        <w:rPr>
          <w:lang w:eastAsia="en-GB"/>
        </w:rPr>
        <w:t xml:space="preserve"> concentrations for 2022 at the 2022 same SBC air quality monitoring stations as detailed in Section </w:t>
      </w:r>
      <w:r>
        <w:rPr>
          <w:lang w:eastAsia="en-GB"/>
        </w:rPr>
        <w:fldChar w:fldCharType="begin"/>
      </w:r>
      <w:r>
        <w:rPr>
          <w:lang w:eastAsia="en-GB"/>
        </w:rPr>
        <w:instrText xml:space="preserve"> REF _Ref150869754 \r </w:instrText>
      </w:r>
      <w:r>
        <w:rPr>
          <w:lang w:eastAsia="en-GB"/>
        </w:rPr>
        <w:fldChar w:fldCharType="separate"/>
      </w:r>
      <w:r>
        <w:rPr>
          <w:lang w:eastAsia="en-GB"/>
        </w:rPr>
        <w:t>2.12</w:t>
      </w:r>
      <w:r>
        <w:rPr>
          <w:lang w:eastAsia="en-GB"/>
        </w:rPr>
        <w:fldChar w:fldCharType="end"/>
      </w:r>
      <w:r>
        <w:rPr>
          <w:lang w:eastAsia="en-GB"/>
        </w:rPr>
        <w:t xml:space="preserve">. Maps showing the modelled annual mean concentrations in </w:t>
      </w:r>
      <w:r w:rsidRPr="001B02DD">
        <w:rPr>
          <w:szCs w:val="20"/>
          <w:lang w:eastAsia="en-GB"/>
        </w:rPr>
        <w:t>202</w:t>
      </w:r>
      <w:r>
        <w:rPr>
          <w:szCs w:val="20"/>
          <w:lang w:eastAsia="en-GB"/>
        </w:rPr>
        <w:t>2</w:t>
      </w:r>
      <w:r w:rsidRPr="001B02DD">
        <w:rPr>
          <w:szCs w:val="20"/>
          <w:lang w:eastAsia="en-GB"/>
        </w:rPr>
        <w:t xml:space="preserve"> </w:t>
      </w:r>
      <w:r>
        <w:rPr>
          <w:szCs w:val="20"/>
          <w:lang w:eastAsia="en-GB"/>
        </w:rPr>
        <w:t xml:space="preserve">are presented </w:t>
      </w:r>
      <w:r w:rsidRPr="006D243D">
        <w:rPr>
          <w:szCs w:val="20"/>
          <w:lang w:eastAsia="en-GB"/>
        </w:rPr>
        <w:t xml:space="preserve">in </w:t>
      </w:r>
      <w:r>
        <w:rPr>
          <w:szCs w:val="20"/>
          <w:lang w:eastAsia="en-GB"/>
        </w:rPr>
        <w:fldChar w:fldCharType="begin"/>
      </w:r>
      <w:r>
        <w:rPr>
          <w:szCs w:val="20"/>
          <w:lang w:eastAsia="en-GB"/>
        </w:rPr>
        <w:instrText xml:space="preserve"> REF _Ref150764954 \h </w:instrText>
      </w:r>
      <w:r>
        <w:rPr>
          <w:szCs w:val="20"/>
          <w:lang w:eastAsia="en-GB"/>
        </w:rPr>
      </w:r>
      <w:r>
        <w:rPr>
          <w:szCs w:val="20"/>
          <w:lang w:eastAsia="en-GB"/>
        </w:rPr>
        <w:fldChar w:fldCharType="separate"/>
      </w:r>
      <w:r>
        <w:t xml:space="preserve">Figure </w:t>
      </w:r>
      <w:r>
        <w:rPr>
          <w:noProof/>
        </w:rPr>
        <w:t>2</w:t>
      </w:r>
      <w:r>
        <w:noBreakHyphen/>
      </w:r>
      <w:r>
        <w:rPr>
          <w:noProof/>
        </w:rPr>
        <w:t>F</w:t>
      </w:r>
      <w:r>
        <w:rPr>
          <w:szCs w:val="20"/>
          <w:lang w:eastAsia="en-GB"/>
        </w:rPr>
        <w:fldChar w:fldCharType="end"/>
      </w:r>
      <w:r>
        <w:rPr>
          <w:szCs w:val="20"/>
          <w:lang w:eastAsia="en-GB"/>
        </w:rPr>
        <w:t xml:space="preserve"> and </w:t>
      </w:r>
      <w:r>
        <w:rPr>
          <w:szCs w:val="20"/>
          <w:lang w:eastAsia="en-GB"/>
        </w:rPr>
        <w:fldChar w:fldCharType="begin"/>
      </w:r>
      <w:r>
        <w:rPr>
          <w:szCs w:val="20"/>
          <w:lang w:eastAsia="en-GB"/>
        </w:rPr>
        <w:instrText xml:space="preserve"> REF _Ref150772568 \h </w:instrText>
      </w:r>
      <w:r>
        <w:rPr>
          <w:szCs w:val="20"/>
          <w:lang w:eastAsia="en-GB"/>
        </w:rPr>
      </w:r>
      <w:r>
        <w:rPr>
          <w:szCs w:val="20"/>
          <w:lang w:eastAsia="en-GB"/>
        </w:rPr>
        <w:fldChar w:fldCharType="separate"/>
      </w:r>
      <w:r>
        <w:t xml:space="preserve">Figure </w:t>
      </w:r>
      <w:r>
        <w:rPr>
          <w:noProof/>
        </w:rPr>
        <w:t>2</w:t>
      </w:r>
      <w:r>
        <w:noBreakHyphen/>
      </w:r>
      <w:r>
        <w:rPr>
          <w:noProof/>
        </w:rPr>
        <w:t>G</w:t>
      </w:r>
      <w:r>
        <w:rPr>
          <w:szCs w:val="20"/>
          <w:lang w:eastAsia="en-GB"/>
        </w:rPr>
        <w:fldChar w:fldCharType="end"/>
      </w:r>
      <w:r>
        <w:rPr>
          <w:szCs w:val="20"/>
          <w:lang w:eastAsia="en-GB"/>
        </w:rPr>
        <w:t xml:space="preserve">. </w:t>
      </w:r>
    </w:p>
    <w:p w14:paraId="3F23AFB2" w14:textId="77777777" w:rsidR="001529CE" w:rsidRDefault="001529CE" w:rsidP="00887760">
      <w:pPr>
        <w:pStyle w:val="Figures"/>
        <w:rPr>
          <w:lang w:eastAsia="en-GB"/>
        </w:rPr>
      </w:pPr>
      <w:bookmarkStart w:id="248" w:name="_Ref150764954"/>
      <w:bookmarkStart w:id="249" w:name="_Toc160129362"/>
      <w:r>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F</w:t>
      </w:r>
      <w:r w:rsidR="000F4CA1">
        <w:rPr>
          <w:noProof/>
        </w:rPr>
        <w:fldChar w:fldCharType="end"/>
      </w:r>
      <w:bookmarkEnd w:id="248"/>
      <w:r>
        <w:t xml:space="preserve"> – </w:t>
      </w:r>
      <w:r>
        <w:rPr>
          <w:lang w:eastAsia="en-GB"/>
        </w:rPr>
        <w:t>M</w:t>
      </w:r>
      <w:r w:rsidRPr="00460AD9">
        <w:rPr>
          <w:lang w:eastAsia="en-GB"/>
        </w:rPr>
        <w:t xml:space="preserve">odelled </w:t>
      </w:r>
      <w:r>
        <w:rPr>
          <w:lang w:eastAsia="en-GB"/>
        </w:rPr>
        <w:t>PM</w:t>
      </w:r>
      <w:r w:rsidRPr="003E0C1E">
        <w:rPr>
          <w:vertAlign w:val="subscript"/>
          <w:lang w:eastAsia="en-GB"/>
        </w:rPr>
        <w:t>10</w:t>
      </w:r>
      <w:r w:rsidRPr="00460AD9">
        <w:rPr>
          <w:lang w:eastAsia="en-GB"/>
        </w:rPr>
        <w:t xml:space="preserve"> annual mean concentrations </w:t>
      </w:r>
      <w:r>
        <w:rPr>
          <w:lang w:eastAsia="en-GB"/>
        </w:rPr>
        <w:t>(</w:t>
      </w:r>
      <w:r w:rsidRPr="00460AD9">
        <w:rPr>
          <w:lang w:eastAsia="en-GB"/>
        </w:rPr>
        <w:t>202</w:t>
      </w:r>
      <w:r>
        <w:rPr>
          <w:lang w:eastAsia="en-GB"/>
        </w:rPr>
        <w:t>2</w:t>
      </w:r>
      <w:r w:rsidRPr="00460AD9">
        <w:rPr>
          <w:lang w:eastAsia="en-GB"/>
        </w:rPr>
        <w:t xml:space="preserve"> baseline</w:t>
      </w:r>
      <w:r>
        <w:rPr>
          <w:lang w:eastAsia="en-GB"/>
        </w:rPr>
        <w:t>)</w:t>
      </w:r>
      <w:bookmarkEnd w:id="249"/>
    </w:p>
    <w:p w14:paraId="571818FA" w14:textId="77777777" w:rsidR="001529CE" w:rsidRDefault="001529CE" w:rsidP="001529CE">
      <w:r>
        <w:rPr>
          <w:noProof/>
        </w:rPr>
        <w:drawing>
          <wp:inline distT="0" distB="0" distL="0" distR="0" wp14:anchorId="0537720B" wp14:editId="06160371">
            <wp:extent cx="5759450" cy="4321081"/>
            <wp:effectExtent l="0" t="0" r="0" b="3810"/>
            <wp:docPr id="210442342" name="Picture 210442342" descr="A map showing the modelled pm10 annual mean concentrations in 2022. There is very little variation across the map and concentrations are generally 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2342" name="Picture 210442342" descr="A map showing the modelled pm10 annual mean concentrations in 2022. There is very little variation across the map and concentrations are generally low "/>
                    <pic:cNvPicPr/>
                  </pic:nvPicPr>
                  <pic:blipFill>
                    <a:blip r:embed="rId31" cstate="print">
                      <a:extLst>
                        <a:ext uri="{28A0092B-C50C-407E-A947-70E740481C1C}">
                          <a14:useLocalDpi xmlns:a14="http://schemas.microsoft.com/office/drawing/2010/main"/>
                        </a:ext>
                      </a:extLst>
                    </a:blip>
                    <a:stretch>
                      <a:fillRect/>
                    </a:stretch>
                  </pic:blipFill>
                  <pic:spPr>
                    <a:xfrm>
                      <a:off x="0" y="0"/>
                      <a:ext cx="5759450" cy="4321081"/>
                    </a:xfrm>
                    <a:prstGeom prst="rect">
                      <a:avLst/>
                    </a:prstGeom>
                  </pic:spPr>
                </pic:pic>
              </a:graphicData>
            </a:graphic>
          </wp:inline>
        </w:drawing>
      </w:r>
    </w:p>
    <w:p w14:paraId="52831C71" w14:textId="77777777" w:rsidR="001529CE" w:rsidRDefault="001529CE" w:rsidP="001529CE"/>
    <w:p w14:paraId="0AE6EAEE" w14:textId="77777777" w:rsidR="001529CE" w:rsidRDefault="001529CE" w:rsidP="00887760">
      <w:pPr>
        <w:pStyle w:val="Figures"/>
        <w:rPr>
          <w:lang w:eastAsia="en-GB"/>
        </w:rPr>
      </w:pPr>
      <w:bookmarkStart w:id="250" w:name="_Ref150772568"/>
      <w:bookmarkStart w:id="251" w:name="_Toc160129363"/>
      <w:r>
        <w:lastRenderedPageBreak/>
        <w:t xml:space="preserve">Figure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G</w:t>
      </w:r>
      <w:r w:rsidR="000F4CA1">
        <w:rPr>
          <w:noProof/>
        </w:rPr>
        <w:fldChar w:fldCharType="end"/>
      </w:r>
      <w:bookmarkEnd w:id="250"/>
      <w:r>
        <w:t xml:space="preserve"> – </w:t>
      </w:r>
      <w:r>
        <w:rPr>
          <w:lang w:eastAsia="en-GB"/>
        </w:rPr>
        <w:t>M</w:t>
      </w:r>
      <w:r w:rsidRPr="00460AD9">
        <w:rPr>
          <w:lang w:eastAsia="en-GB"/>
        </w:rPr>
        <w:t xml:space="preserve">odelled </w:t>
      </w:r>
      <w:r>
        <w:rPr>
          <w:lang w:eastAsia="en-GB"/>
        </w:rPr>
        <w:t>PM</w:t>
      </w:r>
      <w:r w:rsidRPr="003E0C1E">
        <w:rPr>
          <w:vertAlign w:val="subscript"/>
          <w:lang w:eastAsia="en-GB"/>
        </w:rPr>
        <w:t>2.5</w:t>
      </w:r>
      <w:r w:rsidRPr="00460AD9">
        <w:rPr>
          <w:lang w:eastAsia="en-GB"/>
        </w:rPr>
        <w:t xml:space="preserve"> annual mean concentrations </w:t>
      </w:r>
      <w:r>
        <w:rPr>
          <w:lang w:eastAsia="en-GB"/>
        </w:rPr>
        <w:t>(</w:t>
      </w:r>
      <w:r w:rsidRPr="00460AD9">
        <w:rPr>
          <w:lang w:eastAsia="en-GB"/>
        </w:rPr>
        <w:t>202</w:t>
      </w:r>
      <w:r>
        <w:rPr>
          <w:lang w:eastAsia="en-GB"/>
        </w:rPr>
        <w:t>2</w:t>
      </w:r>
      <w:r w:rsidRPr="00460AD9">
        <w:rPr>
          <w:lang w:eastAsia="en-GB"/>
        </w:rPr>
        <w:t xml:space="preserve"> baseline</w:t>
      </w:r>
      <w:r>
        <w:rPr>
          <w:lang w:eastAsia="en-GB"/>
        </w:rPr>
        <w:t>)</w:t>
      </w:r>
      <w:bookmarkEnd w:id="251"/>
    </w:p>
    <w:p w14:paraId="57CF51B3" w14:textId="77777777" w:rsidR="001529CE" w:rsidRDefault="001529CE" w:rsidP="001529CE">
      <w:r>
        <w:rPr>
          <w:noProof/>
        </w:rPr>
        <w:drawing>
          <wp:inline distT="0" distB="0" distL="0" distR="0" wp14:anchorId="27D8D823" wp14:editId="13B623D0">
            <wp:extent cx="5759450" cy="4321081"/>
            <wp:effectExtent l="0" t="0" r="0" b="3810"/>
            <wp:docPr id="210442344" name="Picture 210442344" descr="A map showing modelled pm2.5 annual mean concentrations in 2022. Concentrations are generally low, in the range of 10-15 micrograms across the whole of the bor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2344" name="Picture 210442344" descr="A map showing modelled pm2.5 annual mean concentrations in 2022. Concentrations are generally low, in the range of 10-15 micrograms across the whole of the borough "/>
                    <pic:cNvPicPr/>
                  </pic:nvPicPr>
                  <pic:blipFill>
                    <a:blip r:embed="rId32" cstate="print">
                      <a:extLst>
                        <a:ext uri="{28A0092B-C50C-407E-A947-70E740481C1C}">
                          <a14:useLocalDpi xmlns:a14="http://schemas.microsoft.com/office/drawing/2010/main"/>
                        </a:ext>
                      </a:extLst>
                    </a:blip>
                    <a:stretch>
                      <a:fillRect/>
                    </a:stretch>
                  </pic:blipFill>
                  <pic:spPr>
                    <a:xfrm>
                      <a:off x="0" y="0"/>
                      <a:ext cx="5759450" cy="4321081"/>
                    </a:xfrm>
                    <a:prstGeom prst="rect">
                      <a:avLst/>
                    </a:prstGeom>
                  </pic:spPr>
                </pic:pic>
              </a:graphicData>
            </a:graphic>
          </wp:inline>
        </w:drawing>
      </w:r>
    </w:p>
    <w:p w14:paraId="477E246E" w14:textId="77777777" w:rsidR="001529CE" w:rsidRDefault="001529CE" w:rsidP="001529CE"/>
    <w:p w14:paraId="4D487916" w14:textId="77777777" w:rsidR="001529CE" w:rsidRDefault="001529CE" w:rsidP="001529CE">
      <w:pPr>
        <w:spacing w:before="0" w:after="0" w:line="240" w:lineRule="auto"/>
      </w:pPr>
      <w:r>
        <w:br w:type="page"/>
      </w:r>
    </w:p>
    <w:p w14:paraId="705A14C2" w14:textId="77777777" w:rsidR="001529CE" w:rsidRDefault="001529CE" w:rsidP="001529CE">
      <w:pPr>
        <w:spacing w:before="0" w:after="0" w:line="240" w:lineRule="auto"/>
        <w:sectPr w:rsidR="001529CE" w:rsidSect="004E54A8">
          <w:pgSz w:w="11906" w:h="16838" w:code="9"/>
          <w:pgMar w:top="1474" w:right="1418" w:bottom="1134" w:left="1418" w:header="964" w:footer="454" w:gutter="0"/>
          <w:cols w:space="708"/>
          <w:docGrid w:linePitch="360"/>
        </w:sectPr>
      </w:pPr>
    </w:p>
    <w:p w14:paraId="4ADB5987" w14:textId="77777777" w:rsidR="001529CE" w:rsidRPr="006562C2" w:rsidRDefault="001529CE" w:rsidP="001529CE">
      <w:pPr>
        <w:pStyle w:val="Caption"/>
      </w:pPr>
      <w:bookmarkStart w:id="252" w:name="_Ref159264966"/>
      <w:bookmarkStart w:id="253" w:name="_Toc160128566"/>
      <w:bookmarkStart w:id="254" w:name="_Toc159264942"/>
      <w:bookmarkStart w:id="255" w:name="_Toc160123584"/>
      <w:bookmarkStart w:id="256" w:name="_Toc160123800"/>
      <w:r w:rsidRPr="00887760">
        <w:rPr>
          <w:rStyle w:val="TablesChar"/>
          <w:b/>
          <w:bCs/>
        </w:rPr>
        <w:lastRenderedPageBreak/>
        <w:t xml:space="preserve">Table </w:t>
      </w:r>
      <w:r w:rsidR="00780A57" w:rsidRPr="00887760">
        <w:rPr>
          <w:rStyle w:val="TablesChar"/>
          <w:b/>
          <w:bCs/>
        </w:rPr>
        <w:fldChar w:fldCharType="begin"/>
      </w:r>
      <w:r w:rsidR="00780A57" w:rsidRPr="00887760">
        <w:rPr>
          <w:rStyle w:val="TablesChar"/>
          <w:b/>
          <w:bCs/>
        </w:rPr>
        <w:instrText xml:space="preserve"> STYLEREF 1 \s </w:instrText>
      </w:r>
      <w:r w:rsidR="00780A57" w:rsidRPr="00887760">
        <w:rPr>
          <w:rStyle w:val="TablesChar"/>
          <w:b/>
          <w:bCs/>
        </w:rPr>
        <w:fldChar w:fldCharType="separate"/>
      </w:r>
      <w:r w:rsidRPr="00887760">
        <w:rPr>
          <w:rStyle w:val="TablesChar"/>
          <w:b/>
          <w:bCs/>
        </w:rPr>
        <w:t>2</w:t>
      </w:r>
      <w:r w:rsidR="00780A57" w:rsidRPr="00887760">
        <w:rPr>
          <w:rStyle w:val="TablesChar"/>
          <w:b/>
          <w:bCs/>
        </w:rPr>
        <w:fldChar w:fldCharType="end"/>
      </w:r>
      <w:r w:rsidRPr="00887760">
        <w:rPr>
          <w:rStyle w:val="TablesChar"/>
          <w:b/>
          <w:bCs/>
        </w:rPr>
        <w:noBreakHyphen/>
      </w:r>
      <w:r w:rsidR="00780A57" w:rsidRPr="00887760">
        <w:rPr>
          <w:rStyle w:val="TablesChar"/>
          <w:b/>
          <w:bCs/>
        </w:rPr>
        <w:fldChar w:fldCharType="begin"/>
      </w:r>
      <w:r w:rsidR="00780A57" w:rsidRPr="00887760">
        <w:rPr>
          <w:rStyle w:val="TablesChar"/>
          <w:b/>
          <w:bCs/>
        </w:rPr>
        <w:instrText xml:space="preserve"> SEQ Table \* ARABIC \s 1 </w:instrText>
      </w:r>
      <w:r w:rsidR="00780A57" w:rsidRPr="00887760">
        <w:rPr>
          <w:rStyle w:val="TablesChar"/>
          <w:b/>
          <w:bCs/>
        </w:rPr>
        <w:fldChar w:fldCharType="separate"/>
      </w:r>
      <w:r w:rsidRPr="00887760">
        <w:rPr>
          <w:rStyle w:val="TablesChar"/>
          <w:b/>
          <w:bCs/>
        </w:rPr>
        <w:t>3</w:t>
      </w:r>
      <w:r w:rsidR="00780A57" w:rsidRPr="00887760">
        <w:rPr>
          <w:rStyle w:val="TablesChar"/>
          <w:b/>
          <w:bCs/>
        </w:rPr>
        <w:fldChar w:fldCharType="end"/>
      </w:r>
      <w:bookmarkEnd w:id="252"/>
      <w:r w:rsidRPr="00887760">
        <w:rPr>
          <w:rStyle w:val="TablesChar"/>
          <w:b/>
          <w:bCs/>
        </w:rPr>
        <w:t>– Modelled annual mean PM10 concentrations for the 2022 base year scenario</w:t>
      </w:r>
      <w:bookmarkEnd w:id="253"/>
      <w:r w:rsidRPr="00EF7456">
        <w:t xml:space="preserve">. </w:t>
      </w:r>
      <w:r>
        <w:t>All concentrations are below 50% of the AQO (</w:t>
      </w:r>
      <w:r>
        <w:rPr>
          <w:lang w:eastAsia="en-GB"/>
        </w:rPr>
        <w:t>&lt;20</w:t>
      </w:r>
      <w:r w:rsidRPr="0008222C">
        <w:t xml:space="preserve"> </w:t>
      </w:r>
      <w:r w:rsidRPr="0008222C">
        <w:rPr>
          <w:lang w:eastAsia="en-GB"/>
        </w:rPr>
        <w:t>µg/m</w:t>
      </w:r>
      <w:r w:rsidRPr="0008222C">
        <w:rPr>
          <w:vertAlign w:val="superscript"/>
          <w:lang w:eastAsia="en-GB"/>
        </w:rPr>
        <w:t>3</w:t>
      </w:r>
      <w:r>
        <w:rPr>
          <w:lang w:eastAsia="en-GB"/>
        </w:rPr>
        <w:t>) = dark green.</w:t>
      </w:r>
      <w:bookmarkEnd w:id="254"/>
      <w:bookmarkEnd w:id="255"/>
      <w:bookmarkEnd w:id="256"/>
    </w:p>
    <w:tbl>
      <w:tblPr>
        <w:tblW w:w="20410" w:type="dxa"/>
        <w:tblLook w:val="04A0" w:firstRow="1" w:lastRow="0" w:firstColumn="1" w:lastColumn="0" w:noHBand="0" w:noVBand="1"/>
      </w:tblPr>
      <w:tblGrid>
        <w:gridCol w:w="2268"/>
        <w:gridCol w:w="5669"/>
        <w:gridCol w:w="2268"/>
        <w:gridCol w:w="2268"/>
        <w:gridCol w:w="5669"/>
        <w:gridCol w:w="2268"/>
      </w:tblGrid>
      <w:tr w:rsidR="001529CE" w:rsidRPr="00B0617F" w14:paraId="056876DC" w14:textId="77777777" w:rsidTr="007B10BD">
        <w:trPr>
          <w:trHeight w:val="75"/>
        </w:trPr>
        <w:tc>
          <w:tcPr>
            <w:tcW w:w="2268" w:type="dxa"/>
            <w:tcBorders>
              <w:top w:val="single" w:sz="8" w:space="0" w:color="000000"/>
              <w:left w:val="nil"/>
              <w:bottom w:val="single" w:sz="8" w:space="0" w:color="000000"/>
              <w:right w:val="nil"/>
            </w:tcBorders>
            <w:shd w:val="clear" w:color="auto" w:fill="008938"/>
            <w:noWrap/>
            <w:vAlign w:val="center"/>
            <w:hideMark/>
          </w:tcPr>
          <w:p w14:paraId="5C065E0B"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Site ID</w:t>
            </w:r>
          </w:p>
        </w:tc>
        <w:tc>
          <w:tcPr>
            <w:tcW w:w="5669" w:type="dxa"/>
            <w:tcBorders>
              <w:top w:val="single" w:sz="8" w:space="0" w:color="000000"/>
              <w:left w:val="nil"/>
              <w:bottom w:val="single" w:sz="8" w:space="0" w:color="000000"/>
              <w:right w:val="nil"/>
            </w:tcBorders>
            <w:shd w:val="clear" w:color="auto" w:fill="008938"/>
            <w:noWrap/>
            <w:vAlign w:val="center"/>
            <w:hideMark/>
          </w:tcPr>
          <w:p w14:paraId="7B52A934"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Site name</w:t>
            </w:r>
          </w:p>
        </w:tc>
        <w:tc>
          <w:tcPr>
            <w:tcW w:w="2268" w:type="dxa"/>
            <w:tcBorders>
              <w:top w:val="single" w:sz="8" w:space="0" w:color="000000"/>
              <w:left w:val="nil"/>
              <w:bottom w:val="single" w:sz="8" w:space="0" w:color="000000"/>
              <w:right w:val="nil"/>
            </w:tcBorders>
            <w:shd w:val="clear" w:color="auto" w:fill="008938"/>
            <w:noWrap/>
            <w:vAlign w:val="center"/>
            <w:hideMark/>
          </w:tcPr>
          <w:p w14:paraId="2D322E99"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2022 Modelled PM</w:t>
            </w:r>
            <w:r w:rsidRPr="00B0617F">
              <w:rPr>
                <w:rFonts w:cs="Arial"/>
                <w:b/>
                <w:bCs/>
                <w:color w:val="FFFFFF" w:themeColor="background1"/>
                <w:sz w:val="16"/>
                <w:szCs w:val="16"/>
                <w:vertAlign w:val="subscript"/>
                <w:lang w:eastAsia="en-GB"/>
              </w:rPr>
              <w:t>10</w:t>
            </w:r>
          </w:p>
        </w:tc>
        <w:tc>
          <w:tcPr>
            <w:tcW w:w="2268" w:type="dxa"/>
            <w:tcBorders>
              <w:top w:val="single" w:sz="8" w:space="0" w:color="000000"/>
              <w:left w:val="nil"/>
              <w:bottom w:val="single" w:sz="8" w:space="0" w:color="000000"/>
              <w:right w:val="nil"/>
            </w:tcBorders>
            <w:shd w:val="clear" w:color="auto" w:fill="008938"/>
            <w:vAlign w:val="center"/>
            <w:hideMark/>
          </w:tcPr>
          <w:p w14:paraId="79325D0D"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Site ID</w:t>
            </w:r>
          </w:p>
        </w:tc>
        <w:tc>
          <w:tcPr>
            <w:tcW w:w="5669" w:type="dxa"/>
            <w:tcBorders>
              <w:top w:val="single" w:sz="8" w:space="0" w:color="000000"/>
              <w:left w:val="nil"/>
              <w:bottom w:val="single" w:sz="8" w:space="0" w:color="000000"/>
              <w:right w:val="nil"/>
            </w:tcBorders>
            <w:shd w:val="clear" w:color="auto" w:fill="008938"/>
            <w:vAlign w:val="center"/>
            <w:hideMark/>
          </w:tcPr>
          <w:p w14:paraId="1C28A1C7"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Site name</w:t>
            </w:r>
          </w:p>
        </w:tc>
        <w:tc>
          <w:tcPr>
            <w:tcW w:w="2268" w:type="dxa"/>
            <w:tcBorders>
              <w:top w:val="single" w:sz="8" w:space="0" w:color="000000"/>
              <w:left w:val="nil"/>
              <w:bottom w:val="single" w:sz="8" w:space="0" w:color="000000"/>
              <w:right w:val="nil"/>
            </w:tcBorders>
            <w:shd w:val="clear" w:color="auto" w:fill="008938"/>
            <w:vAlign w:val="center"/>
            <w:hideMark/>
          </w:tcPr>
          <w:p w14:paraId="5DD3120D" w14:textId="77777777" w:rsidR="001529CE" w:rsidRPr="00B0617F" w:rsidRDefault="001529CE" w:rsidP="007B10BD">
            <w:pPr>
              <w:spacing w:before="0" w:line="240" w:lineRule="auto"/>
              <w:jc w:val="center"/>
              <w:rPr>
                <w:rFonts w:cs="Arial"/>
                <w:b/>
                <w:bCs/>
                <w:color w:val="FFFFFF" w:themeColor="background1"/>
                <w:sz w:val="16"/>
                <w:szCs w:val="16"/>
                <w:lang w:eastAsia="en-GB"/>
              </w:rPr>
            </w:pPr>
            <w:r w:rsidRPr="00B0617F">
              <w:rPr>
                <w:rFonts w:cs="Arial"/>
                <w:b/>
                <w:bCs/>
                <w:color w:val="FFFFFF" w:themeColor="background1"/>
                <w:sz w:val="16"/>
                <w:szCs w:val="16"/>
                <w:lang w:eastAsia="en-GB"/>
              </w:rPr>
              <w:t>2022 Modelled PM</w:t>
            </w:r>
            <w:r w:rsidRPr="00B0617F">
              <w:rPr>
                <w:rFonts w:cs="Arial"/>
                <w:b/>
                <w:bCs/>
                <w:color w:val="FFFFFF" w:themeColor="background1"/>
                <w:sz w:val="16"/>
                <w:szCs w:val="16"/>
                <w:vertAlign w:val="subscript"/>
                <w:lang w:eastAsia="en-GB"/>
              </w:rPr>
              <w:t>10</w:t>
            </w:r>
          </w:p>
        </w:tc>
      </w:tr>
      <w:tr w:rsidR="001529CE" w:rsidRPr="00B0617F" w14:paraId="3599D91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3A48C3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93,SLO 94,SLO 95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AA51AD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High Street Langley (B)</w:t>
            </w:r>
          </w:p>
        </w:tc>
        <w:tc>
          <w:tcPr>
            <w:tcW w:w="2268" w:type="dxa"/>
            <w:tcBorders>
              <w:top w:val="nil"/>
              <w:left w:val="single" w:sz="8" w:space="0" w:color="auto"/>
              <w:bottom w:val="nil"/>
              <w:right w:val="nil"/>
            </w:tcBorders>
            <w:shd w:val="clear" w:color="auto" w:fill="008938"/>
            <w:noWrap/>
            <w:vAlign w:val="bottom"/>
            <w:hideMark/>
          </w:tcPr>
          <w:p w14:paraId="1B0273C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19.58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821824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8907CF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 (A)</w:t>
            </w:r>
          </w:p>
        </w:tc>
        <w:tc>
          <w:tcPr>
            <w:tcW w:w="2268" w:type="dxa"/>
            <w:tcBorders>
              <w:top w:val="nil"/>
              <w:left w:val="nil"/>
              <w:bottom w:val="nil"/>
              <w:right w:val="nil"/>
            </w:tcBorders>
            <w:shd w:val="clear" w:color="auto" w:fill="008938"/>
            <w:noWrap/>
            <w:vAlign w:val="bottom"/>
            <w:hideMark/>
          </w:tcPr>
          <w:p w14:paraId="6A17FEE0"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18.09</w:t>
            </w:r>
          </w:p>
        </w:tc>
      </w:tr>
      <w:tr w:rsidR="001529CE" w:rsidRPr="00B0617F" w14:paraId="029574E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A2997D9"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8B359E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Wexham Road</w:t>
            </w:r>
          </w:p>
        </w:tc>
        <w:tc>
          <w:tcPr>
            <w:tcW w:w="2268" w:type="dxa"/>
            <w:tcBorders>
              <w:top w:val="nil"/>
              <w:left w:val="single" w:sz="8" w:space="0" w:color="auto"/>
              <w:bottom w:val="nil"/>
              <w:right w:val="nil"/>
            </w:tcBorders>
            <w:shd w:val="clear" w:color="auto" w:fill="008938"/>
            <w:noWrap/>
            <w:vAlign w:val="bottom"/>
            <w:hideMark/>
          </w:tcPr>
          <w:p w14:paraId="738C558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19.39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9BAADE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10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9AE733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 Town Centre Wellington Street</w:t>
            </w:r>
          </w:p>
        </w:tc>
        <w:tc>
          <w:tcPr>
            <w:tcW w:w="2268" w:type="dxa"/>
            <w:tcBorders>
              <w:top w:val="nil"/>
              <w:left w:val="nil"/>
              <w:bottom w:val="nil"/>
              <w:right w:val="nil"/>
            </w:tcBorders>
            <w:shd w:val="clear" w:color="auto" w:fill="008938"/>
            <w:noWrap/>
            <w:vAlign w:val="bottom"/>
            <w:hideMark/>
          </w:tcPr>
          <w:p w14:paraId="748738A8"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18.05</w:t>
            </w:r>
          </w:p>
        </w:tc>
      </w:tr>
      <w:tr w:rsidR="001529CE" w:rsidRPr="00B0617F" w14:paraId="65CE6EF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AB27CB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C6828B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London Road (A)</w:t>
            </w:r>
          </w:p>
        </w:tc>
        <w:tc>
          <w:tcPr>
            <w:tcW w:w="2268" w:type="dxa"/>
            <w:tcBorders>
              <w:top w:val="nil"/>
              <w:left w:val="single" w:sz="8" w:space="0" w:color="auto"/>
              <w:bottom w:val="nil"/>
              <w:right w:val="nil"/>
            </w:tcBorders>
            <w:shd w:val="clear" w:color="auto" w:fill="008938"/>
            <w:noWrap/>
            <w:vAlign w:val="bottom"/>
            <w:hideMark/>
          </w:tcPr>
          <w:p w14:paraId="72EDEA7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19.27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C489AE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86AF79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Yew Tree Rd (Ux Rd) (B)</w:t>
            </w:r>
          </w:p>
        </w:tc>
        <w:tc>
          <w:tcPr>
            <w:tcW w:w="2268" w:type="dxa"/>
            <w:tcBorders>
              <w:top w:val="nil"/>
              <w:left w:val="nil"/>
              <w:bottom w:val="nil"/>
              <w:right w:val="nil"/>
            </w:tcBorders>
            <w:shd w:val="clear" w:color="auto" w:fill="008938"/>
            <w:noWrap/>
            <w:vAlign w:val="bottom"/>
            <w:hideMark/>
          </w:tcPr>
          <w:p w14:paraId="3AA84E3E"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18.03</w:t>
            </w:r>
          </w:p>
        </w:tc>
      </w:tr>
      <w:tr w:rsidR="001529CE" w:rsidRPr="00B0617F" w14:paraId="6DD43DB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B84271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66,SLO 67,SLO 68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7DD698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Princess Street</w:t>
            </w:r>
          </w:p>
        </w:tc>
        <w:tc>
          <w:tcPr>
            <w:tcW w:w="2268" w:type="dxa"/>
            <w:tcBorders>
              <w:top w:val="nil"/>
              <w:left w:val="single" w:sz="8" w:space="0" w:color="auto"/>
              <w:bottom w:val="nil"/>
              <w:right w:val="nil"/>
            </w:tcBorders>
            <w:shd w:val="clear" w:color="auto" w:fill="008938"/>
            <w:noWrap/>
            <w:vAlign w:val="bottom"/>
            <w:hideMark/>
          </w:tcPr>
          <w:p w14:paraId="6425A898"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19.25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3C1BF8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ADDCF5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Station Road</w:t>
            </w:r>
          </w:p>
        </w:tc>
        <w:tc>
          <w:tcPr>
            <w:tcW w:w="2268" w:type="dxa"/>
            <w:tcBorders>
              <w:top w:val="nil"/>
              <w:left w:val="nil"/>
              <w:bottom w:val="nil"/>
              <w:right w:val="nil"/>
            </w:tcBorders>
            <w:shd w:val="clear" w:color="auto" w:fill="008938"/>
            <w:noWrap/>
            <w:vAlign w:val="bottom"/>
            <w:hideMark/>
          </w:tcPr>
          <w:p w14:paraId="7A6773D9"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18.00</w:t>
            </w:r>
          </w:p>
        </w:tc>
      </w:tr>
      <w:tr w:rsidR="001529CE" w:rsidRPr="00B0617F" w14:paraId="031C581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250BFA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ED4E3E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Windsor Road</w:t>
            </w:r>
          </w:p>
        </w:tc>
        <w:tc>
          <w:tcPr>
            <w:tcW w:w="2268" w:type="dxa"/>
            <w:tcBorders>
              <w:top w:val="nil"/>
              <w:left w:val="single" w:sz="8" w:space="0" w:color="auto"/>
              <w:bottom w:val="nil"/>
              <w:right w:val="nil"/>
            </w:tcBorders>
            <w:shd w:val="clear" w:color="auto" w:fill="008938"/>
            <w:noWrap/>
            <w:vAlign w:val="bottom"/>
            <w:hideMark/>
          </w:tcPr>
          <w:p w14:paraId="7837C8E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19.16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F23D28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C50B2A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Rogans (Colnbrook By-pass)</w:t>
            </w:r>
          </w:p>
        </w:tc>
        <w:tc>
          <w:tcPr>
            <w:tcW w:w="2268" w:type="dxa"/>
            <w:tcBorders>
              <w:top w:val="nil"/>
              <w:left w:val="nil"/>
              <w:bottom w:val="nil"/>
              <w:right w:val="nil"/>
            </w:tcBorders>
            <w:shd w:val="clear" w:color="auto" w:fill="008938"/>
            <w:noWrap/>
            <w:vAlign w:val="bottom"/>
            <w:hideMark/>
          </w:tcPr>
          <w:p w14:paraId="6EE2852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17.96</w:t>
            </w:r>
          </w:p>
        </w:tc>
      </w:tr>
      <w:tr w:rsidR="001529CE" w:rsidRPr="00B0617F" w14:paraId="676A923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16BE8C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3CE219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Ledgers Road (b)</w:t>
            </w:r>
          </w:p>
        </w:tc>
        <w:tc>
          <w:tcPr>
            <w:tcW w:w="2268" w:type="dxa"/>
            <w:tcBorders>
              <w:top w:val="nil"/>
              <w:left w:val="single" w:sz="8" w:space="0" w:color="auto"/>
              <w:bottom w:val="nil"/>
              <w:right w:val="nil"/>
            </w:tcBorders>
            <w:shd w:val="clear" w:color="auto" w:fill="008938"/>
            <w:noWrap/>
            <w:vAlign w:val="bottom"/>
            <w:hideMark/>
          </w:tcPr>
          <w:p w14:paraId="25EC769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19.13</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B8EC15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E9D21A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 London Road</w:t>
            </w:r>
          </w:p>
        </w:tc>
        <w:tc>
          <w:tcPr>
            <w:tcW w:w="2268" w:type="dxa"/>
            <w:tcBorders>
              <w:top w:val="nil"/>
              <w:left w:val="nil"/>
              <w:bottom w:val="nil"/>
              <w:right w:val="nil"/>
            </w:tcBorders>
            <w:shd w:val="clear" w:color="auto" w:fill="008938"/>
            <w:noWrap/>
            <w:vAlign w:val="bottom"/>
            <w:hideMark/>
          </w:tcPr>
          <w:p w14:paraId="5D2173F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17.92</w:t>
            </w:r>
          </w:p>
        </w:tc>
      </w:tr>
      <w:tr w:rsidR="001529CE" w:rsidRPr="00B0617F" w14:paraId="15A02465"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E78066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D9A364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Windsor Road (B)</w:t>
            </w:r>
          </w:p>
        </w:tc>
        <w:tc>
          <w:tcPr>
            <w:tcW w:w="2268" w:type="dxa"/>
            <w:tcBorders>
              <w:top w:val="nil"/>
              <w:left w:val="single" w:sz="8" w:space="0" w:color="auto"/>
              <w:bottom w:val="nil"/>
              <w:right w:val="nil"/>
            </w:tcBorders>
            <w:shd w:val="clear" w:color="auto" w:fill="008938"/>
            <w:noWrap/>
            <w:vAlign w:val="bottom"/>
            <w:hideMark/>
          </w:tcPr>
          <w:p w14:paraId="0021C0C7"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19.08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9ED4A7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F4F801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Yew Tree Rd (Ux Rd) (B)</w:t>
            </w:r>
          </w:p>
        </w:tc>
        <w:tc>
          <w:tcPr>
            <w:tcW w:w="2268" w:type="dxa"/>
            <w:tcBorders>
              <w:top w:val="nil"/>
              <w:left w:val="nil"/>
              <w:bottom w:val="nil"/>
              <w:right w:val="nil"/>
            </w:tcBorders>
            <w:shd w:val="clear" w:color="auto" w:fill="008938"/>
            <w:noWrap/>
            <w:vAlign w:val="bottom"/>
            <w:hideMark/>
          </w:tcPr>
          <w:p w14:paraId="77F1E30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17.87</w:t>
            </w:r>
          </w:p>
        </w:tc>
      </w:tr>
      <w:tr w:rsidR="001529CE" w:rsidRPr="00B0617F" w14:paraId="6E8AE88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BA0F2D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891B64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Grampian Way</w:t>
            </w:r>
          </w:p>
        </w:tc>
        <w:tc>
          <w:tcPr>
            <w:tcW w:w="2268" w:type="dxa"/>
            <w:tcBorders>
              <w:top w:val="nil"/>
              <w:left w:val="single" w:sz="8" w:space="0" w:color="auto"/>
              <w:bottom w:val="nil"/>
              <w:right w:val="nil"/>
            </w:tcBorders>
            <w:shd w:val="clear" w:color="auto" w:fill="008938"/>
            <w:noWrap/>
            <w:vAlign w:val="bottom"/>
            <w:hideMark/>
          </w:tcPr>
          <w:p w14:paraId="790B22F3"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18.90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B48BDF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0AC5F9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Oatlands Drive (a)</w:t>
            </w:r>
          </w:p>
        </w:tc>
        <w:tc>
          <w:tcPr>
            <w:tcW w:w="2268" w:type="dxa"/>
            <w:tcBorders>
              <w:top w:val="nil"/>
              <w:left w:val="nil"/>
              <w:bottom w:val="nil"/>
              <w:right w:val="nil"/>
            </w:tcBorders>
            <w:shd w:val="clear" w:color="auto" w:fill="008938"/>
            <w:noWrap/>
            <w:vAlign w:val="bottom"/>
            <w:hideMark/>
          </w:tcPr>
          <w:p w14:paraId="1FDCA3F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17.86</w:t>
            </w:r>
          </w:p>
        </w:tc>
      </w:tr>
      <w:tr w:rsidR="001529CE" w:rsidRPr="00B0617F" w14:paraId="2A7D426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206C2C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90,SLO 91,SLO 92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86A45F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Cornwall House, Bath Rd</w:t>
            </w:r>
          </w:p>
        </w:tc>
        <w:tc>
          <w:tcPr>
            <w:tcW w:w="2268" w:type="dxa"/>
            <w:tcBorders>
              <w:top w:val="nil"/>
              <w:left w:val="single" w:sz="8" w:space="0" w:color="auto"/>
              <w:bottom w:val="nil"/>
              <w:right w:val="nil"/>
            </w:tcBorders>
            <w:shd w:val="clear" w:color="auto" w:fill="008938"/>
            <w:noWrap/>
            <w:vAlign w:val="bottom"/>
            <w:hideMark/>
          </w:tcPr>
          <w:p w14:paraId="600A3AF7"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18.83</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384FEB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02C2B9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Langley Road</w:t>
            </w:r>
          </w:p>
        </w:tc>
        <w:tc>
          <w:tcPr>
            <w:tcW w:w="2268" w:type="dxa"/>
            <w:tcBorders>
              <w:top w:val="nil"/>
              <w:left w:val="nil"/>
              <w:bottom w:val="nil"/>
              <w:right w:val="nil"/>
            </w:tcBorders>
            <w:shd w:val="clear" w:color="auto" w:fill="008938"/>
            <w:noWrap/>
            <w:vAlign w:val="bottom"/>
            <w:hideMark/>
          </w:tcPr>
          <w:p w14:paraId="5990FE6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17.85</w:t>
            </w:r>
          </w:p>
        </w:tc>
      </w:tr>
      <w:tr w:rsidR="001529CE" w:rsidRPr="00B0617F" w14:paraId="655232E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269936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69,SLO 70,SLO 71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749C24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Albert Street/Upton Court Park Road</w:t>
            </w:r>
          </w:p>
        </w:tc>
        <w:tc>
          <w:tcPr>
            <w:tcW w:w="2268" w:type="dxa"/>
            <w:tcBorders>
              <w:top w:val="nil"/>
              <w:left w:val="single" w:sz="8" w:space="0" w:color="auto"/>
              <w:bottom w:val="nil"/>
              <w:right w:val="nil"/>
            </w:tcBorders>
            <w:shd w:val="clear" w:color="auto" w:fill="008938"/>
            <w:noWrap/>
            <w:vAlign w:val="bottom"/>
            <w:hideMark/>
          </w:tcPr>
          <w:p w14:paraId="73AEACB3"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F2454D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FD7F28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Windsor Road (B)</w:t>
            </w:r>
          </w:p>
        </w:tc>
        <w:tc>
          <w:tcPr>
            <w:tcW w:w="2268" w:type="dxa"/>
            <w:tcBorders>
              <w:top w:val="nil"/>
              <w:left w:val="nil"/>
              <w:bottom w:val="nil"/>
              <w:right w:val="nil"/>
            </w:tcBorders>
            <w:shd w:val="clear" w:color="auto" w:fill="008938"/>
            <w:noWrap/>
            <w:vAlign w:val="bottom"/>
            <w:hideMark/>
          </w:tcPr>
          <w:p w14:paraId="1A8116BE"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17.82</w:t>
            </w:r>
          </w:p>
        </w:tc>
      </w:tr>
      <w:tr w:rsidR="001529CE" w:rsidRPr="00B0617F" w14:paraId="6048EE5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D7733B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75,SLO 76,SLO 77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106BF2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 xml:space="preserve">Blair Road </w:t>
            </w:r>
            <w:r>
              <w:rPr>
                <w:rFonts w:cs="Arial"/>
                <w:color w:val="000000"/>
                <w:sz w:val="16"/>
                <w:szCs w:val="16"/>
              </w:rPr>
              <w:t>–</w:t>
            </w:r>
            <w:r w:rsidRPr="00B0617F">
              <w:rPr>
                <w:rFonts w:cs="Arial"/>
                <w:color w:val="000000"/>
                <w:sz w:val="16"/>
                <w:szCs w:val="16"/>
              </w:rPr>
              <w:t xml:space="preserve"> Victoria Court</w:t>
            </w:r>
          </w:p>
        </w:tc>
        <w:tc>
          <w:tcPr>
            <w:tcW w:w="2268" w:type="dxa"/>
            <w:tcBorders>
              <w:top w:val="nil"/>
              <w:left w:val="single" w:sz="8" w:space="0" w:color="auto"/>
              <w:bottom w:val="nil"/>
              <w:right w:val="nil"/>
            </w:tcBorders>
            <w:shd w:val="clear" w:color="auto" w:fill="008938"/>
            <w:noWrap/>
            <w:vAlign w:val="bottom"/>
            <w:hideMark/>
          </w:tcPr>
          <w:p w14:paraId="7ADF26C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DE0BA8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122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1609EA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Cippenham Lane (a)</w:t>
            </w:r>
          </w:p>
        </w:tc>
        <w:tc>
          <w:tcPr>
            <w:tcW w:w="2268" w:type="dxa"/>
            <w:tcBorders>
              <w:top w:val="nil"/>
              <w:left w:val="nil"/>
              <w:bottom w:val="nil"/>
              <w:right w:val="nil"/>
            </w:tcBorders>
            <w:shd w:val="clear" w:color="auto" w:fill="008938"/>
            <w:noWrap/>
            <w:vAlign w:val="bottom"/>
            <w:hideMark/>
          </w:tcPr>
          <w:p w14:paraId="42B2CC00"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17.75</w:t>
            </w:r>
          </w:p>
        </w:tc>
      </w:tr>
      <w:tr w:rsidR="001529CE" w:rsidRPr="00B0617F" w14:paraId="4C2A24CF"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8EC97B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87,SLO 88,SLO 89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784F09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 Windmill Bath Road</w:t>
            </w:r>
          </w:p>
        </w:tc>
        <w:tc>
          <w:tcPr>
            <w:tcW w:w="2268" w:type="dxa"/>
            <w:tcBorders>
              <w:top w:val="nil"/>
              <w:left w:val="single" w:sz="8" w:space="0" w:color="auto"/>
              <w:bottom w:val="nil"/>
              <w:right w:val="nil"/>
            </w:tcBorders>
            <w:shd w:val="clear" w:color="auto" w:fill="008938"/>
            <w:noWrap/>
            <w:vAlign w:val="bottom"/>
            <w:hideMark/>
          </w:tcPr>
          <w:p w14:paraId="220FAC8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E5A635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121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CA14E6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Ledgers Road (b)</w:t>
            </w:r>
          </w:p>
        </w:tc>
        <w:tc>
          <w:tcPr>
            <w:tcW w:w="2268" w:type="dxa"/>
            <w:tcBorders>
              <w:top w:val="nil"/>
              <w:left w:val="nil"/>
              <w:bottom w:val="nil"/>
              <w:right w:val="nil"/>
            </w:tcBorders>
            <w:shd w:val="clear" w:color="auto" w:fill="008938"/>
            <w:noWrap/>
            <w:vAlign w:val="bottom"/>
            <w:hideMark/>
          </w:tcPr>
          <w:p w14:paraId="5349AACC"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17.72</w:t>
            </w:r>
          </w:p>
        </w:tc>
      </w:tr>
      <w:tr w:rsidR="001529CE" w:rsidRPr="00B0617F" w14:paraId="2AE1F09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7D2E4B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72,SLO 73,SLO 74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09D910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High Street Langley (A)</w:t>
            </w:r>
          </w:p>
        </w:tc>
        <w:tc>
          <w:tcPr>
            <w:tcW w:w="2268" w:type="dxa"/>
            <w:tcBorders>
              <w:top w:val="nil"/>
              <w:left w:val="single" w:sz="8" w:space="0" w:color="auto"/>
              <w:bottom w:val="nil"/>
              <w:right w:val="nil"/>
            </w:tcBorders>
            <w:shd w:val="clear" w:color="auto" w:fill="008938"/>
            <w:noWrap/>
            <w:vAlign w:val="bottom"/>
            <w:hideMark/>
          </w:tcPr>
          <w:p w14:paraId="77D0C09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E79F41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795107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Chalvey Road East (a)</w:t>
            </w:r>
          </w:p>
        </w:tc>
        <w:tc>
          <w:tcPr>
            <w:tcW w:w="2268" w:type="dxa"/>
            <w:tcBorders>
              <w:top w:val="nil"/>
              <w:left w:val="nil"/>
              <w:bottom w:val="nil"/>
              <w:right w:val="nil"/>
            </w:tcBorders>
            <w:shd w:val="clear" w:color="auto" w:fill="008938"/>
            <w:noWrap/>
            <w:vAlign w:val="bottom"/>
            <w:hideMark/>
          </w:tcPr>
          <w:p w14:paraId="3CA54201"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17.67</w:t>
            </w:r>
          </w:p>
        </w:tc>
      </w:tr>
      <w:tr w:rsidR="001529CE" w:rsidRPr="00B0617F" w14:paraId="00DF094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8D87F1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78,SLO 79,SLO 80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49171B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 (A)</w:t>
            </w:r>
          </w:p>
        </w:tc>
        <w:tc>
          <w:tcPr>
            <w:tcW w:w="2268" w:type="dxa"/>
            <w:tcBorders>
              <w:top w:val="nil"/>
              <w:left w:val="single" w:sz="8" w:space="0" w:color="auto"/>
              <w:bottom w:val="nil"/>
              <w:right w:val="nil"/>
            </w:tcBorders>
            <w:shd w:val="clear" w:color="auto" w:fill="008938"/>
            <w:noWrap/>
            <w:vAlign w:val="bottom"/>
            <w:hideMark/>
          </w:tcPr>
          <w:p w14:paraId="3AC3A4A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18.79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E90CFE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485532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High Street Langley (B)</w:t>
            </w:r>
          </w:p>
        </w:tc>
        <w:tc>
          <w:tcPr>
            <w:tcW w:w="2268" w:type="dxa"/>
            <w:tcBorders>
              <w:top w:val="nil"/>
              <w:left w:val="nil"/>
              <w:bottom w:val="nil"/>
              <w:right w:val="nil"/>
            </w:tcBorders>
            <w:shd w:val="clear" w:color="auto" w:fill="008938"/>
            <w:noWrap/>
            <w:vAlign w:val="bottom"/>
            <w:hideMark/>
          </w:tcPr>
          <w:p w14:paraId="59D2A3B4"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17.65</w:t>
            </w:r>
          </w:p>
        </w:tc>
      </w:tr>
      <w:tr w:rsidR="001529CE" w:rsidRPr="00B0617F" w14:paraId="3C2FBC7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772ECC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84,SLO 85,SLO 86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EF2C39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Spackmans Way HE Receptor 7</w:t>
            </w:r>
          </w:p>
        </w:tc>
        <w:tc>
          <w:tcPr>
            <w:tcW w:w="2268" w:type="dxa"/>
            <w:tcBorders>
              <w:top w:val="nil"/>
              <w:left w:val="single" w:sz="8" w:space="0" w:color="auto"/>
              <w:bottom w:val="nil"/>
              <w:right w:val="nil"/>
            </w:tcBorders>
            <w:shd w:val="clear" w:color="auto" w:fill="008938"/>
            <w:noWrap/>
            <w:vAlign w:val="bottom"/>
            <w:hideMark/>
          </w:tcPr>
          <w:p w14:paraId="22477F9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18.78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BF7B24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87E49F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Cippenham Lane (a)</w:t>
            </w:r>
          </w:p>
        </w:tc>
        <w:tc>
          <w:tcPr>
            <w:tcW w:w="2268" w:type="dxa"/>
            <w:tcBorders>
              <w:top w:val="nil"/>
              <w:left w:val="nil"/>
              <w:bottom w:val="nil"/>
              <w:right w:val="nil"/>
            </w:tcBorders>
            <w:shd w:val="clear" w:color="auto" w:fill="008938"/>
            <w:noWrap/>
            <w:vAlign w:val="bottom"/>
            <w:hideMark/>
          </w:tcPr>
          <w:p w14:paraId="7FE98211"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17.54</w:t>
            </w:r>
          </w:p>
        </w:tc>
      </w:tr>
      <w:tr w:rsidR="001529CE" w:rsidRPr="00B0617F" w14:paraId="0892F8AC" w14:textId="77777777" w:rsidTr="007B10BD">
        <w:trPr>
          <w:trHeight w:val="85"/>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E5EDA0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81,SLO 82,SLO 83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7E0325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London Road (A)</w:t>
            </w:r>
          </w:p>
        </w:tc>
        <w:tc>
          <w:tcPr>
            <w:tcW w:w="2268" w:type="dxa"/>
            <w:tcBorders>
              <w:top w:val="nil"/>
              <w:left w:val="single" w:sz="8" w:space="0" w:color="auto"/>
              <w:bottom w:val="nil"/>
              <w:right w:val="nil"/>
            </w:tcBorders>
            <w:shd w:val="clear" w:color="auto" w:fill="008938"/>
            <w:noWrap/>
            <w:vAlign w:val="bottom"/>
            <w:hideMark/>
          </w:tcPr>
          <w:p w14:paraId="1EF7F29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18.77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9238E6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120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41A308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Ledgers Road (a)</w:t>
            </w:r>
          </w:p>
        </w:tc>
        <w:tc>
          <w:tcPr>
            <w:tcW w:w="2268" w:type="dxa"/>
            <w:tcBorders>
              <w:top w:val="nil"/>
              <w:left w:val="nil"/>
              <w:bottom w:val="nil"/>
              <w:right w:val="nil"/>
            </w:tcBorders>
            <w:shd w:val="clear" w:color="auto" w:fill="008938"/>
            <w:noWrap/>
            <w:vAlign w:val="bottom"/>
            <w:hideMark/>
          </w:tcPr>
          <w:p w14:paraId="0BC4663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17.52</w:t>
            </w:r>
          </w:p>
        </w:tc>
      </w:tr>
      <w:tr w:rsidR="001529CE" w:rsidRPr="00B0617F" w14:paraId="3DC6EDB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95A8F0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22E411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Tuns Lane (B)</w:t>
            </w:r>
          </w:p>
        </w:tc>
        <w:tc>
          <w:tcPr>
            <w:tcW w:w="2268" w:type="dxa"/>
            <w:tcBorders>
              <w:top w:val="nil"/>
              <w:left w:val="single" w:sz="8" w:space="0" w:color="auto"/>
              <w:bottom w:val="nil"/>
              <w:right w:val="nil"/>
            </w:tcBorders>
            <w:shd w:val="clear" w:color="auto" w:fill="008938"/>
            <w:noWrap/>
            <w:vAlign w:val="bottom"/>
            <w:hideMark/>
          </w:tcPr>
          <w:p w14:paraId="7383A349"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18.77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C1C0DA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B4462F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Tuns Lane (B)</w:t>
            </w:r>
          </w:p>
        </w:tc>
        <w:tc>
          <w:tcPr>
            <w:tcW w:w="2268" w:type="dxa"/>
            <w:tcBorders>
              <w:top w:val="nil"/>
              <w:left w:val="nil"/>
              <w:bottom w:val="nil"/>
              <w:right w:val="nil"/>
            </w:tcBorders>
            <w:shd w:val="clear" w:color="auto" w:fill="008938"/>
            <w:noWrap/>
            <w:vAlign w:val="bottom"/>
            <w:hideMark/>
          </w:tcPr>
          <w:p w14:paraId="0995400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17.41</w:t>
            </w:r>
          </w:p>
        </w:tc>
      </w:tr>
      <w:tr w:rsidR="001529CE" w:rsidRPr="00B0617F" w14:paraId="4AFFA22C"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399774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1814EF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Grampian Way</w:t>
            </w:r>
          </w:p>
        </w:tc>
        <w:tc>
          <w:tcPr>
            <w:tcW w:w="2268" w:type="dxa"/>
            <w:tcBorders>
              <w:top w:val="nil"/>
              <w:left w:val="single" w:sz="8" w:space="0" w:color="auto"/>
              <w:bottom w:val="nil"/>
              <w:right w:val="nil"/>
            </w:tcBorders>
            <w:shd w:val="clear" w:color="auto" w:fill="008938"/>
            <w:noWrap/>
            <w:vAlign w:val="bottom"/>
            <w:hideMark/>
          </w:tcPr>
          <w:p w14:paraId="58BFE6D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18.68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508E43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128B45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High Street Langley (A)</w:t>
            </w:r>
          </w:p>
        </w:tc>
        <w:tc>
          <w:tcPr>
            <w:tcW w:w="2268" w:type="dxa"/>
            <w:tcBorders>
              <w:top w:val="nil"/>
              <w:left w:val="nil"/>
              <w:bottom w:val="nil"/>
              <w:right w:val="nil"/>
            </w:tcBorders>
            <w:shd w:val="clear" w:color="auto" w:fill="008938"/>
            <w:noWrap/>
            <w:vAlign w:val="bottom"/>
            <w:hideMark/>
          </w:tcPr>
          <w:p w14:paraId="219ACEE3"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17.34</w:t>
            </w:r>
          </w:p>
        </w:tc>
      </w:tr>
      <w:tr w:rsidR="001529CE" w:rsidRPr="00B0617F" w14:paraId="19BC927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BFD454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97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E589A9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Albert Street/Upton Court Park Road</w:t>
            </w:r>
          </w:p>
        </w:tc>
        <w:tc>
          <w:tcPr>
            <w:tcW w:w="2268" w:type="dxa"/>
            <w:tcBorders>
              <w:top w:val="nil"/>
              <w:left w:val="single" w:sz="8" w:space="0" w:color="auto"/>
              <w:bottom w:val="nil"/>
              <w:right w:val="nil"/>
            </w:tcBorders>
            <w:shd w:val="clear" w:color="auto" w:fill="008938"/>
            <w:noWrap/>
            <w:vAlign w:val="bottom"/>
            <w:hideMark/>
          </w:tcPr>
          <w:p w14:paraId="382EE00E"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18.59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9564D1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123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ED7E9D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Ledgers Road (a)</w:t>
            </w:r>
          </w:p>
        </w:tc>
        <w:tc>
          <w:tcPr>
            <w:tcW w:w="2268" w:type="dxa"/>
            <w:tcBorders>
              <w:top w:val="nil"/>
              <w:left w:val="nil"/>
              <w:bottom w:val="nil"/>
              <w:right w:val="nil"/>
            </w:tcBorders>
            <w:shd w:val="clear" w:color="auto" w:fill="008938"/>
            <w:noWrap/>
            <w:vAlign w:val="bottom"/>
            <w:hideMark/>
          </w:tcPr>
          <w:p w14:paraId="3C335E7C"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17.34</w:t>
            </w:r>
          </w:p>
        </w:tc>
      </w:tr>
      <w:tr w:rsidR="001529CE" w:rsidRPr="00B0617F" w14:paraId="4E5515D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24C9E4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060CD9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Windmill (Bath Rd)</w:t>
            </w:r>
          </w:p>
        </w:tc>
        <w:tc>
          <w:tcPr>
            <w:tcW w:w="2268" w:type="dxa"/>
            <w:tcBorders>
              <w:top w:val="nil"/>
              <w:left w:val="single" w:sz="8" w:space="0" w:color="auto"/>
              <w:bottom w:val="nil"/>
              <w:right w:val="nil"/>
            </w:tcBorders>
            <w:shd w:val="clear" w:color="auto" w:fill="008938"/>
            <w:noWrap/>
            <w:vAlign w:val="bottom"/>
            <w:hideMark/>
          </w:tcPr>
          <w:p w14:paraId="1CBC759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18.55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4F9251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5109A6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Elliman Avenue (a)</w:t>
            </w:r>
          </w:p>
        </w:tc>
        <w:tc>
          <w:tcPr>
            <w:tcW w:w="2268" w:type="dxa"/>
            <w:tcBorders>
              <w:top w:val="nil"/>
              <w:left w:val="nil"/>
              <w:bottom w:val="nil"/>
              <w:right w:val="nil"/>
            </w:tcBorders>
            <w:shd w:val="clear" w:color="auto" w:fill="008938"/>
            <w:noWrap/>
            <w:vAlign w:val="bottom"/>
            <w:hideMark/>
          </w:tcPr>
          <w:p w14:paraId="490134D8"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17.33</w:t>
            </w:r>
          </w:p>
        </w:tc>
      </w:tr>
      <w:tr w:rsidR="001529CE" w:rsidRPr="00B0617F" w14:paraId="21E3C980"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349F7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AD7874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Windsor Road</w:t>
            </w:r>
          </w:p>
        </w:tc>
        <w:tc>
          <w:tcPr>
            <w:tcW w:w="2268" w:type="dxa"/>
            <w:tcBorders>
              <w:top w:val="nil"/>
              <w:left w:val="single" w:sz="8" w:space="0" w:color="auto"/>
              <w:bottom w:val="nil"/>
              <w:right w:val="nil"/>
            </w:tcBorders>
            <w:shd w:val="clear" w:color="auto" w:fill="008938"/>
            <w:noWrap/>
            <w:vAlign w:val="bottom"/>
            <w:hideMark/>
          </w:tcPr>
          <w:p w14:paraId="496E8FB4"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18.54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18BDA7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D48B43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Elbow Meadows</w:t>
            </w:r>
          </w:p>
        </w:tc>
        <w:tc>
          <w:tcPr>
            <w:tcW w:w="2268" w:type="dxa"/>
            <w:tcBorders>
              <w:top w:val="nil"/>
              <w:left w:val="nil"/>
              <w:bottom w:val="nil"/>
              <w:right w:val="nil"/>
            </w:tcBorders>
            <w:shd w:val="clear" w:color="auto" w:fill="008938"/>
            <w:noWrap/>
            <w:vAlign w:val="bottom"/>
            <w:hideMark/>
          </w:tcPr>
          <w:p w14:paraId="49356EA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17.26</w:t>
            </w:r>
          </w:p>
        </w:tc>
      </w:tr>
      <w:tr w:rsidR="001529CE" w:rsidRPr="00B0617F" w14:paraId="179DC9E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AB6077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44A5E5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Princess Street</w:t>
            </w:r>
          </w:p>
        </w:tc>
        <w:tc>
          <w:tcPr>
            <w:tcW w:w="2268" w:type="dxa"/>
            <w:tcBorders>
              <w:top w:val="nil"/>
              <w:left w:val="single" w:sz="8" w:space="0" w:color="auto"/>
              <w:bottom w:val="nil"/>
              <w:right w:val="nil"/>
            </w:tcBorders>
            <w:shd w:val="clear" w:color="auto" w:fill="008938"/>
            <w:noWrap/>
            <w:vAlign w:val="bottom"/>
            <w:hideMark/>
          </w:tcPr>
          <w:p w14:paraId="6412FDB5"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18.52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79C068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7B474D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Oatlands Drive (b)</w:t>
            </w:r>
          </w:p>
        </w:tc>
        <w:tc>
          <w:tcPr>
            <w:tcW w:w="2268" w:type="dxa"/>
            <w:tcBorders>
              <w:top w:val="nil"/>
              <w:left w:val="nil"/>
              <w:bottom w:val="nil"/>
              <w:right w:val="nil"/>
            </w:tcBorders>
            <w:shd w:val="clear" w:color="auto" w:fill="008938"/>
            <w:noWrap/>
            <w:vAlign w:val="bottom"/>
            <w:hideMark/>
          </w:tcPr>
          <w:p w14:paraId="70F239BC"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17.25</w:t>
            </w:r>
          </w:p>
        </w:tc>
      </w:tr>
      <w:tr w:rsidR="001529CE" w:rsidRPr="00B0617F" w14:paraId="57C3203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B5745E9"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E21CED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w:t>
            </w:r>
          </w:p>
        </w:tc>
        <w:tc>
          <w:tcPr>
            <w:tcW w:w="2268" w:type="dxa"/>
            <w:tcBorders>
              <w:top w:val="nil"/>
              <w:left w:val="single" w:sz="8" w:space="0" w:color="auto"/>
              <w:bottom w:val="nil"/>
              <w:right w:val="nil"/>
            </w:tcBorders>
            <w:shd w:val="clear" w:color="auto" w:fill="008938"/>
            <w:noWrap/>
            <w:vAlign w:val="bottom"/>
            <w:hideMark/>
          </w:tcPr>
          <w:p w14:paraId="7207F33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18.48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60AE70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B4E44E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Wellington Street</w:t>
            </w:r>
          </w:p>
        </w:tc>
        <w:tc>
          <w:tcPr>
            <w:tcW w:w="2268" w:type="dxa"/>
            <w:tcBorders>
              <w:top w:val="nil"/>
              <w:left w:val="nil"/>
              <w:bottom w:val="nil"/>
              <w:right w:val="nil"/>
            </w:tcBorders>
            <w:shd w:val="clear" w:color="auto" w:fill="008938"/>
            <w:noWrap/>
            <w:vAlign w:val="bottom"/>
            <w:hideMark/>
          </w:tcPr>
          <w:p w14:paraId="64B6E6D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17.24</w:t>
            </w:r>
          </w:p>
        </w:tc>
      </w:tr>
      <w:tr w:rsidR="001529CE" w:rsidRPr="00B0617F" w14:paraId="5A048E2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3B7FB2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42BF0B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Yew Tree Rd (Uxbridge Rd)</w:t>
            </w:r>
          </w:p>
        </w:tc>
        <w:tc>
          <w:tcPr>
            <w:tcW w:w="2268" w:type="dxa"/>
            <w:tcBorders>
              <w:top w:val="nil"/>
              <w:left w:val="single" w:sz="8" w:space="0" w:color="auto"/>
              <w:bottom w:val="nil"/>
              <w:right w:val="nil"/>
            </w:tcBorders>
            <w:shd w:val="clear" w:color="auto" w:fill="008938"/>
            <w:noWrap/>
            <w:vAlign w:val="bottom"/>
            <w:hideMark/>
          </w:tcPr>
          <w:p w14:paraId="54BDC689"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18.44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F7668F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CA479A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Colnbrook By-pass</w:t>
            </w:r>
          </w:p>
        </w:tc>
        <w:tc>
          <w:tcPr>
            <w:tcW w:w="2268" w:type="dxa"/>
            <w:tcBorders>
              <w:top w:val="nil"/>
              <w:left w:val="nil"/>
              <w:bottom w:val="nil"/>
              <w:right w:val="nil"/>
            </w:tcBorders>
            <w:shd w:val="clear" w:color="auto" w:fill="008938"/>
            <w:noWrap/>
            <w:vAlign w:val="bottom"/>
            <w:hideMark/>
          </w:tcPr>
          <w:p w14:paraId="5CDB0967"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17.17</w:t>
            </w:r>
          </w:p>
        </w:tc>
      </w:tr>
      <w:tr w:rsidR="001529CE" w:rsidRPr="00B0617F" w14:paraId="68B35DA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BCF6BC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60,SLO 61,SLO 62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F668EC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Wellington Street</w:t>
            </w:r>
          </w:p>
        </w:tc>
        <w:tc>
          <w:tcPr>
            <w:tcW w:w="2268" w:type="dxa"/>
            <w:tcBorders>
              <w:top w:val="nil"/>
              <w:left w:val="single" w:sz="8" w:space="0" w:color="auto"/>
              <w:bottom w:val="nil"/>
              <w:right w:val="nil"/>
            </w:tcBorders>
            <w:shd w:val="clear" w:color="auto" w:fill="008938"/>
            <w:noWrap/>
            <w:vAlign w:val="bottom"/>
            <w:hideMark/>
          </w:tcPr>
          <w:p w14:paraId="7C8142AF"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5E8293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681DD5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Elliman Avenue (b)</w:t>
            </w:r>
          </w:p>
        </w:tc>
        <w:tc>
          <w:tcPr>
            <w:tcW w:w="2268" w:type="dxa"/>
            <w:tcBorders>
              <w:top w:val="nil"/>
              <w:left w:val="nil"/>
              <w:bottom w:val="nil"/>
              <w:right w:val="nil"/>
            </w:tcBorders>
            <w:shd w:val="clear" w:color="auto" w:fill="008938"/>
            <w:noWrap/>
            <w:vAlign w:val="bottom"/>
            <w:hideMark/>
          </w:tcPr>
          <w:p w14:paraId="2F158C47"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17.10</w:t>
            </w:r>
          </w:p>
        </w:tc>
      </w:tr>
      <w:tr w:rsidR="001529CE" w:rsidRPr="00B0617F" w14:paraId="619DFF8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41DA68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08ADD2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Elliman Avenue (a)</w:t>
            </w:r>
          </w:p>
        </w:tc>
        <w:tc>
          <w:tcPr>
            <w:tcW w:w="2268" w:type="dxa"/>
            <w:tcBorders>
              <w:top w:val="nil"/>
              <w:left w:val="single" w:sz="8" w:space="0" w:color="auto"/>
              <w:bottom w:val="nil"/>
              <w:right w:val="nil"/>
            </w:tcBorders>
            <w:shd w:val="clear" w:color="auto" w:fill="008938"/>
            <w:noWrap/>
            <w:vAlign w:val="bottom"/>
            <w:hideMark/>
          </w:tcPr>
          <w:p w14:paraId="2A5376B7"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EFE17E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4E704E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Oatlands Drive (b)</w:t>
            </w:r>
          </w:p>
        </w:tc>
        <w:tc>
          <w:tcPr>
            <w:tcW w:w="2268" w:type="dxa"/>
            <w:tcBorders>
              <w:top w:val="nil"/>
              <w:left w:val="nil"/>
              <w:bottom w:val="nil"/>
              <w:right w:val="nil"/>
            </w:tcBorders>
            <w:shd w:val="clear" w:color="auto" w:fill="008938"/>
            <w:noWrap/>
            <w:vAlign w:val="bottom"/>
            <w:hideMark/>
          </w:tcPr>
          <w:p w14:paraId="3DB4F168"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16.99</w:t>
            </w:r>
          </w:p>
        </w:tc>
      </w:tr>
      <w:tr w:rsidR="001529CE" w:rsidRPr="00B0617F" w14:paraId="3AD398B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5614C6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63,SLO 64,SLO 65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0BC6A7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w:t>
            </w:r>
          </w:p>
        </w:tc>
        <w:tc>
          <w:tcPr>
            <w:tcW w:w="2268" w:type="dxa"/>
            <w:tcBorders>
              <w:top w:val="nil"/>
              <w:left w:val="single" w:sz="8" w:space="0" w:color="auto"/>
              <w:bottom w:val="nil"/>
              <w:right w:val="nil"/>
            </w:tcBorders>
            <w:shd w:val="clear" w:color="auto" w:fill="008938"/>
            <w:noWrap/>
            <w:vAlign w:val="bottom"/>
            <w:hideMark/>
          </w:tcPr>
          <w:p w14:paraId="574C9A9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18.36</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0D454E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CC9D50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Oatlands Drive (a)</w:t>
            </w:r>
          </w:p>
        </w:tc>
        <w:tc>
          <w:tcPr>
            <w:tcW w:w="2268" w:type="dxa"/>
            <w:tcBorders>
              <w:top w:val="nil"/>
              <w:left w:val="nil"/>
              <w:bottom w:val="nil"/>
              <w:right w:val="nil"/>
            </w:tcBorders>
            <w:shd w:val="clear" w:color="auto" w:fill="008938"/>
            <w:noWrap/>
            <w:vAlign w:val="bottom"/>
            <w:hideMark/>
          </w:tcPr>
          <w:p w14:paraId="45FDF603"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16.97</w:t>
            </w:r>
          </w:p>
        </w:tc>
      </w:tr>
      <w:tr w:rsidR="001529CE" w:rsidRPr="00B0617F" w14:paraId="542B809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296BD8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BF2F44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Windmill (Bath Rd)</w:t>
            </w:r>
          </w:p>
        </w:tc>
        <w:tc>
          <w:tcPr>
            <w:tcW w:w="2268" w:type="dxa"/>
            <w:tcBorders>
              <w:top w:val="nil"/>
              <w:left w:val="single" w:sz="8" w:space="0" w:color="auto"/>
              <w:bottom w:val="nil"/>
              <w:right w:val="nil"/>
            </w:tcBorders>
            <w:shd w:val="clear" w:color="auto" w:fill="008938"/>
            <w:noWrap/>
            <w:vAlign w:val="bottom"/>
            <w:hideMark/>
          </w:tcPr>
          <w:p w14:paraId="429360F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AFC2E5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78A791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Salt Hill Park tennis courts</w:t>
            </w:r>
          </w:p>
        </w:tc>
        <w:tc>
          <w:tcPr>
            <w:tcW w:w="2268" w:type="dxa"/>
            <w:tcBorders>
              <w:top w:val="nil"/>
              <w:left w:val="nil"/>
              <w:bottom w:val="nil"/>
              <w:right w:val="nil"/>
            </w:tcBorders>
            <w:shd w:val="clear" w:color="auto" w:fill="008938"/>
            <w:noWrap/>
            <w:vAlign w:val="bottom"/>
            <w:hideMark/>
          </w:tcPr>
          <w:p w14:paraId="0653B3F5"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16.91</w:t>
            </w:r>
          </w:p>
        </w:tc>
      </w:tr>
      <w:tr w:rsidR="001529CE" w:rsidRPr="00B0617F" w14:paraId="5463FAF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3F1F33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40D035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Langley Road</w:t>
            </w:r>
          </w:p>
        </w:tc>
        <w:tc>
          <w:tcPr>
            <w:tcW w:w="2268" w:type="dxa"/>
            <w:tcBorders>
              <w:top w:val="nil"/>
              <w:left w:val="single" w:sz="8" w:space="0" w:color="auto"/>
              <w:bottom w:val="nil"/>
              <w:right w:val="nil"/>
            </w:tcBorders>
            <w:shd w:val="clear" w:color="auto" w:fill="008938"/>
            <w:noWrap/>
            <w:vAlign w:val="bottom"/>
            <w:hideMark/>
          </w:tcPr>
          <w:p w14:paraId="5246D3F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23E61A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E3522FA"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Salt Hill Park Footbridge</w:t>
            </w:r>
          </w:p>
        </w:tc>
        <w:tc>
          <w:tcPr>
            <w:tcW w:w="2268" w:type="dxa"/>
            <w:tcBorders>
              <w:top w:val="nil"/>
              <w:left w:val="nil"/>
              <w:bottom w:val="nil"/>
              <w:right w:val="nil"/>
            </w:tcBorders>
            <w:shd w:val="clear" w:color="auto" w:fill="008938"/>
            <w:noWrap/>
            <w:vAlign w:val="bottom"/>
            <w:hideMark/>
          </w:tcPr>
          <w:p w14:paraId="478BAC7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16.79</w:t>
            </w:r>
          </w:p>
        </w:tc>
      </w:tr>
      <w:tr w:rsidR="001529CE" w:rsidRPr="00B0617F" w14:paraId="63BB3BA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A9FB63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C1F1A3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Wexham Road</w:t>
            </w:r>
          </w:p>
        </w:tc>
        <w:tc>
          <w:tcPr>
            <w:tcW w:w="2268" w:type="dxa"/>
            <w:tcBorders>
              <w:top w:val="nil"/>
              <w:left w:val="single" w:sz="8" w:space="0" w:color="auto"/>
              <w:bottom w:val="nil"/>
              <w:right w:val="nil"/>
            </w:tcBorders>
            <w:shd w:val="clear" w:color="auto" w:fill="008938"/>
            <w:noWrap/>
            <w:vAlign w:val="bottom"/>
            <w:hideMark/>
          </w:tcPr>
          <w:p w14:paraId="503D00C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18.31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F539BA6"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5870279"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Salt Hill Park Footpath</w:t>
            </w:r>
          </w:p>
        </w:tc>
        <w:tc>
          <w:tcPr>
            <w:tcW w:w="2268" w:type="dxa"/>
            <w:tcBorders>
              <w:top w:val="nil"/>
              <w:left w:val="nil"/>
              <w:bottom w:val="nil"/>
              <w:right w:val="nil"/>
            </w:tcBorders>
            <w:shd w:val="clear" w:color="auto" w:fill="008938"/>
            <w:noWrap/>
            <w:vAlign w:val="bottom"/>
            <w:hideMark/>
          </w:tcPr>
          <w:p w14:paraId="3776CDA0"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16.45</w:t>
            </w:r>
          </w:p>
        </w:tc>
      </w:tr>
      <w:tr w:rsidR="001529CE" w:rsidRPr="00B0617F" w14:paraId="2468AD95"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0EC6F4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975C91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Chalvey Road East (a)</w:t>
            </w:r>
          </w:p>
        </w:tc>
        <w:tc>
          <w:tcPr>
            <w:tcW w:w="2268" w:type="dxa"/>
            <w:tcBorders>
              <w:top w:val="nil"/>
              <w:left w:val="single" w:sz="8" w:space="0" w:color="auto"/>
              <w:bottom w:val="nil"/>
              <w:right w:val="nil"/>
            </w:tcBorders>
            <w:shd w:val="clear" w:color="auto" w:fill="008938"/>
            <w:noWrap/>
            <w:vAlign w:val="bottom"/>
            <w:hideMark/>
          </w:tcPr>
          <w:p w14:paraId="26AF559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18.29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F732F1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0E33A4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Slough-Colnbrook-(Pippins)</w:t>
            </w:r>
          </w:p>
        </w:tc>
        <w:tc>
          <w:tcPr>
            <w:tcW w:w="2268" w:type="dxa"/>
            <w:tcBorders>
              <w:top w:val="nil"/>
              <w:left w:val="nil"/>
              <w:bottom w:val="nil"/>
              <w:right w:val="nil"/>
            </w:tcBorders>
            <w:shd w:val="clear" w:color="auto" w:fill="008938"/>
            <w:noWrap/>
            <w:vAlign w:val="bottom"/>
            <w:hideMark/>
          </w:tcPr>
          <w:p w14:paraId="583FD8B0"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16.23</w:t>
            </w:r>
          </w:p>
        </w:tc>
      </w:tr>
      <w:tr w:rsidR="001529CE" w:rsidRPr="00B0617F" w14:paraId="6ABBC21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ED7F83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 xml:space="preserve">SLO 34, SLO 35, SLO 36 </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E59E33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 Town Centre Wellington Street</w:t>
            </w:r>
          </w:p>
        </w:tc>
        <w:tc>
          <w:tcPr>
            <w:tcW w:w="2268" w:type="dxa"/>
            <w:tcBorders>
              <w:top w:val="nil"/>
              <w:left w:val="single" w:sz="8" w:space="0" w:color="auto"/>
              <w:bottom w:val="nil"/>
              <w:right w:val="nil"/>
            </w:tcBorders>
            <w:shd w:val="clear" w:color="auto" w:fill="008938"/>
            <w:noWrap/>
            <w:vAlign w:val="bottom"/>
            <w:hideMark/>
          </w:tcPr>
          <w:p w14:paraId="796FA121"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18.29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A85668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ABA0B8C"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Slough-Lakeside-2</w:t>
            </w:r>
          </w:p>
        </w:tc>
        <w:tc>
          <w:tcPr>
            <w:tcW w:w="2268" w:type="dxa"/>
            <w:tcBorders>
              <w:top w:val="nil"/>
              <w:left w:val="nil"/>
              <w:bottom w:val="nil"/>
              <w:right w:val="nil"/>
            </w:tcBorders>
            <w:shd w:val="clear" w:color="auto" w:fill="008938"/>
            <w:noWrap/>
            <w:vAlign w:val="bottom"/>
            <w:hideMark/>
          </w:tcPr>
          <w:p w14:paraId="4E59EBE6"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16.23</w:t>
            </w:r>
          </w:p>
        </w:tc>
      </w:tr>
      <w:tr w:rsidR="001529CE" w:rsidRPr="00B0617F" w14:paraId="18B83A8C"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01145D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1B13B5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Chalvey Road East (b)</w:t>
            </w:r>
          </w:p>
        </w:tc>
        <w:tc>
          <w:tcPr>
            <w:tcW w:w="2268" w:type="dxa"/>
            <w:tcBorders>
              <w:top w:val="nil"/>
              <w:left w:val="single" w:sz="8" w:space="0" w:color="auto"/>
              <w:bottom w:val="nil"/>
              <w:right w:val="nil"/>
            </w:tcBorders>
            <w:shd w:val="clear" w:color="auto" w:fill="008938"/>
            <w:noWrap/>
            <w:vAlign w:val="bottom"/>
            <w:hideMark/>
          </w:tcPr>
          <w:p w14:paraId="373F856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18.29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AEE7F3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14,SLO 15,SLO 16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A941C6E"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Pippins</w:t>
            </w:r>
          </w:p>
        </w:tc>
        <w:tc>
          <w:tcPr>
            <w:tcW w:w="2268" w:type="dxa"/>
            <w:tcBorders>
              <w:top w:val="nil"/>
              <w:left w:val="nil"/>
              <w:bottom w:val="nil"/>
              <w:right w:val="nil"/>
            </w:tcBorders>
            <w:shd w:val="clear" w:color="auto" w:fill="008938"/>
            <w:noWrap/>
            <w:vAlign w:val="bottom"/>
            <w:hideMark/>
          </w:tcPr>
          <w:p w14:paraId="2F137690"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16.23</w:t>
            </w:r>
          </w:p>
        </w:tc>
      </w:tr>
      <w:tr w:rsidR="001529CE" w:rsidRPr="00B0617F" w14:paraId="38EC676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6EAAC43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37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836EE3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 xml:space="preserve">Blair Road </w:t>
            </w:r>
            <w:r>
              <w:rPr>
                <w:rFonts w:cs="Arial"/>
                <w:color w:val="000000"/>
                <w:sz w:val="16"/>
                <w:szCs w:val="16"/>
              </w:rPr>
              <w:t>–</w:t>
            </w:r>
            <w:r w:rsidRPr="00B0617F">
              <w:rPr>
                <w:rFonts w:cs="Arial"/>
                <w:color w:val="000000"/>
                <w:sz w:val="16"/>
                <w:szCs w:val="16"/>
              </w:rPr>
              <w:t xml:space="preserve"> Victoria Court</w:t>
            </w:r>
          </w:p>
        </w:tc>
        <w:tc>
          <w:tcPr>
            <w:tcW w:w="2268" w:type="dxa"/>
            <w:tcBorders>
              <w:top w:val="nil"/>
              <w:left w:val="single" w:sz="8" w:space="0" w:color="auto"/>
              <w:bottom w:val="nil"/>
              <w:right w:val="nil"/>
            </w:tcBorders>
            <w:shd w:val="clear" w:color="auto" w:fill="008938"/>
            <w:noWrap/>
            <w:vAlign w:val="bottom"/>
          </w:tcPr>
          <w:p w14:paraId="5E5C90DC"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18.22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202E379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96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81681E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Elliman Avenue (b)</w:t>
            </w:r>
          </w:p>
        </w:tc>
        <w:tc>
          <w:tcPr>
            <w:tcW w:w="2268" w:type="dxa"/>
            <w:tcBorders>
              <w:top w:val="nil"/>
              <w:left w:val="nil"/>
              <w:bottom w:val="nil"/>
              <w:right w:val="nil"/>
            </w:tcBorders>
            <w:shd w:val="clear" w:color="auto" w:fill="008938"/>
            <w:noWrap/>
            <w:vAlign w:val="bottom"/>
          </w:tcPr>
          <w:p w14:paraId="0281642B"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16.19</w:t>
            </w:r>
          </w:p>
        </w:tc>
      </w:tr>
      <w:tr w:rsidR="001529CE" w:rsidRPr="00B0617F" w14:paraId="2C63A5E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60482447"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46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4AA48F4F"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Cornwall House, Bath Rd</w:t>
            </w:r>
          </w:p>
        </w:tc>
        <w:tc>
          <w:tcPr>
            <w:tcW w:w="2268" w:type="dxa"/>
            <w:tcBorders>
              <w:top w:val="nil"/>
              <w:left w:val="single" w:sz="8" w:space="0" w:color="auto"/>
              <w:bottom w:val="nil"/>
              <w:right w:val="nil"/>
            </w:tcBorders>
            <w:shd w:val="clear" w:color="auto" w:fill="008938"/>
            <w:noWrap/>
            <w:vAlign w:val="bottom"/>
          </w:tcPr>
          <w:p w14:paraId="261AA989"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18.19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67E6AC7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57,SLO 58,SLO 59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772ED7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Windmill</w:t>
            </w:r>
          </w:p>
        </w:tc>
        <w:tc>
          <w:tcPr>
            <w:tcW w:w="2268" w:type="dxa"/>
            <w:tcBorders>
              <w:top w:val="nil"/>
              <w:left w:val="nil"/>
              <w:bottom w:val="nil"/>
              <w:right w:val="nil"/>
            </w:tcBorders>
            <w:shd w:val="clear" w:color="auto" w:fill="008938"/>
            <w:noWrap/>
            <w:vAlign w:val="bottom"/>
          </w:tcPr>
          <w:p w14:paraId="2F0D4D85"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16.02</w:t>
            </w:r>
          </w:p>
        </w:tc>
      </w:tr>
      <w:tr w:rsidR="001529CE" w:rsidRPr="00B0617F" w14:paraId="08707DA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05DF9C4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6E7B2D14"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Rogans (Colnbrook By-pass)</w:t>
            </w:r>
          </w:p>
        </w:tc>
        <w:tc>
          <w:tcPr>
            <w:tcW w:w="2268" w:type="dxa"/>
            <w:tcBorders>
              <w:top w:val="nil"/>
              <w:left w:val="single" w:sz="8" w:space="0" w:color="auto"/>
              <w:bottom w:val="nil"/>
              <w:right w:val="nil"/>
            </w:tcBorders>
            <w:shd w:val="clear" w:color="auto" w:fill="008938"/>
            <w:noWrap/>
            <w:vAlign w:val="bottom"/>
          </w:tcPr>
          <w:p w14:paraId="067D3794"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18.18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0CC9DE0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11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37580518"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 London Road</w:t>
            </w:r>
          </w:p>
        </w:tc>
        <w:tc>
          <w:tcPr>
            <w:tcW w:w="2268" w:type="dxa"/>
            <w:tcBorders>
              <w:top w:val="nil"/>
              <w:left w:val="nil"/>
              <w:bottom w:val="nil"/>
              <w:right w:val="nil"/>
            </w:tcBorders>
            <w:shd w:val="clear" w:color="auto" w:fill="008938"/>
            <w:noWrap/>
            <w:vAlign w:val="bottom"/>
          </w:tcPr>
          <w:p w14:paraId="46C82CEE"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16.02</w:t>
            </w:r>
          </w:p>
        </w:tc>
      </w:tr>
      <w:tr w:rsidR="001529CE" w:rsidRPr="00B0617F" w14:paraId="7B1DD26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E92402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BB4A829"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Station Road</w:t>
            </w:r>
          </w:p>
        </w:tc>
        <w:tc>
          <w:tcPr>
            <w:tcW w:w="2268" w:type="dxa"/>
            <w:tcBorders>
              <w:top w:val="nil"/>
              <w:left w:val="single" w:sz="8" w:space="0" w:color="auto"/>
              <w:bottom w:val="nil"/>
              <w:right w:val="nil"/>
            </w:tcBorders>
            <w:shd w:val="clear" w:color="auto" w:fill="008938"/>
            <w:noWrap/>
            <w:vAlign w:val="bottom"/>
          </w:tcPr>
          <w:p w14:paraId="4CA3EE02"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18.18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47EE96A5"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7162291"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Brands Hill (A)</w:t>
            </w:r>
          </w:p>
        </w:tc>
        <w:tc>
          <w:tcPr>
            <w:tcW w:w="2268" w:type="dxa"/>
            <w:tcBorders>
              <w:top w:val="nil"/>
              <w:left w:val="nil"/>
              <w:bottom w:val="nil"/>
              <w:right w:val="nil"/>
            </w:tcBorders>
            <w:shd w:val="clear" w:color="auto" w:fill="008938"/>
            <w:noWrap/>
            <w:vAlign w:val="bottom"/>
          </w:tcPr>
          <w:p w14:paraId="1738DA5D"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18.09</w:t>
            </w:r>
          </w:p>
        </w:tc>
      </w:tr>
      <w:tr w:rsidR="001529CE" w:rsidRPr="00B0617F" w14:paraId="4EA517B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421E01ED"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11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43CBDA3"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Torridge Road</w:t>
            </w:r>
          </w:p>
        </w:tc>
        <w:tc>
          <w:tcPr>
            <w:tcW w:w="2268" w:type="dxa"/>
            <w:tcBorders>
              <w:top w:val="nil"/>
              <w:left w:val="single" w:sz="8" w:space="0" w:color="auto"/>
              <w:bottom w:val="nil"/>
              <w:right w:val="nil"/>
            </w:tcBorders>
            <w:shd w:val="clear" w:color="auto" w:fill="008938"/>
            <w:noWrap/>
            <w:vAlign w:val="bottom"/>
          </w:tcPr>
          <w:p w14:paraId="7943D633"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18.15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3A7D6760"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SLH 10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77F3A9A9"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Slough Town Centre Wellington Street</w:t>
            </w:r>
          </w:p>
        </w:tc>
        <w:tc>
          <w:tcPr>
            <w:tcW w:w="2268" w:type="dxa"/>
            <w:tcBorders>
              <w:top w:val="nil"/>
              <w:left w:val="nil"/>
              <w:bottom w:val="nil"/>
              <w:right w:val="nil"/>
            </w:tcBorders>
            <w:shd w:val="clear" w:color="auto" w:fill="008938"/>
            <w:noWrap/>
            <w:vAlign w:val="bottom"/>
          </w:tcPr>
          <w:p w14:paraId="59C0A5CA"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18.05</w:t>
            </w:r>
          </w:p>
        </w:tc>
      </w:tr>
      <w:tr w:rsidR="001529CE" w:rsidRPr="00B0617F" w14:paraId="4D1BA56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2E8B9F73" w14:textId="77777777" w:rsidR="001529CE" w:rsidRPr="00B0617F" w:rsidRDefault="001529CE" w:rsidP="007B10BD">
            <w:pPr>
              <w:spacing w:before="0" w:line="240" w:lineRule="auto"/>
              <w:rPr>
                <w:rFonts w:cs="Arial"/>
                <w:sz w:val="16"/>
                <w:szCs w:val="16"/>
              </w:rPr>
            </w:pPr>
            <w:r w:rsidRPr="00B0617F">
              <w:rPr>
                <w:rFonts w:cs="Arial"/>
                <w:color w:val="000000"/>
                <w:sz w:val="16"/>
                <w:szCs w:val="16"/>
              </w:rPr>
              <w:t>SLO 119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3D70BBB2" w14:textId="77777777" w:rsidR="001529CE" w:rsidRPr="00B0617F" w:rsidRDefault="001529CE" w:rsidP="007B10BD">
            <w:pPr>
              <w:spacing w:before="0" w:line="240" w:lineRule="auto"/>
              <w:rPr>
                <w:rFonts w:cs="Arial"/>
                <w:sz w:val="16"/>
                <w:szCs w:val="16"/>
              </w:rPr>
            </w:pPr>
            <w:r w:rsidRPr="00B0617F">
              <w:rPr>
                <w:rFonts w:cs="Arial"/>
                <w:color w:val="000000"/>
                <w:sz w:val="16"/>
                <w:szCs w:val="16"/>
              </w:rPr>
              <w:t>Chalvey Road East (b)</w:t>
            </w:r>
          </w:p>
        </w:tc>
        <w:tc>
          <w:tcPr>
            <w:tcW w:w="2268" w:type="dxa"/>
            <w:tcBorders>
              <w:top w:val="nil"/>
              <w:left w:val="single" w:sz="8" w:space="0" w:color="auto"/>
              <w:bottom w:val="nil"/>
              <w:right w:val="nil"/>
            </w:tcBorders>
            <w:shd w:val="clear" w:color="auto" w:fill="008938"/>
            <w:noWrap/>
            <w:vAlign w:val="bottom"/>
          </w:tcPr>
          <w:p w14:paraId="28DD68FE" w14:textId="77777777" w:rsidR="001529CE" w:rsidRPr="00B0617F" w:rsidRDefault="001529CE" w:rsidP="007B10BD">
            <w:pPr>
              <w:spacing w:before="0" w:line="240" w:lineRule="auto"/>
              <w:jc w:val="center"/>
              <w:rPr>
                <w:rFonts w:cs="Arial"/>
                <w:color w:val="FFFFFF" w:themeColor="background1"/>
                <w:sz w:val="16"/>
                <w:szCs w:val="16"/>
              </w:rPr>
            </w:pPr>
            <w:r w:rsidRPr="00B0617F">
              <w:rPr>
                <w:rFonts w:cs="Arial"/>
                <w:color w:val="FFFFFF" w:themeColor="background1"/>
                <w:sz w:val="16"/>
                <w:szCs w:val="16"/>
              </w:rPr>
              <w:t>18.11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1119D22"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SLO 26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BC5F86B" w14:textId="77777777" w:rsidR="001529CE" w:rsidRPr="00B0617F" w:rsidRDefault="001529CE" w:rsidP="007B10BD">
            <w:pPr>
              <w:spacing w:before="0" w:line="240" w:lineRule="auto"/>
              <w:rPr>
                <w:rFonts w:cs="Arial"/>
                <w:sz w:val="16"/>
                <w:szCs w:val="16"/>
                <w:lang w:eastAsia="en-GB"/>
              </w:rPr>
            </w:pPr>
            <w:r w:rsidRPr="00B0617F">
              <w:rPr>
                <w:rFonts w:cs="Arial"/>
                <w:color w:val="000000"/>
                <w:sz w:val="16"/>
                <w:szCs w:val="16"/>
              </w:rPr>
              <w:t>Yew Tree Rd (Ux Rd) (B)</w:t>
            </w:r>
          </w:p>
        </w:tc>
        <w:tc>
          <w:tcPr>
            <w:tcW w:w="2268" w:type="dxa"/>
            <w:tcBorders>
              <w:top w:val="nil"/>
              <w:left w:val="nil"/>
              <w:bottom w:val="nil"/>
              <w:right w:val="nil"/>
            </w:tcBorders>
            <w:shd w:val="clear" w:color="auto" w:fill="008938"/>
            <w:noWrap/>
            <w:vAlign w:val="bottom"/>
          </w:tcPr>
          <w:p w14:paraId="64D7FD41" w14:textId="77777777" w:rsidR="001529CE" w:rsidRPr="00B0617F" w:rsidRDefault="001529CE" w:rsidP="007B10BD">
            <w:pPr>
              <w:spacing w:before="0" w:line="240" w:lineRule="auto"/>
              <w:jc w:val="center"/>
              <w:rPr>
                <w:rFonts w:cs="Arial"/>
                <w:color w:val="FFFFFF" w:themeColor="background1"/>
                <w:sz w:val="16"/>
                <w:szCs w:val="16"/>
                <w:lang w:eastAsia="en-GB"/>
              </w:rPr>
            </w:pPr>
            <w:r w:rsidRPr="00B0617F">
              <w:rPr>
                <w:rFonts w:cs="Arial"/>
                <w:color w:val="FFFFFF" w:themeColor="background1"/>
                <w:sz w:val="16"/>
                <w:szCs w:val="16"/>
              </w:rPr>
              <w:t>18.03</w:t>
            </w:r>
          </w:p>
        </w:tc>
      </w:tr>
    </w:tbl>
    <w:p w14:paraId="38A4D40E" w14:textId="77777777" w:rsidR="001529CE" w:rsidRDefault="001529CE" w:rsidP="001529CE">
      <w:pPr>
        <w:spacing w:before="0" w:after="0" w:line="240" w:lineRule="auto"/>
      </w:pPr>
      <w:r>
        <w:br w:type="page"/>
      </w:r>
    </w:p>
    <w:p w14:paraId="2667F80D" w14:textId="77777777" w:rsidR="001529CE" w:rsidRDefault="001529CE" w:rsidP="00887760">
      <w:pPr>
        <w:pStyle w:val="Tables"/>
      </w:pPr>
      <w:bookmarkStart w:id="257" w:name="_Ref150764929"/>
      <w:bookmarkStart w:id="258" w:name="_Toc159264943"/>
      <w:bookmarkStart w:id="259" w:name="_Toc160123585"/>
      <w:bookmarkStart w:id="260" w:name="_Toc160123801"/>
      <w:bookmarkStart w:id="261" w:name="_Toc160128567"/>
      <w:r w:rsidRPr="00EF7456">
        <w:lastRenderedPageBreak/>
        <w:t xml:space="preserve">Table </w:t>
      </w:r>
      <w:r w:rsidR="000F4CA1">
        <w:fldChar w:fldCharType="begin"/>
      </w:r>
      <w:r w:rsidR="000F4CA1">
        <w:instrText xml:space="preserve"> STYLEREF 1 \s </w:instrText>
      </w:r>
      <w:r w:rsidR="000F4CA1">
        <w:fldChar w:fldCharType="separate"/>
      </w:r>
      <w:r>
        <w:rPr>
          <w:noProof/>
        </w:rPr>
        <w:t>2</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4</w:t>
      </w:r>
      <w:r w:rsidR="000F4CA1">
        <w:rPr>
          <w:noProof/>
        </w:rPr>
        <w:fldChar w:fldCharType="end"/>
      </w:r>
      <w:bookmarkEnd w:id="257"/>
      <w:r w:rsidRPr="00EF7456">
        <w:t xml:space="preserve"> </w:t>
      </w:r>
      <w:r>
        <w:t>–</w:t>
      </w:r>
      <w:r w:rsidRPr="00EF7456">
        <w:t xml:space="preserve"> Modelled annual mean PM</w:t>
      </w:r>
      <w:r w:rsidRPr="00EF7456">
        <w:rPr>
          <w:vertAlign w:val="subscript"/>
        </w:rPr>
        <w:t>2.5</w:t>
      </w:r>
      <w:r w:rsidRPr="00EF7456">
        <w:t xml:space="preserve"> </w:t>
      </w:r>
      <w:r w:rsidRPr="0092686C">
        <w:t>concentrations for the 2022 base year scenario. Above the 2040 PM</w:t>
      </w:r>
      <w:r w:rsidRPr="0092686C">
        <w:rPr>
          <w:vertAlign w:val="subscript"/>
        </w:rPr>
        <w:t>2.5</w:t>
      </w:r>
      <w:r w:rsidRPr="0092686C">
        <w:t xml:space="preserve"> objective ( ≥10 </w:t>
      </w:r>
      <w:r w:rsidRPr="0092686C">
        <w:rPr>
          <w:lang w:eastAsia="en-GB"/>
        </w:rPr>
        <w:t>µg/m</w:t>
      </w:r>
      <w:r w:rsidRPr="0092686C">
        <w:rPr>
          <w:vertAlign w:val="superscript"/>
          <w:lang w:eastAsia="en-GB"/>
        </w:rPr>
        <w:t>3</w:t>
      </w:r>
      <w:r w:rsidRPr="0092686C">
        <w:rPr>
          <w:lang w:eastAsia="en-GB"/>
        </w:rPr>
        <w:t xml:space="preserve"> and &lt;15</w:t>
      </w:r>
      <w:r w:rsidRPr="0092686C">
        <w:t xml:space="preserve"> </w:t>
      </w:r>
      <w:r w:rsidRPr="0092686C">
        <w:rPr>
          <w:lang w:eastAsia="en-GB"/>
        </w:rPr>
        <w:t>µg/m</w:t>
      </w:r>
      <w:r w:rsidRPr="0092686C">
        <w:rPr>
          <w:vertAlign w:val="superscript"/>
          <w:lang w:eastAsia="en-GB"/>
        </w:rPr>
        <w:t>3</w:t>
      </w:r>
      <w:r w:rsidRPr="0092686C">
        <w:rPr>
          <w:lang w:eastAsia="en-GB"/>
        </w:rPr>
        <w:t>)</w:t>
      </w:r>
      <w:r w:rsidRPr="0092686C">
        <w:t xml:space="preserve"> but below the current PM</w:t>
      </w:r>
      <w:r w:rsidRPr="0092686C">
        <w:rPr>
          <w:vertAlign w:val="subscript"/>
        </w:rPr>
        <w:t>2.5</w:t>
      </w:r>
      <w:r w:rsidRPr="0092686C">
        <w:t xml:space="preserve"> objective = yellow.</w:t>
      </w:r>
      <w:bookmarkEnd w:id="258"/>
      <w:bookmarkEnd w:id="259"/>
      <w:bookmarkEnd w:id="260"/>
      <w:bookmarkEnd w:id="261"/>
    </w:p>
    <w:tbl>
      <w:tblPr>
        <w:tblW w:w="20410" w:type="dxa"/>
        <w:tblLook w:val="04A0" w:firstRow="1" w:lastRow="0" w:firstColumn="1" w:lastColumn="0" w:noHBand="0" w:noVBand="1"/>
      </w:tblPr>
      <w:tblGrid>
        <w:gridCol w:w="2268"/>
        <w:gridCol w:w="5669"/>
        <w:gridCol w:w="2268"/>
        <w:gridCol w:w="2268"/>
        <w:gridCol w:w="5669"/>
        <w:gridCol w:w="2268"/>
      </w:tblGrid>
      <w:tr w:rsidR="001529CE" w:rsidRPr="0092686C" w14:paraId="6715B3B1" w14:textId="77777777" w:rsidTr="007B10BD">
        <w:trPr>
          <w:trHeight w:val="75"/>
        </w:trPr>
        <w:tc>
          <w:tcPr>
            <w:tcW w:w="2268" w:type="dxa"/>
            <w:tcBorders>
              <w:top w:val="single" w:sz="8" w:space="0" w:color="000000"/>
              <w:left w:val="nil"/>
              <w:bottom w:val="single" w:sz="8" w:space="0" w:color="000000"/>
              <w:right w:val="nil"/>
            </w:tcBorders>
            <w:shd w:val="clear" w:color="auto" w:fill="008938"/>
            <w:noWrap/>
            <w:vAlign w:val="center"/>
            <w:hideMark/>
          </w:tcPr>
          <w:p w14:paraId="7DA3D1D3"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Site ID</w:t>
            </w:r>
          </w:p>
        </w:tc>
        <w:tc>
          <w:tcPr>
            <w:tcW w:w="5669" w:type="dxa"/>
            <w:tcBorders>
              <w:top w:val="single" w:sz="8" w:space="0" w:color="000000"/>
              <w:left w:val="nil"/>
              <w:bottom w:val="single" w:sz="8" w:space="0" w:color="000000"/>
              <w:right w:val="nil"/>
            </w:tcBorders>
            <w:shd w:val="clear" w:color="auto" w:fill="008938"/>
            <w:noWrap/>
            <w:vAlign w:val="center"/>
            <w:hideMark/>
          </w:tcPr>
          <w:p w14:paraId="10B59A52"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Site name</w:t>
            </w:r>
          </w:p>
        </w:tc>
        <w:tc>
          <w:tcPr>
            <w:tcW w:w="2268" w:type="dxa"/>
            <w:tcBorders>
              <w:top w:val="single" w:sz="8" w:space="0" w:color="000000"/>
              <w:left w:val="nil"/>
              <w:bottom w:val="single" w:sz="8" w:space="0" w:color="000000"/>
              <w:right w:val="nil"/>
            </w:tcBorders>
            <w:shd w:val="clear" w:color="auto" w:fill="008938"/>
            <w:noWrap/>
            <w:vAlign w:val="center"/>
            <w:hideMark/>
          </w:tcPr>
          <w:p w14:paraId="21EDE946"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2022 Modelled PM</w:t>
            </w:r>
            <w:r w:rsidRPr="0092686C">
              <w:rPr>
                <w:rFonts w:cs="Arial"/>
                <w:b/>
                <w:bCs/>
                <w:color w:val="FFFFFF" w:themeColor="background1"/>
                <w:sz w:val="16"/>
                <w:szCs w:val="16"/>
                <w:vertAlign w:val="subscript"/>
                <w:lang w:eastAsia="en-GB"/>
              </w:rPr>
              <w:t>2.5</w:t>
            </w:r>
          </w:p>
        </w:tc>
        <w:tc>
          <w:tcPr>
            <w:tcW w:w="2268" w:type="dxa"/>
            <w:tcBorders>
              <w:top w:val="single" w:sz="8" w:space="0" w:color="000000"/>
              <w:left w:val="nil"/>
              <w:bottom w:val="single" w:sz="8" w:space="0" w:color="000000"/>
              <w:right w:val="nil"/>
            </w:tcBorders>
            <w:shd w:val="clear" w:color="auto" w:fill="008938"/>
            <w:vAlign w:val="center"/>
            <w:hideMark/>
          </w:tcPr>
          <w:p w14:paraId="3F1ADFB9"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Site ID</w:t>
            </w:r>
          </w:p>
        </w:tc>
        <w:tc>
          <w:tcPr>
            <w:tcW w:w="5669" w:type="dxa"/>
            <w:tcBorders>
              <w:top w:val="single" w:sz="8" w:space="0" w:color="000000"/>
              <w:left w:val="nil"/>
              <w:bottom w:val="single" w:sz="8" w:space="0" w:color="000000"/>
              <w:right w:val="nil"/>
            </w:tcBorders>
            <w:shd w:val="clear" w:color="auto" w:fill="008938"/>
            <w:vAlign w:val="center"/>
            <w:hideMark/>
          </w:tcPr>
          <w:p w14:paraId="05058604"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Site name</w:t>
            </w:r>
          </w:p>
        </w:tc>
        <w:tc>
          <w:tcPr>
            <w:tcW w:w="2268" w:type="dxa"/>
            <w:tcBorders>
              <w:top w:val="single" w:sz="8" w:space="0" w:color="000000"/>
              <w:left w:val="nil"/>
              <w:bottom w:val="single" w:sz="8" w:space="0" w:color="000000"/>
              <w:right w:val="nil"/>
            </w:tcBorders>
            <w:shd w:val="clear" w:color="auto" w:fill="008938"/>
            <w:vAlign w:val="center"/>
            <w:hideMark/>
          </w:tcPr>
          <w:p w14:paraId="3FF2F7B5" w14:textId="77777777" w:rsidR="001529CE" w:rsidRPr="0092686C" w:rsidRDefault="001529CE" w:rsidP="007B10BD">
            <w:pPr>
              <w:spacing w:before="0" w:line="240" w:lineRule="auto"/>
              <w:jc w:val="center"/>
              <w:rPr>
                <w:rFonts w:cs="Arial"/>
                <w:b/>
                <w:bCs/>
                <w:color w:val="FFFFFF" w:themeColor="background1"/>
                <w:sz w:val="16"/>
                <w:szCs w:val="16"/>
                <w:lang w:eastAsia="en-GB"/>
              </w:rPr>
            </w:pPr>
            <w:r w:rsidRPr="0092686C">
              <w:rPr>
                <w:rFonts w:cs="Arial"/>
                <w:b/>
                <w:bCs/>
                <w:color w:val="FFFFFF" w:themeColor="background1"/>
                <w:sz w:val="16"/>
                <w:szCs w:val="16"/>
                <w:lang w:eastAsia="en-GB"/>
              </w:rPr>
              <w:t>2022 Modelled PM</w:t>
            </w:r>
            <w:r w:rsidRPr="0092686C">
              <w:rPr>
                <w:rFonts w:cs="Arial"/>
                <w:b/>
                <w:bCs/>
                <w:color w:val="FFFFFF" w:themeColor="background1"/>
                <w:sz w:val="16"/>
                <w:szCs w:val="16"/>
                <w:vertAlign w:val="subscript"/>
                <w:lang w:eastAsia="en-GB"/>
              </w:rPr>
              <w:t>2.5</w:t>
            </w:r>
          </w:p>
        </w:tc>
      </w:tr>
      <w:tr w:rsidR="001529CE" w:rsidRPr="0092686C" w14:paraId="20B6CAC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69B7E7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64E998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Station Road</w:t>
            </w:r>
          </w:p>
        </w:tc>
        <w:tc>
          <w:tcPr>
            <w:tcW w:w="2268" w:type="dxa"/>
            <w:tcBorders>
              <w:top w:val="nil"/>
              <w:left w:val="single" w:sz="8" w:space="0" w:color="auto"/>
              <w:bottom w:val="nil"/>
              <w:right w:val="nil"/>
            </w:tcBorders>
            <w:shd w:val="clear" w:color="auto" w:fill="FFFF00"/>
            <w:noWrap/>
            <w:vAlign w:val="bottom"/>
            <w:hideMark/>
          </w:tcPr>
          <w:p w14:paraId="2064C023"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12.21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42BCE5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F98A2D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Windmill (Bath Rd)</w:t>
            </w:r>
          </w:p>
        </w:tc>
        <w:tc>
          <w:tcPr>
            <w:tcW w:w="2268" w:type="dxa"/>
            <w:tcBorders>
              <w:top w:val="nil"/>
              <w:left w:val="single" w:sz="8" w:space="0" w:color="auto"/>
              <w:bottom w:val="nil"/>
              <w:right w:val="nil"/>
            </w:tcBorders>
            <w:shd w:val="clear" w:color="auto" w:fill="FFFF00"/>
            <w:noWrap/>
            <w:vAlign w:val="bottom"/>
            <w:hideMark/>
          </w:tcPr>
          <w:p w14:paraId="0DAC293D"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11.71</w:t>
            </w:r>
          </w:p>
        </w:tc>
      </w:tr>
      <w:tr w:rsidR="001529CE" w:rsidRPr="0092686C" w14:paraId="44397E1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F8ED27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93,SLO 94,SLO 95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52C2D3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High Street Langley (B)</w:t>
            </w:r>
          </w:p>
        </w:tc>
        <w:tc>
          <w:tcPr>
            <w:tcW w:w="2268" w:type="dxa"/>
            <w:tcBorders>
              <w:top w:val="nil"/>
              <w:left w:val="single" w:sz="8" w:space="0" w:color="auto"/>
              <w:bottom w:val="nil"/>
              <w:right w:val="nil"/>
            </w:tcBorders>
            <w:shd w:val="clear" w:color="auto" w:fill="FFFF00"/>
            <w:noWrap/>
            <w:vAlign w:val="bottom"/>
            <w:hideMark/>
          </w:tcPr>
          <w:p w14:paraId="4ACE791B"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12.17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E08E58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659B13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Oatlands Drive (a)</w:t>
            </w:r>
          </w:p>
        </w:tc>
        <w:tc>
          <w:tcPr>
            <w:tcW w:w="2268" w:type="dxa"/>
            <w:tcBorders>
              <w:top w:val="nil"/>
              <w:left w:val="single" w:sz="8" w:space="0" w:color="auto"/>
              <w:bottom w:val="nil"/>
              <w:right w:val="nil"/>
            </w:tcBorders>
            <w:shd w:val="clear" w:color="auto" w:fill="FFFF00"/>
            <w:noWrap/>
            <w:vAlign w:val="bottom"/>
            <w:hideMark/>
          </w:tcPr>
          <w:p w14:paraId="19F0C16F"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11.69</w:t>
            </w:r>
          </w:p>
        </w:tc>
      </w:tr>
      <w:tr w:rsidR="001529CE" w:rsidRPr="0092686C" w14:paraId="2ED2DA9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CA8009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42C7E5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Wexham Road</w:t>
            </w:r>
          </w:p>
        </w:tc>
        <w:tc>
          <w:tcPr>
            <w:tcW w:w="2268" w:type="dxa"/>
            <w:tcBorders>
              <w:top w:val="nil"/>
              <w:left w:val="single" w:sz="8" w:space="0" w:color="auto"/>
              <w:bottom w:val="nil"/>
              <w:right w:val="nil"/>
            </w:tcBorders>
            <w:shd w:val="clear" w:color="auto" w:fill="FFFF00"/>
            <w:noWrap/>
            <w:vAlign w:val="bottom"/>
            <w:hideMark/>
          </w:tcPr>
          <w:p w14:paraId="39F6F03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12.15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16A8BC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F813FA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Yew Tree Rd (Ux Rd) (B)</w:t>
            </w:r>
          </w:p>
        </w:tc>
        <w:tc>
          <w:tcPr>
            <w:tcW w:w="2268" w:type="dxa"/>
            <w:tcBorders>
              <w:top w:val="nil"/>
              <w:left w:val="single" w:sz="8" w:space="0" w:color="auto"/>
              <w:bottom w:val="nil"/>
              <w:right w:val="nil"/>
            </w:tcBorders>
            <w:shd w:val="clear" w:color="auto" w:fill="FFFF00"/>
            <w:noWrap/>
            <w:vAlign w:val="bottom"/>
            <w:hideMark/>
          </w:tcPr>
          <w:p w14:paraId="1C74259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11.66</w:t>
            </w:r>
          </w:p>
        </w:tc>
      </w:tr>
      <w:tr w:rsidR="001529CE" w:rsidRPr="0092686C" w14:paraId="49036E8A"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A197AD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E89B68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Windsor Road (B)</w:t>
            </w:r>
          </w:p>
        </w:tc>
        <w:tc>
          <w:tcPr>
            <w:tcW w:w="2268" w:type="dxa"/>
            <w:tcBorders>
              <w:top w:val="nil"/>
              <w:left w:val="single" w:sz="8" w:space="0" w:color="auto"/>
              <w:bottom w:val="nil"/>
              <w:right w:val="nil"/>
            </w:tcBorders>
            <w:shd w:val="clear" w:color="auto" w:fill="FFFF00"/>
            <w:noWrap/>
            <w:vAlign w:val="bottom"/>
            <w:hideMark/>
          </w:tcPr>
          <w:p w14:paraId="342D77D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12.14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F5B88E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59F4A2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Station Road</w:t>
            </w:r>
          </w:p>
        </w:tc>
        <w:tc>
          <w:tcPr>
            <w:tcW w:w="2268" w:type="dxa"/>
            <w:tcBorders>
              <w:top w:val="nil"/>
              <w:left w:val="single" w:sz="8" w:space="0" w:color="auto"/>
              <w:bottom w:val="nil"/>
              <w:right w:val="nil"/>
            </w:tcBorders>
            <w:shd w:val="clear" w:color="auto" w:fill="FFFF00"/>
            <w:noWrap/>
            <w:vAlign w:val="bottom"/>
            <w:hideMark/>
          </w:tcPr>
          <w:p w14:paraId="4AEB896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11.65</w:t>
            </w:r>
          </w:p>
        </w:tc>
      </w:tr>
      <w:tr w:rsidR="001529CE" w:rsidRPr="0092686C" w14:paraId="4145B50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3B4857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F70FE3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Ledgers Road (b)</w:t>
            </w:r>
          </w:p>
        </w:tc>
        <w:tc>
          <w:tcPr>
            <w:tcW w:w="2268" w:type="dxa"/>
            <w:tcBorders>
              <w:top w:val="nil"/>
              <w:left w:val="single" w:sz="8" w:space="0" w:color="auto"/>
              <w:bottom w:val="nil"/>
              <w:right w:val="nil"/>
            </w:tcBorders>
            <w:shd w:val="clear" w:color="auto" w:fill="FFFF00"/>
            <w:noWrap/>
            <w:vAlign w:val="bottom"/>
            <w:hideMark/>
          </w:tcPr>
          <w:p w14:paraId="0CD4A773"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12.11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5288DB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FD276E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Chalvey Road East (b)</w:t>
            </w:r>
          </w:p>
        </w:tc>
        <w:tc>
          <w:tcPr>
            <w:tcW w:w="2268" w:type="dxa"/>
            <w:tcBorders>
              <w:top w:val="nil"/>
              <w:left w:val="single" w:sz="8" w:space="0" w:color="auto"/>
              <w:bottom w:val="nil"/>
              <w:right w:val="nil"/>
            </w:tcBorders>
            <w:shd w:val="clear" w:color="auto" w:fill="FFFF00"/>
            <w:noWrap/>
            <w:vAlign w:val="bottom"/>
            <w:hideMark/>
          </w:tcPr>
          <w:p w14:paraId="1827932C"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11.65</w:t>
            </w:r>
          </w:p>
        </w:tc>
      </w:tr>
      <w:tr w:rsidR="001529CE" w:rsidRPr="0092686C" w14:paraId="4FCF327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A3DE62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3B2D9C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Grampian Way</w:t>
            </w:r>
          </w:p>
        </w:tc>
        <w:tc>
          <w:tcPr>
            <w:tcW w:w="2268" w:type="dxa"/>
            <w:tcBorders>
              <w:top w:val="nil"/>
              <w:left w:val="single" w:sz="8" w:space="0" w:color="auto"/>
              <w:bottom w:val="nil"/>
              <w:right w:val="nil"/>
            </w:tcBorders>
            <w:shd w:val="clear" w:color="auto" w:fill="FFFF00"/>
            <w:noWrap/>
            <w:vAlign w:val="bottom"/>
            <w:hideMark/>
          </w:tcPr>
          <w:p w14:paraId="1F5A8ECD"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12.11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025159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9B9B71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 London Road</w:t>
            </w:r>
          </w:p>
        </w:tc>
        <w:tc>
          <w:tcPr>
            <w:tcW w:w="2268" w:type="dxa"/>
            <w:tcBorders>
              <w:top w:val="nil"/>
              <w:left w:val="single" w:sz="8" w:space="0" w:color="auto"/>
              <w:bottom w:val="nil"/>
              <w:right w:val="nil"/>
            </w:tcBorders>
            <w:shd w:val="clear" w:color="auto" w:fill="FFFF00"/>
            <w:noWrap/>
            <w:vAlign w:val="bottom"/>
            <w:hideMark/>
          </w:tcPr>
          <w:p w14:paraId="44B0DB0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11.65</w:t>
            </w:r>
          </w:p>
        </w:tc>
      </w:tr>
      <w:tr w:rsidR="001529CE" w:rsidRPr="0092686C" w14:paraId="7BCC2850"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AD015C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BDFB07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Windsor Road</w:t>
            </w:r>
          </w:p>
        </w:tc>
        <w:tc>
          <w:tcPr>
            <w:tcW w:w="2268" w:type="dxa"/>
            <w:tcBorders>
              <w:top w:val="nil"/>
              <w:left w:val="single" w:sz="8" w:space="0" w:color="auto"/>
              <w:bottom w:val="nil"/>
              <w:right w:val="nil"/>
            </w:tcBorders>
            <w:shd w:val="clear" w:color="auto" w:fill="FFFF00"/>
            <w:noWrap/>
            <w:vAlign w:val="bottom"/>
            <w:hideMark/>
          </w:tcPr>
          <w:p w14:paraId="4F815171"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12.02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F1E4D4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887152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Rogans (Colnbrook By-pass)</w:t>
            </w:r>
          </w:p>
        </w:tc>
        <w:tc>
          <w:tcPr>
            <w:tcW w:w="2268" w:type="dxa"/>
            <w:tcBorders>
              <w:top w:val="nil"/>
              <w:left w:val="single" w:sz="8" w:space="0" w:color="auto"/>
              <w:bottom w:val="nil"/>
              <w:right w:val="nil"/>
            </w:tcBorders>
            <w:shd w:val="clear" w:color="auto" w:fill="FFFF00"/>
            <w:noWrap/>
            <w:vAlign w:val="bottom"/>
            <w:hideMark/>
          </w:tcPr>
          <w:p w14:paraId="31433EC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11.63</w:t>
            </w:r>
          </w:p>
        </w:tc>
      </w:tr>
      <w:tr w:rsidR="001529CE" w:rsidRPr="0092686C" w14:paraId="7194A6E0"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23384F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D80D3F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High Street Langley (B)</w:t>
            </w:r>
          </w:p>
        </w:tc>
        <w:tc>
          <w:tcPr>
            <w:tcW w:w="2268" w:type="dxa"/>
            <w:tcBorders>
              <w:top w:val="nil"/>
              <w:left w:val="single" w:sz="8" w:space="0" w:color="auto"/>
              <w:bottom w:val="nil"/>
              <w:right w:val="nil"/>
            </w:tcBorders>
            <w:shd w:val="clear" w:color="auto" w:fill="FFFF00"/>
            <w:noWrap/>
            <w:vAlign w:val="bottom"/>
            <w:hideMark/>
          </w:tcPr>
          <w:p w14:paraId="02509B94"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12.01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96D1F2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34, SLO 35, SLO 36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A5129B0"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 Town Centre Wellington Street</w:t>
            </w:r>
          </w:p>
        </w:tc>
        <w:tc>
          <w:tcPr>
            <w:tcW w:w="2268" w:type="dxa"/>
            <w:tcBorders>
              <w:top w:val="nil"/>
              <w:left w:val="single" w:sz="8" w:space="0" w:color="auto"/>
              <w:bottom w:val="nil"/>
              <w:right w:val="nil"/>
            </w:tcBorders>
            <w:shd w:val="clear" w:color="auto" w:fill="FFFF00"/>
            <w:noWrap/>
            <w:vAlign w:val="bottom"/>
            <w:hideMark/>
          </w:tcPr>
          <w:p w14:paraId="36B8FB7C"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11.63</w:t>
            </w:r>
          </w:p>
        </w:tc>
      </w:tr>
      <w:tr w:rsidR="001529CE" w:rsidRPr="0092686C" w14:paraId="77AD6DE9"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ED2CF9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873BE2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Langley Road</w:t>
            </w:r>
          </w:p>
        </w:tc>
        <w:tc>
          <w:tcPr>
            <w:tcW w:w="2268" w:type="dxa"/>
            <w:tcBorders>
              <w:top w:val="nil"/>
              <w:left w:val="single" w:sz="8" w:space="0" w:color="auto"/>
              <w:bottom w:val="nil"/>
              <w:right w:val="nil"/>
            </w:tcBorders>
            <w:shd w:val="clear" w:color="auto" w:fill="FFFF00"/>
            <w:noWrap/>
            <w:vAlign w:val="bottom"/>
            <w:hideMark/>
          </w:tcPr>
          <w:p w14:paraId="7B52012E"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12.01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40431F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121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FFD3B5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Ledgers Road (b)</w:t>
            </w:r>
          </w:p>
        </w:tc>
        <w:tc>
          <w:tcPr>
            <w:tcW w:w="2268" w:type="dxa"/>
            <w:tcBorders>
              <w:top w:val="nil"/>
              <w:left w:val="single" w:sz="8" w:space="0" w:color="auto"/>
              <w:bottom w:val="nil"/>
              <w:right w:val="nil"/>
            </w:tcBorders>
            <w:shd w:val="clear" w:color="auto" w:fill="FFFF00"/>
            <w:noWrap/>
            <w:vAlign w:val="bottom"/>
            <w:hideMark/>
          </w:tcPr>
          <w:p w14:paraId="30DBB4A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11.62</w:t>
            </w:r>
          </w:p>
        </w:tc>
      </w:tr>
      <w:tr w:rsidR="001529CE" w:rsidRPr="0092686C" w14:paraId="4514460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35E734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979AA3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London Road (A)</w:t>
            </w:r>
          </w:p>
        </w:tc>
        <w:tc>
          <w:tcPr>
            <w:tcW w:w="2268" w:type="dxa"/>
            <w:tcBorders>
              <w:top w:val="nil"/>
              <w:left w:val="single" w:sz="8" w:space="0" w:color="auto"/>
              <w:bottom w:val="nil"/>
              <w:right w:val="nil"/>
            </w:tcBorders>
            <w:shd w:val="clear" w:color="auto" w:fill="FFFF00"/>
            <w:noWrap/>
            <w:vAlign w:val="bottom"/>
            <w:hideMark/>
          </w:tcPr>
          <w:p w14:paraId="7B849D2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12.00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98DEDC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4E8F5C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 (A)</w:t>
            </w:r>
          </w:p>
        </w:tc>
        <w:tc>
          <w:tcPr>
            <w:tcW w:w="2268" w:type="dxa"/>
            <w:tcBorders>
              <w:top w:val="nil"/>
              <w:left w:val="single" w:sz="8" w:space="0" w:color="auto"/>
              <w:bottom w:val="nil"/>
              <w:right w:val="nil"/>
            </w:tcBorders>
            <w:shd w:val="clear" w:color="auto" w:fill="FFFF00"/>
            <w:noWrap/>
            <w:vAlign w:val="bottom"/>
            <w:hideMark/>
          </w:tcPr>
          <w:p w14:paraId="382A2D2F"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11.57</w:t>
            </w:r>
          </w:p>
        </w:tc>
      </w:tr>
      <w:tr w:rsidR="001529CE" w:rsidRPr="0092686C" w14:paraId="5D516B4B"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5CE7DB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66,SLO 67,SLO 68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DB997C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Princess Street</w:t>
            </w:r>
          </w:p>
        </w:tc>
        <w:tc>
          <w:tcPr>
            <w:tcW w:w="2268" w:type="dxa"/>
            <w:tcBorders>
              <w:top w:val="nil"/>
              <w:left w:val="single" w:sz="8" w:space="0" w:color="auto"/>
              <w:bottom w:val="nil"/>
              <w:right w:val="nil"/>
            </w:tcBorders>
            <w:shd w:val="clear" w:color="auto" w:fill="FFFF00"/>
            <w:noWrap/>
            <w:vAlign w:val="bottom"/>
            <w:hideMark/>
          </w:tcPr>
          <w:p w14:paraId="64011711"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11.99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8DEDC9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8C1588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Windsor Road (B)</w:t>
            </w:r>
          </w:p>
        </w:tc>
        <w:tc>
          <w:tcPr>
            <w:tcW w:w="2268" w:type="dxa"/>
            <w:tcBorders>
              <w:top w:val="nil"/>
              <w:left w:val="single" w:sz="8" w:space="0" w:color="auto"/>
              <w:bottom w:val="nil"/>
              <w:right w:val="nil"/>
            </w:tcBorders>
            <w:shd w:val="clear" w:color="auto" w:fill="FFFF00"/>
            <w:noWrap/>
            <w:vAlign w:val="bottom"/>
            <w:hideMark/>
          </w:tcPr>
          <w:p w14:paraId="6C6E44C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11.56</w:t>
            </w:r>
          </w:p>
        </w:tc>
      </w:tr>
      <w:tr w:rsidR="001529CE" w:rsidRPr="0092686C" w14:paraId="516733B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78E16C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10BC34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Windsor Road</w:t>
            </w:r>
          </w:p>
        </w:tc>
        <w:tc>
          <w:tcPr>
            <w:tcW w:w="2268" w:type="dxa"/>
            <w:tcBorders>
              <w:top w:val="nil"/>
              <w:left w:val="single" w:sz="8" w:space="0" w:color="auto"/>
              <w:bottom w:val="nil"/>
              <w:right w:val="nil"/>
            </w:tcBorders>
            <w:shd w:val="clear" w:color="auto" w:fill="FFFF00"/>
            <w:noWrap/>
            <w:vAlign w:val="bottom"/>
            <w:hideMark/>
          </w:tcPr>
          <w:p w14:paraId="7B4F5A7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11.97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E4ED270"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122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0EBDD8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Cippenham Lane (a)</w:t>
            </w:r>
          </w:p>
        </w:tc>
        <w:tc>
          <w:tcPr>
            <w:tcW w:w="2268" w:type="dxa"/>
            <w:tcBorders>
              <w:top w:val="nil"/>
              <w:left w:val="single" w:sz="8" w:space="0" w:color="auto"/>
              <w:bottom w:val="nil"/>
              <w:right w:val="nil"/>
            </w:tcBorders>
            <w:shd w:val="clear" w:color="auto" w:fill="FFFF00"/>
            <w:noWrap/>
            <w:vAlign w:val="bottom"/>
            <w:hideMark/>
          </w:tcPr>
          <w:p w14:paraId="139EE29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11.56</w:t>
            </w:r>
          </w:p>
        </w:tc>
      </w:tr>
      <w:tr w:rsidR="001529CE" w:rsidRPr="0092686C" w14:paraId="76B712E1"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F38A9A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BD2781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Tuns Lane (B)</w:t>
            </w:r>
          </w:p>
        </w:tc>
        <w:tc>
          <w:tcPr>
            <w:tcW w:w="2268" w:type="dxa"/>
            <w:tcBorders>
              <w:top w:val="nil"/>
              <w:left w:val="single" w:sz="8" w:space="0" w:color="auto"/>
              <w:bottom w:val="nil"/>
              <w:right w:val="nil"/>
            </w:tcBorders>
            <w:shd w:val="clear" w:color="auto" w:fill="FFFF00"/>
            <w:noWrap/>
            <w:vAlign w:val="bottom"/>
            <w:hideMark/>
          </w:tcPr>
          <w:p w14:paraId="1456CCC6"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11.90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0FA926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120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7CF8EC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Ledgers Road (a)</w:t>
            </w:r>
          </w:p>
        </w:tc>
        <w:tc>
          <w:tcPr>
            <w:tcW w:w="2268" w:type="dxa"/>
            <w:tcBorders>
              <w:top w:val="nil"/>
              <w:left w:val="single" w:sz="8" w:space="0" w:color="auto"/>
              <w:bottom w:val="nil"/>
              <w:right w:val="nil"/>
            </w:tcBorders>
            <w:shd w:val="clear" w:color="auto" w:fill="FFFF00"/>
            <w:noWrap/>
            <w:vAlign w:val="bottom"/>
            <w:hideMark/>
          </w:tcPr>
          <w:p w14:paraId="40A435F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11.55</w:t>
            </w:r>
          </w:p>
        </w:tc>
      </w:tr>
      <w:tr w:rsidR="001529CE" w:rsidRPr="0092686C" w14:paraId="17A3E33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85C2CE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332D0B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Windmill (Bath Rd)</w:t>
            </w:r>
          </w:p>
        </w:tc>
        <w:tc>
          <w:tcPr>
            <w:tcW w:w="2268" w:type="dxa"/>
            <w:tcBorders>
              <w:top w:val="nil"/>
              <w:left w:val="single" w:sz="8" w:space="0" w:color="auto"/>
              <w:bottom w:val="nil"/>
              <w:right w:val="nil"/>
            </w:tcBorders>
            <w:shd w:val="clear" w:color="auto" w:fill="FFFF00"/>
            <w:noWrap/>
            <w:vAlign w:val="bottom"/>
            <w:hideMark/>
          </w:tcPr>
          <w:p w14:paraId="3F7DC490"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11.90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6EA981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0DA552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Rogans (Colnbrook By-pass)</w:t>
            </w:r>
          </w:p>
        </w:tc>
        <w:tc>
          <w:tcPr>
            <w:tcW w:w="2268" w:type="dxa"/>
            <w:tcBorders>
              <w:top w:val="nil"/>
              <w:left w:val="single" w:sz="8" w:space="0" w:color="auto"/>
              <w:bottom w:val="nil"/>
              <w:right w:val="nil"/>
            </w:tcBorders>
            <w:shd w:val="clear" w:color="auto" w:fill="FFFF00"/>
            <w:noWrap/>
            <w:vAlign w:val="bottom"/>
            <w:hideMark/>
          </w:tcPr>
          <w:p w14:paraId="53023B2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11.55</w:t>
            </w:r>
          </w:p>
        </w:tc>
      </w:tr>
      <w:tr w:rsidR="001529CE" w:rsidRPr="0092686C" w14:paraId="6D7912A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54FB18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97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D5B7DD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Albert Street/Upton Court Park Road</w:t>
            </w:r>
          </w:p>
        </w:tc>
        <w:tc>
          <w:tcPr>
            <w:tcW w:w="2268" w:type="dxa"/>
            <w:tcBorders>
              <w:top w:val="nil"/>
              <w:left w:val="single" w:sz="8" w:space="0" w:color="auto"/>
              <w:bottom w:val="nil"/>
              <w:right w:val="nil"/>
            </w:tcBorders>
            <w:shd w:val="clear" w:color="auto" w:fill="FFFF00"/>
            <w:noWrap/>
            <w:vAlign w:val="bottom"/>
            <w:hideMark/>
          </w:tcPr>
          <w:p w14:paraId="19F842A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11.89</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420EEE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10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E7B157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 Town Centre Wellington Street</w:t>
            </w:r>
          </w:p>
        </w:tc>
        <w:tc>
          <w:tcPr>
            <w:tcW w:w="2268" w:type="dxa"/>
            <w:tcBorders>
              <w:top w:val="nil"/>
              <w:left w:val="single" w:sz="8" w:space="0" w:color="auto"/>
              <w:bottom w:val="nil"/>
              <w:right w:val="nil"/>
            </w:tcBorders>
            <w:shd w:val="clear" w:color="auto" w:fill="FFFF00"/>
            <w:noWrap/>
            <w:vAlign w:val="bottom"/>
            <w:hideMark/>
          </w:tcPr>
          <w:p w14:paraId="32F49EB3"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11.54</w:t>
            </w:r>
          </w:p>
        </w:tc>
      </w:tr>
      <w:tr w:rsidR="001529CE" w:rsidRPr="0092686C" w14:paraId="042EE1A6" w14:textId="77777777" w:rsidTr="007B10BD">
        <w:trPr>
          <w:trHeight w:val="85"/>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8CD00B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BA1059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Chalvey Road East (a)</w:t>
            </w:r>
          </w:p>
        </w:tc>
        <w:tc>
          <w:tcPr>
            <w:tcW w:w="2268" w:type="dxa"/>
            <w:tcBorders>
              <w:top w:val="nil"/>
              <w:left w:val="single" w:sz="8" w:space="0" w:color="auto"/>
              <w:bottom w:val="nil"/>
              <w:right w:val="nil"/>
            </w:tcBorders>
            <w:shd w:val="clear" w:color="auto" w:fill="FFFF00"/>
            <w:noWrap/>
            <w:vAlign w:val="bottom"/>
            <w:hideMark/>
          </w:tcPr>
          <w:p w14:paraId="7B5FF93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11.87</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BE7EBB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B4AFC1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Yew Tree Rd (Ux Rd) (B)</w:t>
            </w:r>
          </w:p>
        </w:tc>
        <w:tc>
          <w:tcPr>
            <w:tcW w:w="2268" w:type="dxa"/>
            <w:tcBorders>
              <w:top w:val="nil"/>
              <w:left w:val="single" w:sz="8" w:space="0" w:color="auto"/>
              <w:bottom w:val="nil"/>
              <w:right w:val="nil"/>
            </w:tcBorders>
            <w:shd w:val="clear" w:color="auto" w:fill="FFFF00"/>
            <w:noWrap/>
            <w:vAlign w:val="bottom"/>
            <w:hideMark/>
          </w:tcPr>
          <w:p w14:paraId="06B5B6B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11.53</w:t>
            </w:r>
          </w:p>
        </w:tc>
      </w:tr>
      <w:tr w:rsidR="001529CE" w:rsidRPr="0092686C" w14:paraId="43B6787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1593510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F9779F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w:t>
            </w:r>
          </w:p>
        </w:tc>
        <w:tc>
          <w:tcPr>
            <w:tcW w:w="2268" w:type="dxa"/>
            <w:tcBorders>
              <w:top w:val="nil"/>
              <w:left w:val="single" w:sz="8" w:space="0" w:color="auto"/>
              <w:bottom w:val="nil"/>
              <w:right w:val="nil"/>
            </w:tcBorders>
            <w:shd w:val="clear" w:color="auto" w:fill="FFFF00"/>
            <w:noWrap/>
            <w:vAlign w:val="bottom"/>
            <w:hideMark/>
          </w:tcPr>
          <w:p w14:paraId="012DDF9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7E7001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3FC401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Tuns Lane (B)</w:t>
            </w:r>
          </w:p>
        </w:tc>
        <w:tc>
          <w:tcPr>
            <w:tcW w:w="2268" w:type="dxa"/>
            <w:tcBorders>
              <w:top w:val="nil"/>
              <w:left w:val="single" w:sz="8" w:space="0" w:color="auto"/>
              <w:bottom w:val="nil"/>
              <w:right w:val="nil"/>
            </w:tcBorders>
            <w:shd w:val="clear" w:color="auto" w:fill="FFFF00"/>
            <w:noWrap/>
            <w:vAlign w:val="bottom"/>
            <w:hideMark/>
          </w:tcPr>
          <w:p w14:paraId="0F33725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11.50</w:t>
            </w:r>
          </w:p>
        </w:tc>
      </w:tr>
      <w:tr w:rsidR="001529CE" w:rsidRPr="0092686C" w14:paraId="71F06F9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A37D5D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B13F29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Princess Street</w:t>
            </w:r>
          </w:p>
        </w:tc>
        <w:tc>
          <w:tcPr>
            <w:tcW w:w="2268" w:type="dxa"/>
            <w:tcBorders>
              <w:top w:val="nil"/>
              <w:left w:val="single" w:sz="8" w:space="0" w:color="auto"/>
              <w:bottom w:val="nil"/>
              <w:right w:val="nil"/>
            </w:tcBorders>
            <w:shd w:val="clear" w:color="auto" w:fill="FFFF00"/>
            <w:noWrap/>
            <w:vAlign w:val="bottom"/>
            <w:hideMark/>
          </w:tcPr>
          <w:p w14:paraId="274FA33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5354C9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8C763D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Elliman Avenue (a)</w:t>
            </w:r>
          </w:p>
        </w:tc>
        <w:tc>
          <w:tcPr>
            <w:tcW w:w="2268" w:type="dxa"/>
            <w:tcBorders>
              <w:top w:val="nil"/>
              <w:left w:val="single" w:sz="8" w:space="0" w:color="auto"/>
              <w:bottom w:val="nil"/>
              <w:right w:val="nil"/>
            </w:tcBorders>
            <w:shd w:val="clear" w:color="auto" w:fill="FFFF00"/>
            <w:noWrap/>
            <w:vAlign w:val="bottom"/>
            <w:hideMark/>
          </w:tcPr>
          <w:p w14:paraId="744E110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11.48</w:t>
            </w:r>
          </w:p>
        </w:tc>
      </w:tr>
      <w:tr w:rsidR="001529CE" w:rsidRPr="0092686C" w14:paraId="5A8D4A00"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FF6E93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90,SLO 91,SLO 92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E5E0E0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Cornwall House, Bath Rd</w:t>
            </w:r>
          </w:p>
        </w:tc>
        <w:tc>
          <w:tcPr>
            <w:tcW w:w="2268" w:type="dxa"/>
            <w:tcBorders>
              <w:top w:val="nil"/>
              <w:left w:val="single" w:sz="8" w:space="0" w:color="auto"/>
              <w:bottom w:val="nil"/>
              <w:right w:val="nil"/>
            </w:tcBorders>
            <w:shd w:val="clear" w:color="auto" w:fill="FFFF00"/>
            <w:noWrap/>
            <w:vAlign w:val="bottom"/>
            <w:hideMark/>
          </w:tcPr>
          <w:p w14:paraId="694D89C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EAB393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9BF9780"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Wellington Street</w:t>
            </w:r>
          </w:p>
        </w:tc>
        <w:tc>
          <w:tcPr>
            <w:tcW w:w="2268" w:type="dxa"/>
            <w:tcBorders>
              <w:top w:val="nil"/>
              <w:left w:val="single" w:sz="8" w:space="0" w:color="auto"/>
              <w:bottom w:val="nil"/>
              <w:right w:val="nil"/>
            </w:tcBorders>
            <w:shd w:val="clear" w:color="auto" w:fill="FFFF00"/>
            <w:noWrap/>
            <w:vAlign w:val="bottom"/>
            <w:hideMark/>
          </w:tcPr>
          <w:p w14:paraId="7623E82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11.45</w:t>
            </w:r>
          </w:p>
        </w:tc>
      </w:tr>
      <w:tr w:rsidR="001529CE" w:rsidRPr="0092686C" w14:paraId="329E188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95CC05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69,SLO 70,SLO 71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64B710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Albert Street/Upton Court Park Road</w:t>
            </w:r>
          </w:p>
        </w:tc>
        <w:tc>
          <w:tcPr>
            <w:tcW w:w="2268" w:type="dxa"/>
            <w:tcBorders>
              <w:top w:val="nil"/>
              <w:left w:val="single" w:sz="8" w:space="0" w:color="auto"/>
              <w:bottom w:val="nil"/>
              <w:right w:val="nil"/>
            </w:tcBorders>
            <w:shd w:val="clear" w:color="auto" w:fill="FFFF00"/>
            <w:noWrap/>
            <w:vAlign w:val="bottom"/>
            <w:hideMark/>
          </w:tcPr>
          <w:p w14:paraId="473B9546"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11.83</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3DA6AC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123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D3F580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Ledgers Road (a)</w:t>
            </w:r>
          </w:p>
        </w:tc>
        <w:tc>
          <w:tcPr>
            <w:tcW w:w="2268" w:type="dxa"/>
            <w:tcBorders>
              <w:top w:val="nil"/>
              <w:left w:val="single" w:sz="8" w:space="0" w:color="auto"/>
              <w:bottom w:val="nil"/>
              <w:right w:val="nil"/>
            </w:tcBorders>
            <w:shd w:val="clear" w:color="auto" w:fill="FFFF00"/>
            <w:noWrap/>
            <w:vAlign w:val="bottom"/>
            <w:hideMark/>
          </w:tcPr>
          <w:p w14:paraId="022077BC"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11.42</w:t>
            </w:r>
          </w:p>
        </w:tc>
      </w:tr>
      <w:tr w:rsidR="001529CE" w:rsidRPr="0092686C" w14:paraId="783920F8"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61FB37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75,SLO 76,SLO 77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9356E9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 xml:space="preserve">Blair Road </w:t>
            </w:r>
            <w:r>
              <w:rPr>
                <w:rFonts w:cs="Arial"/>
                <w:color w:val="000000"/>
                <w:sz w:val="16"/>
                <w:szCs w:val="16"/>
              </w:rPr>
              <w:t>–</w:t>
            </w:r>
            <w:r w:rsidRPr="0092686C">
              <w:rPr>
                <w:rFonts w:cs="Arial"/>
                <w:color w:val="000000"/>
                <w:sz w:val="16"/>
                <w:szCs w:val="16"/>
              </w:rPr>
              <w:t xml:space="preserve"> Victoria Court</w:t>
            </w:r>
          </w:p>
        </w:tc>
        <w:tc>
          <w:tcPr>
            <w:tcW w:w="2268" w:type="dxa"/>
            <w:tcBorders>
              <w:top w:val="nil"/>
              <w:left w:val="single" w:sz="8" w:space="0" w:color="auto"/>
              <w:bottom w:val="nil"/>
              <w:right w:val="nil"/>
            </w:tcBorders>
            <w:shd w:val="clear" w:color="auto" w:fill="FFFF00"/>
            <w:noWrap/>
            <w:vAlign w:val="bottom"/>
            <w:hideMark/>
          </w:tcPr>
          <w:p w14:paraId="51E183D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11.83</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38B537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30D512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Cippenham Lane (a)</w:t>
            </w:r>
          </w:p>
        </w:tc>
        <w:tc>
          <w:tcPr>
            <w:tcW w:w="2268" w:type="dxa"/>
            <w:tcBorders>
              <w:top w:val="nil"/>
              <w:left w:val="single" w:sz="8" w:space="0" w:color="auto"/>
              <w:bottom w:val="nil"/>
              <w:right w:val="nil"/>
            </w:tcBorders>
            <w:shd w:val="clear" w:color="auto" w:fill="FFFF00"/>
            <w:noWrap/>
            <w:vAlign w:val="bottom"/>
            <w:hideMark/>
          </w:tcPr>
          <w:p w14:paraId="50EEE7A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11.42</w:t>
            </w:r>
          </w:p>
        </w:tc>
      </w:tr>
      <w:tr w:rsidR="001529CE" w:rsidRPr="0092686C" w14:paraId="58EA1DE6" w14:textId="77777777" w:rsidTr="007B10BD">
        <w:trPr>
          <w:trHeight w:val="85"/>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2B2B23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72,SLO 73,SLO 74</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C6CE0F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High Street Langley (A)</w:t>
            </w:r>
          </w:p>
        </w:tc>
        <w:tc>
          <w:tcPr>
            <w:tcW w:w="2268" w:type="dxa"/>
            <w:tcBorders>
              <w:top w:val="nil"/>
              <w:left w:val="single" w:sz="8" w:space="0" w:color="auto"/>
              <w:bottom w:val="nil"/>
              <w:right w:val="nil"/>
            </w:tcBorders>
            <w:shd w:val="clear" w:color="auto" w:fill="FFFF00"/>
            <w:noWrap/>
            <w:vAlign w:val="bottom"/>
            <w:hideMark/>
          </w:tcPr>
          <w:p w14:paraId="57FE776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836D1C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A1A9DB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Elliman Avenue (b)</w:t>
            </w:r>
          </w:p>
        </w:tc>
        <w:tc>
          <w:tcPr>
            <w:tcW w:w="2268" w:type="dxa"/>
            <w:tcBorders>
              <w:top w:val="nil"/>
              <w:left w:val="single" w:sz="8" w:space="0" w:color="auto"/>
              <w:bottom w:val="nil"/>
              <w:right w:val="nil"/>
            </w:tcBorders>
            <w:shd w:val="clear" w:color="auto" w:fill="FFFF00"/>
            <w:noWrap/>
            <w:vAlign w:val="bottom"/>
            <w:hideMark/>
          </w:tcPr>
          <w:p w14:paraId="7A20D722"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11.41</w:t>
            </w:r>
          </w:p>
        </w:tc>
      </w:tr>
      <w:tr w:rsidR="001529CE" w:rsidRPr="0092686C" w14:paraId="2986839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889E5C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46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D4112B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Cornwall House, Bath Rd</w:t>
            </w:r>
          </w:p>
        </w:tc>
        <w:tc>
          <w:tcPr>
            <w:tcW w:w="2268" w:type="dxa"/>
            <w:tcBorders>
              <w:top w:val="nil"/>
              <w:left w:val="single" w:sz="8" w:space="0" w:color="auto"/>
              <w:bottom w:val="nil"/>
              <w:right w:val="nil"/>
            </w:tcBorders>
            <w:shd w:val="clear" w:color="auto" w:fill="FFFF00"/>
            <w:noWrap/>
            <w:vAlign w:val="bottom"/>
            <w:hideMark/>
          </w:tcPr>
          <w:p w14:paraId="5477768E"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60C066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65E1E3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Chalvey Road East (a)</w:t>
            </w:r>
          </w:p>
        </w:tc>
        <w:tc>
          <w:tcPr>
            <w:tcW w:w="2268" w:type="dxa"/>
            <w:tcBorders>
              <w:top w:val="nil"/>
              <w:left w:val="single" w:sz="8" w:space="0" w:color="auto"/>
              <w:bottom w:val="nil"/>
              <w:right w:val="nil"/>
            </w:tcBorders>
            <w:shd w:val="clear" w:color="auto" w:fill="FFFF00"/>
            <w:noWrap/>
            <w:vAlign w:val="bottom"/>
            <w:hideMark/>
          </w:tcPr>
          <w:p w14:paraId="33BB0A4A"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11.40</w:t>
            </w:r>
          </w:p>
        </w:tc>
      </w:tr>
      <w:tr w:rsidR="001529CE" w:rsidRPr="0092686C" w14:paraId="0C62DB1E"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872EF0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87,SLO 88,SLO 89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C47C73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 Windmill Bath Road</w:t>
            </w:r>
          </w:p>
        </w:tc>
        <w:tc>
          <w:tcPr>
            <w:tcW w:w="2268" w:type="dxa"/>
            <w:tcBorders>
              <w:top w:val="nil"/>
              <w:left w:val="single" w:sz="8" w:space="0" w:color="auto"/>
              <w:bottom w:val="nil"/>
              <w:right w:val="nil"/>
            </w:tcBorders>
            <w:shd w:val="clear" w:color="auto" w:fill="FFFF00"/>
            <w:noWrap/>
            <w:vAlign w:val="bottom"/>
            <w:hideMark/>
          </w:tcPr>
          <w:p w14:paraId="48B25841"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CF0963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4BEDB2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Oatlands Drive (b)</w:t>
            </w:r>
          </w:p>
        </w:tc>
        <w:tc>
          <w:tcPr>
            <w:tcW w:w="2268" w:type="dxa"/>
            <w:tcBorders>
              <w:top w:val="nil"/>
              <w:left w:val="single" w:sz="8" w:space="0" w:color="auto"/>
              <w:bottom w:val="nil"/>
              <w:right w:val="nil"/>
            </w:tcBorders>
            <w:shd w:val="clear" w:color="auto" w:fill="FFFF00"/>
            <w:noWrap/>
            <w:vAlign w:val="bottom"/>
            <w:hideMark/>
          </w:tcPr>
          <w:p w14:paraId="18EB0D1D"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11.38</w:t>
            </w:r>
          </w:p>
        </w:tc>
      </w:tr>
      <w:tr w:rsidR="001529CE" w:rsidRPr="0092686C" w14:paraId="546687F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77CCF9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A3578F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Wexham Road</w:t>
            </w:r>
          </w:p>
        </w:tc>
        <w:tc>
          <w:tcPr>
            <w:tcW w:w="2268" w:type="dxa"/>
            <w:tcBorders>
              <w:top w:val="nil"/>
              <w:left w:val="single" w:sz="8" w:space="0" w:color="auto"/>
              <w:bottom w:val="nil"/>
              <w:right w:val="nil"/>
            </w:tcBorders>
            <w:shd w:val="clear" w:color="auto" w:fill="FFFF00"/>
            <w:noWrap/>
            <w:vAlign w:val="bottom"/>
            <w:hideMark/>
          </w:tcPr>
          <w:p w14:paraId="106ED87A"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773890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65BA62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Oatlands Drive (a)</w:t>
            </w:r>
          </w:p>
        </w:tc>
        <w:tc>
          <w:tcPr>
            <w:tcW w:w="2268" w:type="dxa"/>
            <w:tcBorders>
              <w:top w:val="nil"/>
              <w:left w:val="single" w:sz="8" w:space="0" w:color="auto"/>
              <w:bottom w:val="nil"/>
              <w:right w:val="nil"/>
            </w:tcBorders>
            <w:shd w:val="clear" w:color="auto" w:fill="FFFF00"/>
            <w:noWrap/>
            <w:vAlign w:val="bottom"/>
            <w:hideMark/>
          </w:tcPr>
          <w:p w14:paraId="3503231B"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11.38</w:t>
            </w:r>
          </w:p>
        </w:tc>
      </w:tr>
      <w:tr w:rsidR="001529CE" w:rsidRPr="0092686C" w14:paraId="736CA99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7C7B01A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78,SLO 79,SLO 80</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15FBEF6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 (A)</w:t>
            </w:r>
          </w:p>
        </w:tc>
        <w:tc>
          <w:tcPr>
            <w:tcW w:w="2268" w:type="dxa"/>
            <w:tcBorders>
              <w:top w:val="nil"/>
              <w:left w:val="single" w:sz="8" w:space="0" w:color="auto"/>
              <w:bottom w:val="nil"/>
              <w:right w:val="nil"/>
            </w:tcBorders>
            <w:shd w:val="clear" w:color="auto" w:fill="FFFF00"/>
            <w:noWrap/>
            <w:vAlign w:val="bottom"/>
            <w:hideMark/>
          </w:tcPr>
          <w:p w14:paraId="7D1B82F3"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37BAA40"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A3F2A6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Salt Hill Park tennis courts</w:t>
            </w:r>
          </w:p>
        </w:tc>
        <w:tc>
          <w:tcPr>
            <w:tcW w:w="2268" w:type="dxa"/>
            <w:tcBorders>
              <w:top w:val="nil"/>
              <w:left w:val="single" w:sz="8" w:space="0" w:color="auto"/>
              <w:bottom w:val="nil"/>
              <w:right w:val="nil"/>
            </w:tcBorders>
            <w:shd w:val="clear" w:color="auto" w:fill="FFFF00"/>
            <w:noWrap/>
            <w:vAlign w:val="bottom"/>
            <w:hideMark/>
          </w:tcPr>
          <w:p w14:paraId="444A5A0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11.29</w:t>
            </w:r>
          </w:p>
        </w:tc>
      </w:tr>
      <w:tr w:rsidR="001529CE" w:rsidRPr="0092686C" w14:paraId="27F447D6"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2AB3DB8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84,SLO 85,SLO 86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0F9AEA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Spackmans Way HE Receptor 7</w:t>
            </w:r>
          </w:p>
        </w:tc>
        <w:tc>
          <w:tcPr>
            <w:tcW w:w="2268" w:type="dxa"/>
            <w:tcBorders>
              <w:top w:val="nil"/>
              <w:left w:val="single" w:sz="8" w:space="0" w:color="auto"/>
              <w:bottom w:val="nil"/>
              <w:right w:val="nil"/>
            </w:tcBorders>
            <w:shd w:val="clear" w:color="auto" w:fill="FFFF00"/>
            <w:noWrap/>
            <w:vAlign w:val="bottom"/>
            <w:hideMark/>
          </w:tcPr>
          <w:p w14:paraId="15AED42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F0DA39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79491C3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Elbow Meadows</w:t>
            </w:r>
          </w:p>
        </w:tc>
        <w:tc>
          <w:tcPr>
            <w:tcW w:w="2268" w:type="dxa"/>
            <w:tcBorders>
              <w:top w:val="nil"/>
              <w:left w:val="single" w:sz="8" w:space="0" w:color="auto"/>
              <w:bottom w:val="nil"/>
              <w:right w:val="nil"/>
            </w:tcBorders>
            <w:shd w:val="clear" w:color="auto" w:fill="FFFF00"/>
            <w:noWrap/>
            <w:vAlign w:val="bottom"/>
            <w:hideMark/>
          </w:tcPr>
          <w:p w14:paraId="04CC2D58"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11.28</w:t>
            </w:r>
          </w:p>
        </w:tc>
      </w:tr>
      <w:tr w:rsidR="001529CE" w:rsidRPr="0092686C" w14:paraId="0BEEFD1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1749F6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81,SLO 82,SLO 83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2150BC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London Road (A)</w:t>
            </w:r>
          </w:p>
        </w:tc>
        <w:tc>
          <w:tcPr>
            <w:tcW w:w="2268" w:type="dxa"/>
            <w:tcBorders>
              <w:top w:val="nil"/>
              <w:left w:val="single" w:sz="8" w:space="0" w:color="auto"/>
              <w:bottom w:val="nil"/>
              <w:right w:val="nil"/>
            </w:tcBorders>
            <w:shd w:val="clear" w:color="auto" w:fill="FFFF00"/>
            <w:noWrap/>
            <w:vAlign w:val="bottom"/>
            <w:hideMark/>
          </w:tcPr>
          <w:p w14:paraId="0C7118A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9CB65D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B0F5C5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Salt Hill Park Footbridge</w:t>
            </w:r>
          </w:p>
        </w:tc>
        <w:tc>
          <w:tcPr>
            <w:tcW w:w="2268" w:type="dxa"/>
            <w:tcBorders>
              <w:top w:val="nil"/>
              <w:left w:val="single" w:sz="8" w:space="0" w:color="auto"/>
              <w:bottom w:val="nil"/>
              <w:right w:val="nil"/>
            </w:tcBorders>
            <w:shd w:val="clear" w:color="auto" w:fill="FFFF00"/>
            <w:noWrap/>
            <w:vAlign w:val="bottom"/>
            <w:hideMark/>
          </w:tcPr>
          <w:p w14:paraId="5755A6DB"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11.20</w:t>
            </w:r>
          </w:p>
        </w:tc>
      </w:tr>
      <w:tr w:rsidR="001529CE" w:rsidRPr="0092686C" w14:paraId="7A813600"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6A6F696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4F2AF09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Grampian Way</w:t>
            </w:r>
          </w:p>
        </w:tc>
        <w:tc>
          <w:tcPr>
            <w:tcW w:w="2268" w:type="dxa"/>
            <w:tcBorders>
              <w:top w:val="nil"/>
              <w:left w:val="single" w:sz="8" w:space="0" w:color="auto"/>
              <w:bottom w:val="nil"/>
              <w:right w:val="nil"/>
            </w:tcBorders>
            <w:shd w:val="clear" w:color="auto" w:fill="FFFF00"/>
            <w:noWrap/>
            <w:vAlign w:val="bottom"/>
            <w:hideMark/>
          </w:tcPr>
          <w:p w14:paraId="3D5D248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94F2E0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2DA68EDA"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Salt Hill Park Footpath</w:t>
            </w:r>
          </w:p>
        </w:tc>
        <w:tc>
          <w:tcPr>
            <w:tcW w:w="2268" w:type="dxa"/>
            <w:tcBorders>
              <w:top w:val="nil"/>
              <w:left w:val="single" w:sz="8" w:space="0" w:color="auto"/>
              <w:bottom w:val="nil"/>
              <w:right w:val="nil"/>
            </w:tcBorders>
            <w:shd w:val="clear" w:color="auto" w:fill="FFFF00"/>
            <w:noWrap/>
            <w:vAlign w:val="bottom"/>
            <w:hideMark/>
          </w:tcPr>
          <w:p w14:paraId="69C30AC6"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11.09</w:t>
            </w:r>
          </w:p>
        </w:tc>
      </w:tr>
      <w:tr w:rsidR="001529CE" w:rsidRPr="0092686C" w14:paraId="66F092F4"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A01A9A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CD6CEC7"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Chalvey Road East (b)</w:t>
            </w:r>
          </w:p>
        </w:tc>
        <w:tc>
          <w:tcPr>
            <w:tcW w:w="2268" w:type="dxa"/>
            <w:tcBorders>
              <w:top w:val="nil"/>
              <w:left w:val="single" w:sz="8" w:space="0" w:color="auto"/>
              <w:bottom w:val="nil"/>
              <w:right w:val="nil"/>
            </w:tcBorders>
            <w:shd w:val="clear" w:color="auto" w:fill="FFFF00"/>
            <w:noWrap/>
            <w:vAlign w:val="bottom"/>
            <w:hideMark/>
          </w:tcPr>
          <w:p w14:paraId="17C770FA"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11.81</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945E1A3"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8EE1A9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Colnbrook By-pass</w:t>
            </w:r>
          </w:p>
        </w:tc>
        <w:tc>
          <w:tcPr>
            <w:tcW w:w="2268" w:type="dxa"/>
            <w:tcBorders>
              <w:top w:val="nil"/>
              <w:left w:val="single" w:sz="8" w:space="0" w:color="auto"/>
              <w:bottom w:val="nil"/>
              <w:right w:val="nil"/>
            </w:tcBorders>
            <w:shd w:val="clear" w:color="auto" w:fill="FFFF00"/>
            <w:noWrap/>
            <w:vAlign w:val="bottom"/>
            <w:hideMark/>
          </w:tcPr>
          <w:p w14:paraId="117F97D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10.93</w:t>
            </w:r>
          </w:p>
        </w:tc>
      </w:tr>
      <w:tr w:rsidR="001529CE" w:rsidRPr="0092686C" w14:paraId="3B480A9C"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6428CE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32247A3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Torridge Road</w:t>
            </w:r>
          </w:p>
        </w:tc>
        <w:tc>
          <w:tcPr>
            <w:tcW w:w="2268" w:type="dxa"/>
            <w:tcBorders>
              <w:top w:val="nil"/>
              <w:left w:val="single" w:sz="8" w:space="0" w:color="auto"/>
              <w:bottom w:val="nil"/>
              <w:right w:val="nil"/>
            </w:tcBorders>
            <w:shd w:val="clear" w:color="auto" w:fill="FFFF00"/>
            <w:noWrap/>
            <w:vAlign w:val="bottom"/>
            <w:hideMark/>
          </w:tcPr>
          <w:p w14:paraId="3C70A8CE"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4908BC1B"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F25266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Slough-Colnbrook-(Pippins)</w:t>
            </w:r>
          </w:p>
        </w:tc>
        <w:tc>
          <w:tcPr>
            <w:tcW w:w="2268" w:type="dxa"/>
            <w:tcBorders>
              <w:top w:val="nil"/>
              <w:left w:val="single" w:sz="8" w:space="0" w:color="auto"/>
              <w:bottom w:val="nil"/>
              <w:right w:val="nil"/>
            </w:tcBorders>
            <w:shd w:val="clear" w:color="auto" w:fill="FFFF00"/>
            <w:noWrap/>
            <w:vAlign w:val="bottom"/>
            <w:hideMark/>
          </w:tcPr>
          <w:p w14:paraId="7F3F525F"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10.84</w:t>
            </w:r>
          </w:p>
        </w:tc>
      </w:tr>
      <w:tr w:rsidR="001529CE" w:rsidRPr="0092686C" w14:paraId="55AF139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55CBE580"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60,SLO 61,SLO 62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0A304FB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Wellington Street</w:t>
            </w:r>
          </w:p>
        </w:tc>
        <w:tc>
          <w:tcPr>
            <w:tcW w:w="2268" w:type="dxa"/>
            <w:tcBorders>
              <w:top w:val="nil"/>
              <w:left w:val="single" w:sz="8" w:space="0" w:color="auto"/>
              <w:bottom w:val="nil"/>
              <w:right w:val="nil"/>
            </w:tcBorders>
            <w:shd w:val="clear" w:color="auto" w:fill="FFFF00"/>
            <w:noWrap/>
            <w:vAlign w:val="bottom"/>
            <w:hideMark/>
          </w:tcPr>
          <w:p w14:paraId="7A70099B"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72D7A7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8</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66C0FEE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Slough-Lakeside-2</w:t>
            </w:r>
          </w:p>
        </w:tc>
        <w:tc>
          <w:tcPr>
            <w:tcW w:w="2268" w:type="dxa"/>
            <w:tcBorders>
              <w:top w:val="nil"/>
              <w:left w:val="single" w:sz="8" w:space="0" w:color="auto"/>
              <w:bottom w:val="nil"/>
              <w:right w:val="nil"/>
            </w:tcBorders>
            <w:shd w:val="clear" w:color="auto" w:fill="FFFF00"/>
            <w:noWrap/>
            <w:vAlign w:val="bottom"/>
            <w:hideMark/>
          </w:tcPr>
          <w:p w14:paraId="1500AB0F"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10.84</w:t>
            </w:r>
          </w:p>
        </w:tc>
      </w:tr>
      <w:tr w:rsidR="001529CE" w:rsidRPr="0092686C" w14:paraId="34F4260D"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388EBFE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13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765B28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Elliman Avenue (a)</w:t>
            </w:r>
          </w:p>
        </w:tc>
        <w:tc>
          <w:tcPr>
            <w:tcW w:w="2268" w:type="dxa"/>
            <w:tcBorders>
              <w:top w:val="nil"/>
              <w:left w:val="single" w:sz="8" w:space="0" w:color="auto"/>
              <w:bottom w:val="nil"/>
              <w:right w:val="nil"/>
            </w:tcBorders>
            <w:shd w:val="clear" w:color="auto" w:fill="FFFF00"/>
            <w:noWrap/>
            <w:vAlign w:val="bottom"/>
            <w:hideMark/>
          </w:tcPr>
          <w:p w14:paraId="737FA1B0"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hideMark/>
          </w:tcPr>
          <w:p w14:paraId="026ACE4F"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14,SLO 15,SLO 16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hideMark/>
          </w:tcPr>
          <w:p w14:paraId="5679596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Pippins</w:t>
            </w:r>
          </w:p>
        </w:tc>
        <w:tc>
          <w:tcPr>
            <w:tcW w:w="2268" w:type="dxa"/>
            <w:tcBorders>
              <w:top w:val="nil"/>
              <w:left w:val="single" w:sz="8" w:space="0" w:color="auto"/>
              <w:bottom w:val="nil"/>
              <w:right w:val="nil"/>
            </w:tcBorders>
            <w:shd w:val="clear" w:color="auto" w:fill="FFFF00"/>
            <w:noWrap/>
            <w:vAlign w:val="bottom"/>
            <w:hideMark/>
          </w:tcPr>
          <w:p w14:paraId="0868BBAA"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10.84</w:t>
            </w:r>
          </w:p>
        </w:tc>
      </w:tr>
      <w:tr w:rsidR="001529CE" w:rsidRPr="0092686C" w14:paraId="29B27F4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5648A8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29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4D2333A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Yew Tree Rd (Uxbridge Rd)</w:t>
            </w:r>
          </w:p>
        </w:tc>
        <w:tc>
          <w:tcPr>
            <w:tcW w:w="2268" w:type="dxa"/>
            <w:tcBorders>
              <w:top w:val="nil"/>
              <w:left w:val="single" w:sz="8" w:space="0" w:color="auto"/>
              <w:bottom w:val="nil"/>
              <w:right w:val="nil"/>
            </w:tcBorders>
            <w:shd w:val="clear" w:color="auto" w:fill="FFFF00"/>
            <w:noWrap/>
            <w:vAlign w:val="bottom"/>
          </w:tcPr>
          <w:p w14:paraId="5A81B35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11.80</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3CC9B50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96</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132654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Elliman Avenue (b)</w:t>
            </w:r>
          </w:p>
        </w:tc>
        <w:tc>
          <w:tcPr>
            <w:tcW w:w="2268" w:type="dxa"/>
            <w:tcBorders>
              <w:top w:val="nil"/>
              <w:left w:val="single" w:sz="8" w:space="0" w:color="auto"/>
              <w:bottom w:val="nil"/>
              <w:right w:val="nil"/>
            </w:tcBorders>
            <w:shd w:val="clear" w:color="auto" w:fill="FFFF00"/>
            <w:noWrap/>
            <w:vAlign w:val="bottom"/>
          </w:tcPr>
          <w:p w14:paraId="2564DE57"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10.78</w:t>
            </w:r>
          </w:p>
        </w:tc>
      </w:tr>
      <w:tr w:rsidR="001529CE" w:rsidRPr="0092686C" w14:paraId="7C1E3C82"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3FC8BDA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37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3216041"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 xml:space="preserve">Blair Road </w:t>
            </w:r>
            <w:r>
              <w:rPr>
                <w:rFonts w:cs="Arial"/>
                <w:color w:val="000000"/>
                <w:sz w:val="16"/>
                <w:szCs w:val="16"/>
              </w:rPr>
              <w:t>–</w:t>
            </w:r>
            <w:r w:rsidRPr="0092686C">
              <w:rPr>
                <w:rFonts w:cs="Arial"/>
                <w:color w:val="000000"/>
                <w:sz w:val="16"/>
                <w:szCs w:val="16"/>
              </w:rPr>
              <w:t xml:space="preserve"> Victoria Court</w:t>
            </w:r>
          </w:p>
        </w:tc>
        <w:tc>
          <w:tcPr>
            <w:tcW w:w="2268" w:type="dxa"/>
            <w:tcBorders>
              <w:top w:val="nil"/>
              <w:left w:val="single" w:sz="8" w:space="0" w:color="auto"/>
              <w:bottom w:val="nil"/>
              <w:right w:val="nil"/>
            </w:tcBorders>
            <w:shd w:val="clear" w:color="auto" w:fill="FFFF00"/>
            <w:noWrap/>
            <w:vAlign w:val="bottom"/>
          </w:tcPr>
          <w:p w14:paraId="02765F41"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11.78</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230F89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11</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7BBD604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 London Road</w:t>
            </w:r>
          </w:p>
        </w:tc>
        <w:tc>
          <w:tcPr>
            <w:tcW w:w="2268" w:type="dxa"/>
            <w:tcBorders>
              <w:top w:val="nil"/>
              <w:left w:val="single" w:sz="8" w:space="0" w:color="auto"/>
              <w:bottom w:val="nil"/>
              <w:right w:val="nil"/>
            </w:tcBorders>
            <w:shd w:val="clear" w:color="auto" w:fill="FFFF00"/>
            <w:noWrap/>
            <w:vAlign w:val="bottom"/>
          </w:tcPr>
          <w:p w14:paraId="2B231660"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10.53</w:t>
            </w:r>
          </w:p>
        </w:tc>
      </w:tr>
      <w:tr w:rsidR="001529CE" w:rsidRPr="0092686C" w14:paraId="214E3363"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2F044D0D"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530CAF15"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High Street Langley (A)</w:t>
            </w:r>
          </w:p>
        </w:tc>
        <w:tc>
          <w:tcPr>
            <w:tcW w:w="2268" w:type="dxa"/>
            <w:tcBorders>
              <w:top w:val="nil"/>
              <w:left w:val="single" w:sz="8" w:space="0" w:color="auto"/>
              <w:bottom w:val="nil"/>
              <w:right w:val="nil"/>
            </w:tcBorders>
            <w:shd w:val="clear" w:color="auto" w:fill="FFFF00"/>
            <w:noWrap/>
            <w:vAlign w:val="bottom"/>
          </w:tcPr>
          <w:p w14:paraId="28A59DC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11.75</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74A2E3B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SLH 12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8079A9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Slough Windmill Bath Road</w:t>
            </w:r>
          </w:p>
        </w:tc>
        <w:tc>
          <w:tcPr>
            <w:tcW w:w="2268" w:type="dxa"/>
            <w:tcBorders>
              <w:top w:val="nil"/>
              <w:left w:val="single" w:sz="8" w:space="0" w:color="auto"/>
              <w:bottom w:val="nil"/>
              <w:right w:val="nil"/>
            </w:tcBorders>
            <w:shd w:val="clear" w:color="auto" w:fill="FFFF00"/>
            <w:noWrap/>
            <w:vAlign w:val="bottom"/>
          </w:tcPr>
          <w:p w14:paraId="46C22690"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10.53</w:t>
            </w:r>
          </w:p>
        </w:tc>
      </w:tr>
      <w:tr w:rsidR="001529CE" w:rsidRPr="0092686C" w14:paraId="44FF8A1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01624F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63,SLO 64,SLO 65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7C952D49"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Brands Hill</w:t>
            </w:r>
          </w:p>
        </w:tc>
        <w:tc>
          <w:tcPr>
            <w:tcW w:w="2268" w:type="dxa"/>
            <w:tcBorders>
              <w:top w:val="nil"/>
              <w:left w:val="single" w:sz="8" w:space="0" w:color="auto"/>
              <w:bottom w:val="nil"/>
              <w:right w:val="nil"/>
            </w:tcBorders>
            <w:shd w:val="clear" w:color="auto" w:fill="FFFF00"/>
            <w:noWrap/>
            <w:vAlign w:val="bottom"/>
          </w:tcPr>
          <w:p w14:paraId="01F738A4"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11.74</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0444AD72"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57,SLO 58,SLO 59</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59BE94E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Windmill</w:t>
            </w:r>
          </w:p>
        </w:tc>
        <w:tc>
          <w:tcPr>
            <w:tcW w:w="2268" w:type="dxa"/>
            <w:tcBorders>
              <w:top w:val="nil"/>
              <w:left w:val="single" w:sz="8" w:space="0" w:color="auto"/>
              <w:bottom w:val="nil"/>
              <w:right w:val="nil"/>
            </w:tcBorders>
            <w:shd w:val="clear" w:color="auto" w:fill="FFFF00"/>
            <w:noWrap/>
            <w:vAlign w:val="bottom"/>
          </w:tcPr>
          <w:p w14:paraId="7F6446DD"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10.53</w:t>
            </w:r>
          </w:p>
        </w:tc>
      </w:tr>
      <w:tr w:rsidR="001529CE" w:rsidRPr="0092686C" w14:paraId="3D9DF53B"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1A616D4C"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55</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26AAC76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Oatlands Drive (b)</w:t>
            </w:r>
          </w:p>
        </w:tc>
        <w:tc>
          <w:tcPr>
            <w:tcW w:w="2268" w:type="dxa"/>
            <w:tcBorders>
              <w:top w:val="nil"/>
              <w:left w:val="single" w:sz="8" w:space="0" w:color="auto"/>
              <w:bottom w:val="nil"/>
              <w:right w:val="nil"/>
            </w:tcBorders>
            <w:shd w:val="clear" w:color="auto" w:fill="FFFF00"/>
            <w:noWrap/>
            <w:vAlign w:val="bottom"/>
          </w:tcPr>
          <w:p w14:paraId="00B00573"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11.73</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7BCDB024"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12</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1CEB4B18"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Lakeside road</w:t>
            </w:r>
          </w:p>
        </w:tc>
        <w:tc>
          <w:tcPr>
            <w:tcW w:w="2268" w:type="dxa"/>
            <w:tcBorders>
              <w:top w:val="nil"/>
              <w:left w:val="single" w:sz="8" w:space="0" w:color="auto"/>
              <w:bottom w:val="nil"/>
              <w:right w:val="nil"/>
            </w:tcBorders>
            <w:shd w:val="clear" w:color="auto" w:fill="FFFF00"/>
            <w:noWrap/>
            <w:vAlign w:val="bottom"/>
          </w:tcPr>
          <w:p w14:paraId="09AC9A09"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10.52</w:t>
            </w:r>
          </w:p>
        </w:tc>
      </w:tr>
      <w:tr w:rsidR="001529CE" w:rsidRPr="0092686C" w14:paraId="73CA39C7" w14:textId="77777777" w:rsidTr="007B10BD">
        <w:trPr>
          <w:trHeight w:val="170"/>
        </w:trPr>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6FD5A77B" w14:textId="77777777" w:rsidR="001529CE" w:rsidRPr="0092686C" w:rsidRDefault="001529CE" w:rsidP="007B10BD">
            <w:pPr>
              <w:spacing w:before="0" w:line="240" w:lineRule="auto"/>
              <w:rPr>
                <w:rFonts w:cs="Arial"/>
                <w:sz w:val="16"/>
                <w:szCs w:val="16"/>
              </w:rPr>
            </w:pPr>
            <w:r w:rsidRPr="0092686C">
              <w:rPr>
                <w:rFonts w:cs="Arial"/>
                <w:color w:val="000000"/>
                <w:sz w:val="16"/>
                <w:szCs w:val="16"/>
              </w:rPr>
              <w:t>SLO 23</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72870BB9" w14:textId="77777777" w:rsidR="001529CE" w:rsidRPr="0092686C" w:rsidRDefault="001529CE" w:rsidP="007B10BD">
            <w:pPr>
              <w:spacing w:before="0" w:line="240" w:lineRule="auto"/>
              <w:rPr>
                <w:rFonts w:cs="Arial"/>
                <w:sz w:val="16"/>
                <w:szCs w:val="16"/>
              </w:rPr>
            </w:pPr>
            <w:r w:rsidRPr="0092686C">
              <w:rPr>
                <w:rFonts w:cs="Arial"/>
                <w:color w:val="000000"/>
                <w:sz w:val="16"/>
                <w:szCs w:val="16"/>
              </w:rPr>
              <w:t>Langley Road</w:t>
            </w:r>
          </w:p>
        </w:tc>
        <w:tc>
          <w:tcPr>
            <w:tcW w:w="2268" w:type="dxa"/>
            <w:tcBorders>
              <w:top w:val="nil"/>
              <w:left w:val="single" w:sz="8" w:space="0" w:color="auto"/>
              <w:bottom w:val="nil"/>
              <w:right w:val="nil"/>
            </w:tcBorders>
            <w:shd w:val="clear" w:color="auto" w:fill="FFFF00"/>
            <w:noWrap/>
            <w:vAlign w:val="bottom"/>
          </w:tcPr>
          <w:p w14:paraId="41D9A3BB" w14:textId="77777777" w:rsidR="001529CE" w:rsidRPr="0092686C" w:rsidRDefault="001529CE" w:rsidP="007B10BD">
            <w:pPr>
              <w:spacing w:before="0" w:line="240" w:lineRule="auto"/>
              <w:jc w:val="center"/>
              <w:rPr>
                <w:rFonts w:cs="Arial"/>
                <w:sz w:val="16"/>
                <w:szCs w:val="16"/>
              </w:rPr>
            </w:pPr>
            <w:r w:rsidRPr="0092686C">
              <w:rPr>
                <w:rFonts w:cs="Arial"/>
                <w:color w:val="000000"/>
                <w:sz w:val="16"/>
                <w:szCs w:val="16"/>
              </w:rPr>
              <w:t>11.72</w:t>
            </w:r>
          </w:p>
        </w:tc>
        <w:tc>
          <w:tcPr>
            <w:tcW w:w="2268" w:type="dxa"/>
            <w:tcBorders>
              <w:top w:val="single" w:sz="4" w:space="0" w:color="FFFFFF"/>
              <w:left w:val="single" w:sz="8" w:space="0" w:color="auto"/>
              <w:bottom w:val="single" w:sz="4" w:space="0" w:color="FFFFFF"/>
              <w:right w:val="single" w:sz="4" w:space="0" w:color="FFFFFF"/>
            </w:tcBorders>
            <w:shd w:val="clear" w:color="auto" w:fill="auto"/>
            <w:noWrap/>
            <w:vAlign w:val="bottom"/>
          </w:tcPr>
          <w:p w14:paraId="556B0996"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SLO 17</w:t>
            </w:r>
          </w:p>
        </w:tc>
        <w:tc>
          <w:tcPr>
            <w:tcW w:w="5669" w:type="dxa"/>
            <w:tcBorders>
              <w:top w:val="single" w:sz="4" w:space="0" w:color="FFFFFF"/>
              <w:left w:val="single" w:sz="4" w:space="0" w:color="FFFFFF"/>
              <w:bottom w:val="single" w:sz="4" w:space="0" w:color="FFFFFF"/>
              <w:right w:val="single" w:sz="8" w:space="0" w:color="auto"/>
            </w:tcBorders>
            <w:shd w:val="clear" w:color="auto" w:fill="auto"/>
            <w:noWrap/>
            <w:vAlign w:val="bottom"/>
          </w:tcPr>
          <w:p w14:paraId="065B925E" w14:textId="77777777" w:rsidR="001529CE" w:rsidRPr="0092686C" w:rsidRDefault="001529CE" w:rsidP="007B10BD">
            <w:pPr>
              <w:spacing w:before="0" w:line="240" w:lineRule="auto"/>
              <w:rPr>
                <w:rFonts w:cs="Arial"/>
                <w:sz w:val="16"/>
                <w:szCs w:val="16"/>
                <w:lang w:eastAsia="en-GB"/>
              </w:rPr>
            </w:pPr>
            <w:r w:rsidRPr="0092686C">
              <w:rPr>
                <w:rFonts w:cs="Arial"/>
                <w:color w:val="000000"/>
                <w:sz w:val="16"/>
                <w:szCs w:val="16"/>
              </w:rPr>
              <w:t>Horton Road (Caravan Park)</w:t>
            </w:r>
          </w:p>
        </w:tc>
        <w:tc>
          <w:tcPr>
            <w:tcW w:w="2268" w:type="dxa"/>
            <w:tcBorders>
              <w:top w:val="nil"/>
              <w:left w:val="single" w:sz="8" w:space="0" w:color="auto"/>
              <w:bottom w:val="nil"/>
              <w:right w:val="nil"/>
            </w:tcBorders>
            <w:shd w:val="clear" w:color="auto" w:fill="FFFF00"/>
            <w:noWrap/>
            <w:vAlign w:val="bottom"/>
          </w:tcPr>
          <w:p w14:paraId="020ACF95" w14:textId="77777777" w:rsidR="001529CE" w:rsidRPr="0092686C" w:rsidRDefault="001529CE" w:rsidP="007B10BD">
            <w:pPr>
              <w:spacing w:before="0" w:line="240" w:lineRule="auto"/>
              <w:jc w:val="center"/>
              <w:rPr>
                <w:rFonts w:cs="Arial"/>
                <w:sz w:val="16"/>
                <w:szCs w:val="16"/>
                <w:lang w:eastAsia="en-GB"/>
              </w:rPr>
            </w:pPr>
            <w:r w:rsidRPr="0092686C">
              <w:rPr>
                <w:rFonts w:cs="Arial"/>
                <w:color w:val="000000"/>
                <w:sz w:val="16"/>
                <w:szCs w:val="16"/>
              </w:rPr>
              <w:t>10.40</w:t>
            </w:r>
          </w:p>
        </w:tc>
      </w:tr>
    </w:tbl>
    <w:p w14:paraId="30177F68" w14:textId="77777777" w:rsidR="001529CE" w:rsidRDefault="001529CE" w:rsidP="001529CE">
      <w:pPr>
        <w:spacing w:before="0" w:after="0" w:line="240" w:lineRule="auto"/>
        <w:sectPr w:rsidR="001529CE" w:rsidSect="00E50B83">
          <w:pgSz w:w="23808" w:h="16840" w:orient="landscape" w:code="8"/>
          <w:pgMar w:top="1418" w:right="1474" w:bottom="1418" w:left="1134" w:header="964" w:footer="454" w:gutter="0"/>
          <w:cols w:space="708"/>
          <w:docGrid w:linePitch="360"/>
        </w:sectPr>
      </w:pPr>
    </w:p>
    <w:p w14:paraId="107F89C8" w14:textId="77777777" w:rsidR="001529CE" w:rsidRDefault="001529CE" w:rsidP="001529CE">
      <w:pPr>
        <w:spacing w:before="0" w:after="0" w:line="240" w:lineRule="auto"/>
      </w:pPr>
    </w:p>
    <w:p w14:paraId="07D57EB3" w14:textId="130D87E5" w:rsidR="001529CE" w:rsidRDefault="001529CE" w:rsidP="00F77171">
      <w:pPr>
        <w:pStyle w:val="Heading1"/>
        <w:numPr>
          <w:ilvl w:val="0"/>
          <w:numId w:val="79"/>
        </w:numPr>
      </w:pPr>
      <w:bookmarkStart w:id="262" w:name="_Toc150934034"/>
      <w:bookmarkStart w:id="263" w:name="_Toc159264926"/>
      <w:bookmarkStart w:id="264" w:name="_Toc160129603"/>
      <w:r w:rsidRPr="0060507E">
        <w:t>Source</w:t>
      </w:r>
      <w:r>
        <w:t xml:space="preserve"> apportionment</w:t>
      </w:r>
      <w:bookmarkEnd w:id="262"/>
      <w:bookmarkEnd w:id="263"/>
      <w:bookmarkEnd w:id="264"/>
    </w:p>
    <w:p w14:paraId="246A3F9E" w14:textId="23105F6A" w:rsidR="001529CE" w:rsidRPr="00C41398" w:rsidRDefault="001529CE" w:rsidP="0025036F">
      <w:pPr>
        <w:pStyle w:val="Heading2"/>
        <w:numPr>
          <w:ilvl w:val="1"/>
          <w:numId w:val="80"/>
        </w:numPr>
      </w:pPr>
      <w:bookmarkStart w:id="265" w:name="_Toc150934035"/>
      <w:bookmarkStart w:id="266" w:name="_Toc159264927"/>
      <w:bookmarkStart w:id="267" w:name="_Toc160129604"/>
      <w:r w:rsidRPr="00C41398">
        <w:t>Data sources and methodology</w:t>
      </w:r>
      <w:bookmarkEnd w:id="265"/>
      <w:bookmarkEnd w:id="266"/>
      <w:bookmarkEnd w:id="267"/>
    </w:p>
    <w:p w14:paraId="1B1758C8" w14:textId="77777777" w:rsidR="001529CE" w:rsidRDefault="001529CE" w:rsidP="001529CE">
      <w:r w:rsidRPr="0064471C">
        <w:t>Th</w:t>
      </w:r>
      <w:r>
        <w:t>is section</w:t>
      </w:r>
      <w:r w:rsidRPr="0064471C">
        <w:t xml:space="preserve"> provide</w:t>
      </w:r>
      <w:r>
        <w:t>s</w:t>
      </w:r>
      <w:r w:rsidRPr="0064471C">
        <w:t xml:space="preserve"> the</w:t>
      </w:r>
      <w:r>
        <w:t xml:space="preserve"> data sources and</w:t>
      </w:r>
      <w:r w:rsidRPr="0064471C">
        <w:t xml:space="preserve"> </w:t>
      </w:r>
      <w:r>
        <w:t>methodology</w:t>
      </w:r>
      <w:r w:rsidRPr="0064471C">
        <w:t xml:space="preserve"> </w:t>
      </w:r>
      <w:r>
        <w:t>for</w:t>
      </w:r>
      <w:r w:rsidRPr="0064471C">
        <w:t xml:space="preserve"> the </w:t>
      </w:r>
      <w:r>
        <w:t>s</w:t>
      </w:r>
      <w:r w:rsidRPr="0064471C">
        <w:t xml:space="preserve">ource </w:t>
      </w:r>
      <w:r>
        <w:t>a</w:t>
      </w:r>
      <w:r w:rsidRPr="0064471C">
        <w:t>pportionment study</w:t>
      </w:r>
      <w:r>
        <w:t xml:space="preserve"> performed as part of the Slough AQAP 2022 baseline modelling assessment. </w:t>
      </w:r>
    </w:p>
    <w:p w14:paraId="69B5B5F6" w14:textId="77777777" w:rsidR="001529CE" w:rsidRDefault="001529CE" w:rsidP="001529CE">
      <w:r>
        <w:rPr>
          <w:highlight w:val="yellow"/>
        </w:rPr>
        <w:fldChar w:fldCharType="begin"/>
      </w:r>
      <w:r>
        <w:instrText xml:space="preserve"> REF _Ref150502330 \h </w:instrText>
      </w:r>
      <w:r>
        <w:rPr>
          <w:highlight w:val="yellow"/>
        </w:rPr>
      </w:r>
      <w:r>
        <w:rPr>
          <w:highlight w:val="yellow"/>
        </w:rPr>
        <w:fldChar w:fldCharType="separate"/>
      </w:r>
      <w:r>
        <w:t xml:space="preserve">Figure </w:t>
      </w:r>
      <w:r>
        <w:rPr>
          <w:noProof/>
        </w:rPr>
        <w:t>3</w:t>
      </w:r>
      <w:r>
        <w:noBreakHyphen/>
      </w:r>
      <w:r>
        <w:rPr>
          <w:noProof/>
        </w:rPr>
        <w:t>A</w:t>
      </w:r>
      <w:r>
        <w:rPr>
          <w:highlight w:val="yellow"/>
        </w:rPr>
        <w:fldChar w:fldCharType="end"/>
      </w:r>
      <w:r>
        <w:t xml:space="preserve"> provides a s</w:t>
      </w:r>
      <w:r w:rsidRPr="00F6256E">
        <w:t xml:space="preserve">chematic of the workflow and data used to </w:t>
      </w:r>
      <w:r>
        <w:t>inform the</w:t>
      </w:r>
      <w:r w:rsidRPr="00F6256E">
        <w:t xml:space="preserve"> source apportionment</w:t>
      </w:r>
      <w:r w:rsidRPr="0064471C">
        <w:t xml:space="preserve"> </w:t>
      </w:r>
      <w:r>
        <w:t>study. A source apportionment of modelled road emissions was conducted using data from the closest modelled road link(s) to the specified 2022 air quality monitoring locations in Slough. The modelled road link emissions were then separated by vehicle type, based on the 2022 baseline scenario.</w:t>
      </w:r>
    </w:p>
    <w:p w14:paraId="7B129F3E" w14:textId="17BBECC3" w:rsidR="001529CE" w:rsidRDefault="001529CE" w:rsidP="001529CE">
      <w:r>
        <w:t>Background emissions were included in the source apportionment by assigning each monitoring site to its equivalent Defra background map 1 km x 1 km grid square (based on location of the site across Southern England and Greater London).</w:t>
      </w:r>
    </w:p>
    <w:p w14:paraId="1473F78D" w14:textId="77777777" w:rsidR="001529CE" w:rsidRDefault="001529CE" w:rsidP="001529CE">
      <w:r>
        <w:t>To avoid double counting, the explicitly modelled roads were removed from the Defra background maps; these included motorway, primary and trunk roads, brake and tyre wear, and road abrasion. The remaining background emissions were then included in the source apportionment.</w:t>
      </w:r>
    </w:p>
    <w:p w14:paraId="3FEC9099" w14:textId="77777777" w:rsidR="001529CE" w:rsidRDefault="001529CE" w:rsidP="001529CE">
      <w:r>
        <w:t>A ratio of road to background emissions was calculated for each monitoring location using the modelled concentration outputs. The calculated ratio was then applied to combine the road and background source apportionment datasets, providing a full source apportionment at each monitoring location.</w:t>
      </w:r>
    </w:p>
    <w:p w14:paraId="71741625" w14:textId="77777777" w:rsidR="001529CE" w:rsidRDefault="001529CE" w:rsidP="001529CE">
      <w:r w:rsidRPr="000005DC">
        <w:t>Finally, an attempt at calculating indicatory concentration values for each source category was performed by multiplying the total measured (where possible) and/or modelled concentrations by the percentage contribution from each source. This helps to provide a clearer picture with regards to the significance of the source at each location.</w:t>
      </w:r>
      <w:r>
        <w:t xml:space="preserve"> These values are presented in Appendix 3 Annex I.</w:t>
      </w:r>
    </w:p>
    <w:p w14:paraId="0D827E1C" w14:textId="6F1840DB" w:rsidR="001529CE" w:rsidRDefault="001529CE" w:rsidP="00887760">
      <w:pPr>
        <w:pStyle w:val="Figures"/>
      </w:pPr>
      <w:bookmarkStart w:id="268" w:name="_Ref150502330"/>
      <w:bookmarkStart w:id="269" w:name="_Toc160129364"/>
      <w:r>
        <w:lastRenderedPageBreak/>
        <w:t xml:space="preserve">Figure </w:t>
      </w:r>
      <w:r w:rsidR="000F4CA1">
        <w:fldChar w:fldCharType="begin"/>
      </w:r>
      <w:r w:rsidR="000F4CA1">
        <w:instrText xml:space="preserve"> STYLEREF 1 \s </w:instrText>
      </w:r>
      <w:r w:rsidR="000F4CA1">
        <w:fldChar w:fldCharType="separate"/>
      </w:r>
      <w:r>
        <w:rPr>
          <w:noProof/>
        </w:rPr>
        <w:t>3</w:t>
      </w:r>
      <w:r w:rsidR="000F4CA1">
        <w:rPr>
          <w:noProof/>
        </w:rPr>
        <w:fldChar w:fldCharType="end"/>
      </w:r>
      <w:r>
        <w:noBreakHyphen/>
      </w:r>
      <w:r w:rsidR="000F4CA1">
        <w:fldChar w:fldCharType="begin"/>
      </w:r>
      <w:r w:rsidR="000F4CA1">
        <w:instrText xml:space="preserve"> SEQ Figu</w:instrText>
      </w:r>
      <w:r w:rsidR="000F4CA1">
        <w:instrText xml:space="preserve">re \* ALPHABETIC \s 1 </w:instrText>
      </w:r>
      <w:r w:rsidR="000F4CA1">
        <w:fldChar w:fldCharType="separate"/>
      </w:r>
      <w:r>
        <w:rPr>
          <w:noProof/>
        </w:rPr>
        <w:t>A</w:t>
      </w:r>
      <w:r w:rsidR="000F4CA1">
        <w:rPr>
          <w:noProof/>
        </w:rPr>
        <w:fldChar w:fldCharType="end"/>
      </w:r>
      <w:bookmarkEnd w:id="268"/>
      <w:r>
        <w:t xml:space="preserve"> - workflow and data used to calculate source apportionment</w:t>
      </w:r>
      <w:bookmarkEnd w:id="269"/>
    </w:p>
    <w:p w14:paraId="622CA49A" w14:textId="17D68A84" w:rsidR="001529CE" w:rsidRDefault="00FE3F8E" w:rsidP="001529CE">
      <w:r>
        <w:rPr>
          <w:noProof/>
        </w:rPr>
        <w:drawing>
          <wp:inline distT="0" distB="0" distL="0" distR="0" wp14:anchorId="1C8CAA8B" wp14:editId="676C979D">
            <wp:extent cx="5667259" cy="4006446"/>
            <wp:effectExtent l="0" t="0" r="0" b="0"/>
            <wp:docPr id="5" name="Picture 5" descr="Figure 3-A: a diagram showing the workflow and data used to calculate source apportionment, including modelled road emissions, 2018 background maps, source apportionment by vehicle type, source apportionment by background source, proportion of background vs modelled road emissions, and full source apportionment at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A: a diagram showing the workflow and data used to calculate source apportionment, including modelled road emissions, 2018 background maps, source apportionment by vehicle type, source apportionment by background source, proportion of background vs modelled road emissions, and full source apportionment at monitoring locations"/>
                    <pic:cNvPicPr/>
                  </pic:nvPicPr>
                  <pic:blipFill>
                    <a:blip r:embed="rId33"/>
                    <a:stretch>
                      <a:fillRect/>
                    </a:stretch>
                  </pic:blipFill>
                  <pic:spPr>
                    <a:xfrm>
                      <a:off x="0" y="0"/>
                      <a:ext cx="5670191" cy="4008519"/>
                    </a:xfrm>
                    <a:prstGeom prst="rect">
                      <a:avLst/>
                    </a:prstGeom>
                  </pic:spPr>
                </pic:pic>
              </a:graphicData>
            </a:graphic>
          </wp:inline>
        </w:drawing>
      </w:r>
    </w:p>
    <w:p w14:paraId="65B39D22" w14:textId="22040BBA" w:rsidR="001529CE" w:rsidRDefault="00B96B38" w:rsidP="00B96B38">
      <w:pPr>
        <w:pStyle w:val="Heading2"/>
        <w:numPr>
          <w:ilvl w:val="0"/>
          <w:numId w:val="0"/>
        </w:numPr>
        <w:ind w:left="570" w:hanging="567"/>
      </w:pPr>
      <w:bookmarkStart w:id="270" w:name="_Toc150934036"/>
      <w:bookmarkStart w:id="271" w:name="_Toc159264928"/>
      <w:bookmarkStart w:id="272" w:name="_Toc160129605"/>
      <w:r>
        <w:t>3.2</w:t>
      </w:r>
      <w:r>
        <w:tab/>
      </w:r>
      <w:r w:rsidR="001529CE">
        <w:t>Source apportionment results</w:t>
      </w:r>
      <w:bookmarkEnd w:id="270"/>
      <w:bookmarkEnd w:id="271"/>
      <w:bookmarkEnd w:id="272"/>
    </w:p>
    <w:p w14:paraId="369FFE7D" w14:textId="77777777" w:rsidR="001529CE" w:rsidRPr="007B5BE4" w:rsidRDefault="001529CE" w:rsidP="001529CE">
      <w:r>
        <w:t xml:space="preserve">The results from the source apportionment calculations are presented in the form of stacked column bar charts in the following figures. This is to illustrate the contributions of each </w:t>
      </w:r>
      <w:r w:rsidRPr="007B5BE4">
        <w:t xml:space="preserve">source at each monitoring locations for each of the pollutants of concern. The underlying data for each of the charts can be found in </w:t>
      </w:r>
      <w:r>
        <w:t>Appendix C Annex I, which shows the contributions to air pollutant concentrations for NO</w:t>
      </w:r>
      <w:r w:rsidRPr="00EE561A">
        <w:rPr>
          <w:vertAlign w:val="subscript"/>
        </w:rPr>
        <w:t>2</w:t>
      </w:r>
      <w:r>
        <w:t xml:space="preserve"> (as NO</w:t>
      </w:r>
      <w:r w:rsidRPr="00200D41">
        <w:rPr>
          <w:vertAlign w:val="subscript"/>
        </w:rPr>
        <w:t>X</w:t>
      </w:r>
      <w:r>
        <w:t>), PM</w:t>
      </w:r>
      <w:r w:rsidRPr="000E7A4C">
        <w:rPr>
          <w:vertAlign w:val="subscript"/>
        </w:rPr>
        <w:t>10</w:t>
      </w:r>
      <w:r>
        <w:t xml:space="preserve"> and PM</w:t>
      </w:r>
      <w:r w:rsidRPr="000E7A4C">
        <w:rPr>
          <w:vertAlign w:val="subscript"/>
        </w:rPr>
        <w:t>2.5</w:t>
      </w:r>
      <w:r>
        <w:t xml:space="preserve"> at each monitoring site included in the study. </w:t>
      </w:r>
    </w:p>
    <w:p w14:paraId="32F2D2C9" w14:textId="77777777" w:rsidR="001529CE" w:rsidRPr="007B5BE4" w:rsidRDefault="001529CE" w:rsidP="001529CE">
      <w:r w:rsidRPr="007B5BE4">
        <w:fldChar w:fldCharType="begin"/>
      </w:r>
      <w:r w:rsidRPr="007B5BE4">
        <w:instrText xml:space="preserve"> REF _Ref150507687 \h </w:instrText>
      </w:r>
      <w:r>
        <w:instrText xml:space="preserve"> \* MERGEFORMAT </w:instrText>
      </w:r>
      <w:r w:rsidRPr="007B5BE4">
        <w:fldChar w:fldCharType="separate"/>
      </w:r>
      <w:r>
        <w:t xml:space="preserve">Figure </w:t>
      </w:r>
      <w:r>
        <w:rPr>
          <w:noProof/>
        </w:rPr>
        <w:t>3</w:t>
      </w:r>
      <w:r>
        <w:rPr>
          <w:noProof/>
        </w:rPr>
        <w:noBreakHyphen/>
        <w:t>B</w:t>
      </w:r>
      <w:r w:rsidRPr="007B5BE4">
        <w:fldChar w:fldCharType="end"/>
      </w:r>
      <w:r w:rsidRPr="007B5BE4">
        <w:t xml:space="preserve"> presents the NO</w:t>
      </w:r>
      <w:r w:rsidRPr="0060507E">
        <w:rPr>
          <w:vertAlign w:val="subscript"/>
        </w:rPr>
        <w:t>X</w:t>
      </w:r>
      <w:r w:rsidRPr="007B5BE4">
        <w:rPr>
          <w:vertAlign w:val="subscript"/>
        </w:rPr>
        <w:t xml:space="preserve"> </w:t>
      </w:r>
      <w:r w:rsidRPr="007B5BE4">
        <w:t>source apportionment at each of the air quality monitoring locations specified for the study</w:t>
      </w:r>
      <w:r>
        <w:t xml:space="preserve"> using the results from the </w:t>
      </w:r>
      <w:r w:rsidRPr="007B5BE4">
        <w:t xml:space="preserve">2022 </w:t>
      </w:r>
      <w:r>
        <w:t>b</w:t>
      </w:r>
      <w:r w:rsidRPr="007B5BE4">
        <w:t xml:space="preserve">aseline </w:t>
      </w:r>
      <w:r>
        <w:t>model</w:t>
      </w:r>
      <w:r w:rsidRPr="007B5BE4">
        <w:t>.</w:t>
      </w:r>
      <w:r>
        <w:t xml:space="preserve"> Considering the average of all monitoring sites, t</w:t>
      </w:r>
      <w:r w:rsidRPr="007B5BE4">
        <w:t>he results indicate that diesel cars represent the greatest proportion of NO</w:t>
      </w:r>
      <w:r w:rsidRPr="00200D41">
        <w:rPr>
          <w:vertAlign w:val="subscript"/>
        </w:rPr>
        <w:t>X</w:t>
      </w:r>
      <w:r w:rsidRPr="007B5BE4">
        <w:t xml:space="preserve"> emissions from road transport, on average, 24.2% of total NOx emissions. This is followed by rural background, domestic background</w:t>
      </w:r>
      <w:r>
        <w:t>,</w:t>
      </w:r>
      <w:r w:rsidRPr="007B5BE4">
        <w:t xml:space="preserve"> and LGVs, contributing 18.0%, 8.1%</w:t>
      </w:r>
      <w:r>
        <w:t>,</w:t>
      </w:r>
      <w:r w:rsidRPr="007B5BE4">
        <w:t xml:space="preserve"> and 7.7%</w:t>
      </w:r>
      <w:r>
        <w:t>,</w:t>
      </w:r>
      <w:r w:rsidRPr="007B5BE4">
        <w:t xml:space="preserve"> respectively. </w:t>
      </w:r>
      <w:r w:rsidRPr="007B5BE4">
        <w:lastRenderedPageBreak/>
        <w:t>Contributions from road emissions represent an average of 46.0% of total emissions, compared to the background contribution of 54.0%.</w:t>
      </w:r>
    </w:p>
    <w:p w14:paraId="288D268A" w14:textId="77777777" w:rsidR="001529CE" w:rsidRDefault="001529CE" w:rsidP="001529CE">
      <w:r w:rsidRPr="007B5BE4">
        <w:fldChar w:fldCharType="begin"/>
      </w:r>
      <w:r w:rsidRPr="007B5BE4">
        <w:instrText xml:space="preserve"> REF _Ref150507697 \h </w:instrText>
      </w:r>
      <w:r>
        <w:instrText xml:space="preserve"> \* MERGEFORMAT </w:instrText>
      </w:r>
      <w:r w:rsidRPr="007B5BE4">
        <w:fldChar w:fldCharType="separate"/>
      </w:r>
      <w:r>
        <w:t xml:space="preserve">Figure </w:t>
      </w:r>
      <w:r>
        <w:rPr>
          <w:noProof/>
        </w:rPr>
        <w:t>3</w:t>
      </w:r>
      <w:r>
        <w:rPr>
          <w:noProof/>
        </w:rPr>
        <w:noBreakHyphen/>
        <w:t>C</w:t>
      </w:r>
      <w:r w:rsidRPr="007B5BE4">
        <w:fldChar w:fldCharType="end"/>
      </w:r>
      <w:r w:rsidRPr="007B5BE4">
        <w:t xml:space="preserve"> shows the equivalent 2022 Baseline PM</w:t>
      </w:r>
      <w:r w:rsidRPr="007B5BE4">
        <w:rPr>
          <w:vertAlign w:val="subscript"/>
        </w:rPr>
        <w:t xml:space="preserve">10 </w:t>
      </w:r>
      <w:r w:rsidRPr="007B5BE4">
        <w:t>source</w:t>
      </w:r>
      <w:r>
        <w:t xml:space="preserve"> apportionment for each of the monitoring </w:t>
      </w:r>
      <w:r w:rsidRPr="007B5BE4">
        <w:t>locations. The results indicate that secondary PM represents the greatest proportion of PM</w:t>
      </w:r>
      <w:r w:rsidRPr="007B5BE4">
        <w:rPr>
          <w:vertAlign w:val="subscript"/>
        </w:rPr>
        <w:t>10</w:t>
      </w:r>
      <w:r w:rsidRPr="007B5BE4">
        <w:t xml:space="preserve"> emissions, an average of 37.1% of total PM</w:t>
      </w:r>
      <w:r w:rsidRPr="007B5BE4">
        <w:rPr>
          <w:vertAlign w:val="subscript"/>
        </w:rPr>
        <w:t>10</w:t>
      </w:r>
      <w:r w:rsidRPr="007B5BE4">
        <w:t>. This is followed by residual salt</w:t>
      </w:r>
      <w:r>
        <w:t>,</w:t>
      </w:r>
      <w:r w:rsidRPr="007B5BE4">
        <w:t xml:space="preserve"> and domestic</w:t>
      </w:r>
      <w:r>
        <w:t>,</w:t>
      </w:r>
      <w:r w:rsidRPr="007B5BE4">
        <w:t xml:space="preserve"> contributing 33.5%</w:t>
      </w:r>
      <w:r>
        <w:t>,</w:t>
      </w:r>
      <w:r w:rsidRPr="007B5BE4">
        <w:t xml:space="preserve"> and 9.6%</w:t>
      </w:r>
      <w:r>
        <w:t>,</w:t>
      </w:r>
      <w:r w:rsidRPr="007B5BE4">
        <w:t xml:space="preserve"> respectively. Unlike NOx, contributions from background emissions of PM</w:t>
      </w:r>
      <w:r w:rsidRPr="007B5BE4">
        <w:rPr>
          <w:vertAlign w:val="subscript"/>
        </w:rPr>
        <w:t>10</w:t>
      </w:r>
      <w:r w:rsidRPr="007B5BE4">
        <w:t xml:space="preserve"> are greater than </w:t>
      </w:r>
      <w:r>
        <w:t xml:space="preserve">from </w:t>
      </w:r>
      <w:r w:rsidRPr="007B5BE4">
        <w:t>road sources and represent 89.0% of total emissions, compared to the road contribution of 11.0%.</w:t>
      </w:r>
    </w:p>
    <w:p w14:paraId="4A0C347B" w14:textId="77777777" w:rsidR="001529CE" w:rsidRDefault="001529CE" w:rsidP="001529CE">
      <w:r w:rsidRPr="007B5BE4">
        <w:t>Equivalent results are shown for PM</w:t>
      </w:r>
      <w:r w:rsidRPr="007B5BE4">
        <w:rPr>
          <w:vertAlign w:val="subscript"/>
        </w:rPr>
        <w:t xml:space="preserve">2.5 </w:t>
      </w:r>
      <w:r w:rsidRPr="007B5BE4">
        <w:t>in</w:t>
      </w:r>
      <w:r>
        <w:t xml:space="preserve"> </w:t>
      </w:r>
      <w:r>
        <w:fldChar w:fldCharType="begin"/>
      </w:r>
      <w:r>
        <w:instrText xml:space="preserve"> REF _Ref150507705 \h </w:instrText>
      </w:r>
      <w:r>
        <w:fldChar w:fldCharType="separate"/>
      </w:r>
      <w:r>
        <w:t xml:space="preserve">Figure </w:t>
      </w:r>
      <w:r>
        <w:rPr>
          <w:noProof/>
        </w:rPr>
        <w:t>3</w:t>
      </w:r>
      <w:r>
        <w:noBreakHyphen/>
      </w:r>
      <w:r>
        <w:rPr>
          <w:noProof/>
        </w:rPr>
        <w:t>D</w:t>
      </w:r>
      <w:r>
        <w:fldChar w:fldCharType="end"/>
      </w:r>
      <w:r w:rsidRPr="007B5BE4">
        <w:t>. The results show that secondary PM represents</w:t>
      </w:r>
      <w:r>
        <w:t>,</w:t>
      </w:r>
      <w:r w:rsidRPr="007B5BE4">
        <w:t xml:space="preserve"> on average</w:t>
      </w:r>
      <w:r>
        <w:t>,</w:t>
      </w:r>
      <w:r w:rsidRPr="007B5BE4">
        <w:t xml:space="preserve"> 47.6% of the total PM</w:t>
      </w:r>
      <w:r w:rsidRPr="007B5BE4">
        <w:rPr>
          <w:vertAlign w:val="subscript"/>
        </w:rPr>
        <w:t xml:space="preserve">2.5 </w:t>
      </w:r>
      <w:r w:rsidRPr="007B5BE4">
        <w:t>emissions. This is followed by residual salt</w:t>
      </w:r>
      <w:r>
        <w:t>,</w:t>
      </w:r>
      <w:r w:rsidRPr="007B5BE4">
        <w:t xml:space="preserve"> and the domestic sector, contributing 22.6%</w:t>
      </w:r>
      <w:r>
        <w:t>,</w:t>
      </w:r>
      <w:r w:rsidRPr="007B5BE4">
        <w:t xml:space="preserve"> and 13.9%</w:t>
      </w:r>
      <w:r>
        <w:t>,</w:t>
      </w:r>
      <w:r w:rsidRPr="007B5BE4">
        <w:t xml:space="preserve"> respectively. Contributions from background emissions are again significantly greater than road sources of PM</w:t>
      </w:r>
      <w:r w:rsidRPr="007B5BE4">
        <w:rPr>
          <w:vertAlign w:val="subscript"/>
        </w:rPr>
        <w:t>2.5</w:t>
      </w:r>
      <w:r w:rsidRPr="007B5BE4">
        <w:t>, representing 90.4% of total emissions compared to 9.6% for road transport.</w:t>
      </w:r>
      <w:r>
        <w:t xml:space="preserve"> It should be noted that brake and tyre wear from road vehicles are included in the modelled road emissions for each vehicle type.</w:t>
      </w:r>
    </w:p>
    <w:p w14:paraId="51461CF0" w14:textId="77777777" w:rsidR="001529CE" w:rsidRDefault="001529CE" w:rsidP="001529CE">
      <w:r>
        <w:t>Appendix C Annex I shows the absolute values for NO</w:t>
      </w:r>
      <w:r w:rsidRPr="000E7A4C">
        <w:rPr>
          <w:vertAlign w:val="subscript"/>
        </w:rPr>
        <w:t>X</w:t>
      </w:r>
      <w:r>
        <w:t>, PM</w:t>
      </w:r>
      <w:r w:rsidRPr="000E7A4C">
        <w:rPr>
          <w:vertAlign w:val="subscript"/>
        </w:rPr>
        <w:t>10</w:t>
      </w:r>
      <w:r>
        <w:t xml:space="preserve"> and PM</w:t>
      </w:r>
      <w:r w:rsidRPr="000E7A4C">
        <w:rPr>
          <w:vertAlign w:val="subscript"/>
        </w:rPr>
        <w:t>2.5</w:t>
      </w:r>
      <w:r>
        <w:t xml:space="preserve"> emissions at each diffusion tube location.</w:t>
      </w:r>
    </w:p>
    <w:p w14:paraId="09D0FD41" w14:textId="77777777" w:rsidR="001529CE" w:rsidRDefault="001529CE" w:rsidP="001529CE">
      <w:r>
        <w:br w:type="page"/>
      </w:r>
    </w:p>
    <w:p w14:paraId="319066D4" w14:textId="77777777" w:rsidR="001529CE" w:rsidRDefault="001529CE" w:rsidP="001529CE">
      <w:pPr>
        <w:sectPr w:rsidR="001529CE" w:rsidSect="000373FA">
          <w:pgSz w:w="11906" w:h="16838" w:code="9"/>
          <w:pgMar w:top="1474" w:right="1418" w:bottom="1560" w:left="1418" w:header="964" w:footer="454" w:gutter="0"/>
          <w:cols w:space="708"/>
          <w:docGrid w:linePitch="360"/>
        </w:sectPr>
      </w:pPr>
    </w:p>
    <w:p w14:paraId="0BC5A00C" w14:textId="77777777" w:rsidR="001529CE" w:rsidRDefault="001529CE" w:rsidP="00887760">
      <w:pPr>
        <w:pStyle w:val="Figures"/>
      </w:pPr>
      <w:bookmarkStart w:id="273" w:name="_Ref150507687"/>
      <w:bookmarkStart w:id="274" w:name="_Toc160129365"/>
      <w:r>
        <w:lastRenderedPageBreak/>
        <w:t xml:space="preserve">Figure </w:t>
      </w:r>
      <w:r w:rsidR="000F4CA1">
        <w:fldChar w:fldCharType="begin"/>
      </w:r>
      <w:r w:rsidR="000F4CA1">
        <w:instrText xml:space="preserve"> STYLEREF 1 \s </w:instrText>
      </w:r>
      <w:r w:rsidR="000F4CA1">
        <w:fldChar w:fldCharType="separate"/>
      </w:r>
      <w:r>
        <w:rPr>
          <w:noProof/>
        </w:rPr>
        <w:t>3</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B</w:t>
      </w:r>
      <w:r w:rsidR="000F4CA1">
        <w:rPr>
          <w:noProof/>
        </w:rPr>
        <w:fldChar w:fldCharType="end"/>
      </w:r>
      <w:bookmarkEnd w:id="273"/>
      <w:r>
        <w:t xml:space="preserve"> - </w:t>
      </w:r>
      <w:r w:rsidRPr="000202BF">
        <w:t>NO</w:t>
      </w:r>
      <w:r>
        <w:t>x</w:t>
      </w:r>
      <w:r w:rsidRPr="000202BF">
        <w:t xml:space="preserve"> source apportionment for the </w:t>
      </w:r>
      <w:r>
        <w:t>2022</w:t>
      </w:r>
      <w:r w:rsidRPr="000202BF">
        <w:t xml:space="preserve"> Baseline scenario at monitoring locations, broken down by road and background sources</w:t>
      </w:r>
      <w:bookmarkEnd w:id="274"/>
      <w:r w:rsidRPr="000202BF">
        <w:t xml:space="preserve"> </w:t>
      </w:r>
    </w:p>
    <w:p w14:paraId="37999559" w14:textId="77777777" w:rsidR="001529CE" w:rsidRPr="00AA4C51" w:rsidRDefault="001529CE" w:rsidP="001529CE">
      <w:r>
        <w:rPr>
          <w:noProof/>
        </w:rPr>
        <w:drawing>
          <wp:inline distT="0" distB="0" distL="0" distR="0" wp14:anchorId="36C127A5" wp14:editId="1027FB2B">
            <wp:extent cx="13414493" cy="7909560"/>
            <wp:effectExtent l="0" t="0" r="0" b="0"/>
            <wp:docPr id="10" name="Picture 10" descr="A graph showing the NOx source apportionment for the 2022 baseline scenario at monitoring locations, broken down by road and background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aph showing the NOx source apportionment for the 2022 baseline scenario at monitoring locations, broken down by road and background sourc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428530" cy="7917837"/>
                    </a:xfrm>
                    <a:prstGeom prst="rect">
                      <a:avLst/>
                    </a:prstGeom>
                  </pic:spPr>
                </pic:pic>
              </a:graphicData>
            </a:graphic>
          </wp:inline>
        </w:drawing>
      </w:r>
    </w:p>
    <w:p w14:paraId="1A033886" w14:textId="77777777" w:rsidR="001529CE" w:rsidRDefault="001529CE" w:rsidP="001529CE">
      <w:pPr>
        <w:spacing w:before="0" w:after="0" w:line="240" w:lineRule="auto"/>
      </w:pPr>
      <w:r>
        <w:br w:type="page"/>
      </w:r>
    </w:p>
    <w:p w14:paraId="089C2135" w14:textId="77777777" w:rsidR="001529CE" w:rsidRDefault="001529CE" w:rsidP="00887760">
      <w:pPr>
        <w:pStyle w:val="Figures"/>
      </w:pPr>
      <w:bookmarkStart w:id="275" w:name="_Ref150507697"/>
      <w:bookmarkStart w:id="276" w:name="_Toc160129366"/>
      <w:r>
        <w:lastRenderedPageBreak/>
        <w:t xml:space="preserve">Figure </w:t>
      </w:r>
      <w:r w:rsidR="000F4CA1">
        <w:fldChar w:fldCharType="begin"/>
      </w:r>
      <w:r w:rsidR="000F4CA1">
        <w:instrText xml:space="preserve"> STYLEREF 1 \s </w:instrText>
      </w:r>
      <w:r w:rsidR="000F4CA1">
        <w:fldChar w:fldCharType="separate"/>
      </w:r>
      <w:r>
        <w:rPr>
          <w:noProof/>
        </w:rPr>
        <w:t>3</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C</w:t>
      </w:r>
      <w:r w:rsidR="000F4CA1">
        <w:rPr>
          <w:noProof/>
        </w:rPr>
        <w:fldChar w:fldCharType="end"/>
      </w:r>
      <w:bookmarkEnd w:id="275"/>
      <w:r>
        <w:t xml:space="preserve"> – PM</w:t>
      </w:r>
      <w:r w:rsidRPr="000005DC">
        <w:rPr>
          <w:vertAlign w:val="subscript"/>
        </w:rPr>
        <w:t>10</w:t>
      </w:r>
      <w:r w:rsidRPr="00C77484">
        <w:t xml:space="preserve"> source apportionment for the </w:t>
      </w:r>
      <w:r>
        <w:t>2022</w:t>
      </w:r>
      <w:r w:rsidRPr="00C77484">
        <w:t xml:space="preserve"> Baseline scenario at monitoring locations, broken down by road and background sources</w:t>
      </w:r>
      <w:bookmarkEnd w:id="276"/>
    </w:p>
    <w:p w14:paraId="68B2AE64" w14:textId="77777777" w:rsidR="001529CE" w:rsidRDefault="001529CE" w:rsidP="001529CE">
      <w:r>
        <w:rPr>
          <w:noProof/>
        </w:rPr>
        <w:drawing>
          <wp:inline distT="0" distB="0" distL="0" distR="0" wp14:anchorId="3D0D0535" wp14:editId="57C0E717">
            <wp:extent cx="13380720" cy="7829305"/>
            <wp:effectExtent l="0" t="0" r="0" b="635"/>
            <wp:docPr id="11" name="Picture 11" descr="A graph showing pm10 source apportionment for the 2022 baseline scenario at monitoring locations, broken down by road and background 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aph showing pm10 source apportionment for the 2022 baseline scenario at monitoring locations, broken down by road and background sources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390476" cy="7835013"/>
                    </a:xfrm>
                    <a:prstGeom prst="rect">
                      <a:avLst/>
                    </a:prstGeom>
                    <a:noFill/>
                    <a:ln>
                      <a:noFill/>
                    </a:ln>
                  </pic:spPr>
                </pic:pic>
              </a:graphicData>
            </a:graphic>
          </wp:inline>
        </w:drawing>
      </w:r>
    </w:p>
    <w:p w14:paraId="29D91EC0" w14:textId="77777777" w:rsidR="001529CE" w:rsidRDefault="001529CE" w:rsidP="001529CE">
      <w:r>
        <w:br w:type="page"/>
      </w:r>
    </w:p>
    <w:p w14:paraId="097D7F39" w14:textId="77777777" w:rsidR="001529CE" w:rsidRDefault="001529CE" w:rsidP="00887760">
      <w:pPr>
        <w:pStyle w:val="Figures"/>
      </w:pPr>
      <w:bookmarkStart w:id="277" w:name="_Ref150507705"/>
      <w:bookmarkStart w:id="278" w:name="_Toc160129367"/>
      <w:r>
        <w:lastRenderedPageBreak/>
        <w:t xml:space="preserve">Figure </w:t>
      </w:r>
      <w:r w:rsidR="000F4CA1">
        <w:fldChar w:fldCharType="begin"/>
      </w:r>
      <w:r w:rsidR="000F4CA1">
        <w:instrText xml:space="preserve"> STYLEREF 1 \s </w:instrText>
      </w:r>
      <w:r w:rsidR="000F4CA1">
        <w:fldChar w:fldCharType="separate"/>
      </w:r>
      <w:r>
        <w:rPr>
          <w:noProof/>
        </w:rPr>
        <w:t>3</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D</w:t>
      </w:r>
      <w:r w:rsidR="000F4CA1">
        <w:rPr>
          <w:noProof/>
        </w:rPr>
        <w:fldChar w:fldCharType="end"/>
      </w:r>
      <w:bookmarkEnd w:id="277"/>
      <w:r>
        <w:t xml:space="preserve"> – PM</w:t>
      </w:r>
      <w:r w:rsidRPr="000005DC">
        <w:rPr>
          <w:vertAlign w:val="subscript"/>
        </w:rPr>
        <w:t>2.5</w:t>
      </w:r>
      <w:r w:rsidRPr="00FF3CBC">
        <w:t xml:space="preserve"> source apportionment for the </w:t>
      </w:r>
      <w:r>
        <w:t>2022</w:t>
      </w:r>
      <w:r w:rsidRPr="00FF3CBC">
        <w:t xml:space="preserve"> Baseline scenario at monitoring locations, broken down by road and background sources</w:t>
      </w:r>
      <w:bookmarkEnd w:id="278"/>
      <w:r w:rsidRPr="00FF3CBC">
        <w:t xml:space="preserve"> </w:t>
      </w:r>
    </w:p>
    <w:p w14:paraId="2E866E85" w14:textId="77777777" w:rsidR="001529CE" w:rsidRDefault="001529CE" w:rsidP="001529CE">
      <w:pPr>
        <w:spacing w:before="0" w:after="0" w:line="240" w:lineRule="auto"/>
      </w:pPr>
    </w:p>
    <w:p w14:paraId="764AC2B9" w14:textId="77777777" w:rsidR="001529CE" w:rsidRDefault="001529CE" w:rsidP="001529CE">
      <w:pPr>
        <w:spacing w:before="0" w:after="0" w:line="240" w:lineRule="auto"/>
      </w:pPr>
      <w:r>
        <w:rPr>
          <w:noProof/>
        </w:rPr>
        <w:drawing>
          <wp:inline distT="0" distB="0" distL="0" distR="0" wp14:anchorId="4D3A26F2" wp14:editId="39196A6C">
            <wp:extent cx="13456920" cy="8229600"/>
            <wp:effectExtent l="0" t="0" r="0" b="0"/>
            <wp:docPr id="12" name="Picture 12" descr="A graph showing pm2.5 source apportionment for the 2022 baseline scenario at monitoring locations, broken down by road and background 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aph showing pm2.5 source apportionment for the 2022 baseline scenario at monitoring locations, broken down by road and background sources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456920" cy="8229600"/>
                    </a:xfrm>
                    <a:prstGeom prst="rect">
                      <a:avLst/>
                    </a:prstGeom>
                    <a:noFill/>
                    <a:ln>
                      <a:noFill/>
                    </a:ln>
                  </pic:spPr>
                </pic:pic>
              </a:graphicData>
            </a:graphic>
          </wp:inline>
        </w:drawing>
      </w:r>
    </w:p>
    <w:p w14:paraId="2D1D2E51" w14:textId="77777777" w:rsidR="001529CE" w:rsidRDefault="001529CE" w:rsidP="001529CE">
      <w:pPr>
        <w:spacing w:before="0" w:after="0" w:line="240" w:lineRule="auto"/>
        <w:sectPr w:rsidR="001529CE" w:rsidSect="005D6CD3">
          <w:pgSz w:w="23808" w:h="16840" w:orient="landscape" w:code="8"/>
          <w:pgMar w:top="1418" w:right="1474" w:bottom="1418" w:left="1134" w:header="964" w:footer="454" w:gutter="0"/>
          <w:cols w:space="708"/>
          <w:docGrid w:linePitch="360"/>
        </w:sectPr>
      </w:pPr>
    </w:p>
    <w:p w14:paraId="689C07A8" w14:textId="77777777" w:rsidR="000373FA" w:rsidRDefault="001529CE" w:rsidP="00F77171">
      <w:pPr>
        <w:pStyle w:val="Heading1"/>
        <w:numPr>
          <w:ilvl w:val="0"/>
          <w:numId w:val="80"/>
        </w:numPr>
      </w:pPr>
      <w:bookmarkStart w:id="279" w:name="_Toc159264929"/>
      <w:bookmarkStart w:id="280" w:name="_Toc160129606"/>
      <w:r>
        <w:lastRenderedPageBreak/>
        <w:t>Scenario modelling of AQAP measures</w:t>
      </w:r>
      <w:bookmarkStart w:id="281" w:name="_Toc159264930"/>
      <w:bookmarkEnd w:id="279"/>
      <w:bookmarkEnd w:id="280"/>
    </w:p>
    <w:p w14:paraId="6E5C2E9E" w14:textId="01B06EEC" w:rsidR="001529CE" w:rsidRDefault="001529CE" w:rsidP="0025036F">
      <w:pPr>
        <w:pStyle w:val="Heading2"/>
        <w:numPr>
          <w:ilvl w:val="1"/>
          <w:numId w:val="75"/>
        </w:numPr>
      </w:pPr>
      <w:bookmarkStart w:id="282" w:name="_Toc160129607"/>
      <w:r>
        <w:t>Measures modelled</w:t>
      </w:r>
      <w:bookmarkEnd w:id="281"/>
      <w:bookmarkEnd w:id="282"/>
    </w:p>
    <w:p w14:paraId="617560C0" w14:textId="72844CE7" w:rsidR="001529CE" w:rsidRDefault="001529CE" w:rsidP="001529CE">
      <w:r>
        <w:t>The measures set in out in Slough’s AQAP were selected due to their anticipated positive impact in improving air quality. The impact of measures were captured in thematically relevant bundles, as shown in Table 4-1.</w:t>
      </w:r>
    </w:p>
    <w:p w14:paraId="6F0DA19B" w14:textId="04512E1D" w:rsidR="001529CE" w:rsidRDefault="001529CE" w:rsidP="00887760">
      <w:pPr>
        <w:pStyle w:val="Tables"/>
      </w:pPr>
      <w:bookmarkStart w:id="283" w:name="_Toc159264944"/>
      <w:bookmarkStart w:id="284" w:name="_Toc160123586"/>
      <w:bookmarkStart w:id="285" w:name="_Toc160123802"/>
      <w:bookmarkStart w:id="286" w:name="_Toc160128568"/>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w:t>
      </w:r>
      <w:r w:rsidR="000F4CA1">
        <w:rPr>
          <w:noProof/>
        </w:rPr>
        <w:fldChar w:fldCharType="end"/>
      </w:r>
      <w:r>
        <w:t xml:space="preserve"> – measures included in scenario modelling</w:t>
      </w:r>
      <w:bookmarkEnd w:id="283"/>
      <w:bookmarkEnd w:id="284"/>
      <w:bookmarkEnd w:id="285"/>
      <w:bookmarkEnd w:id="286"/>
    </w:p>
    <w:p w14:paraId="55749887" w14:textId="4D63E2EC" w:rsidR="007801CE" w:rsidRDefault="007801CE" w:rsidP="007801CE">
      <w:pPr>
        <w:pStyle w:val="AQAPText"/>
        <w:spacing w:after="0"/>
        <w:rPr>
          <w:color w:val="008938"/>
        </w:rPr>
      </w:pPr>
      <w:r w:rsidRPr="007801CE">
        <w:rPr>
          <w:color w:val="008938"/>
        </w:rPr>
        <w:t xml:space="preserve">Scenario #1: Modal Shift to Active Travel and EV Transition </w:t>
      </w:r>
    </w:p>
    <w:tbl>
      <w:tblPr>
        <w:tblStyle w:val="LAQMReporting"/>
        <w:tblW w:w="9077" w:type="dxa"/>
        <w:tblLook w:val="04A0" w:firstRow="1" w:lastRow="0" w:firstColumn="1" w:lastColumn="0" w:noHBand="0" w:noVBand="1"/>
      </w:tblPr>
      <w:tblGrid>
        <w:gridCol w:w="1555"/>
        <w:gridCol w:w="7522"/>
      </w:tblGrid>
      <w:tr w:rsidR="004203CC" w:rsidRPr="00720608" w14:paraId="5488FADB" w14:textId="77777777" w:rsidTr="007801CE">
        <w:trPr>
          <w:cnfStyle w:val="100000000000" w:firstRow="1" w:lastRow="0" w:firstColumn="0" w:lastColumn="0" w:oddVBand="0" w:evenVBand="0" w:oddHBand="0" w:evenHBand="0"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1555" w:type="dxa"/>
            <w:hideMark/>
          </w:tcPr>
          <w:p w14:paraId="66E0B0F5" w14:textId="5850A573" w:rsidR="004203CC" w:rsidRPr="00720608" w:rsidRDefault="004203CC" w:rsidP="004203CC">
            <w:pPr>
              <w:spacing w:before="60" w:after="60" w:line="240" w:lineRule="auto"/>
              <w:rPr>
                <w:rFonts w:cs="Arial"/>
                <w:color w:val="000000"/>
                <w:sz w:val="20"/>
                <w:szCs w:val="20"/>
                <w:lang w:eastAsia="en-GB"/>
              </w:rPr>
            </w:pPr>
            <w:r w:rsidRPr="00720608">
              <w:rPr>
                <w:rFonts w:cs="Arial"/>
                <w:color w:val="FFFFFF" w:themeColor="background1"/>
                <w:sz w:val="20"/>
                <w:szCs w:val="20"/>
                <w:lang w:eastAsia="en-GB"/>
              </w:rPr>
              <w:t>Measure ID</w:t>
            </w:r>
          </w:p>
        </w:tc>
        <w:tc>
          <w:tcPr>
            <w:tcW w:w="7522" w:type="dxa"/>
            <w:hideMark/>
          </w:tcPr>
          <w:p w14:paraId="54F19FB6" w14:textId="28E80FFC" w:rsidR="004203CC" w:rsidRPr="00720608" w:rsidRDefault="004203CC" w:rsidP="004203CC">
            <w:pPr>
              <w:spacing w:before="60" w:after="60" w:line="240" w:lineRule="auto"/>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FFFFFF" w:themeColor="background1"/>
                <w:sz w:val="20"/>
                <w:szCs w:val="20"/>
                <w:lang w:eastAsia="en-GB"/>
              </w:rPr>
              <w:t>Measure description</w:t>
            </w:r>
          </w:p>
        </w:tc>
      </w:tr>
      <w:tr w:rsidR="004203CC" w:rsidRPr="00720608" w14:paraId="16300312" w14:textId="77777777" w:rsidTr="007801CE">
        <w:trPr>
          <w:cantSplit/>
          <w:trHeight w:val="53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60C996C"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HEA1</w:t>
            </w:r>
          </w:p>
        </w:tc>
        <w:tc>
          <w:tcPr>
            <w:tcW w:w="7522" w:type="dxa"/>
            <w:hideMark/>
          </w:tcPr>
          <w:p w14:paraId="4C66935C" w14:textId="213F0408" w:rsidR="004203CC" w:rsidRPr="00720608" w:rsidRDefault="004203CC" w:rsidP="004203CC">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Collective delivery of school active travel initiatives including smarter travel for school measures (school streets, </w:t>
            </w:r>
            <w:r>
              <w:rPr>
                <w:rFonts w:cs="Arial"/>
                <w:color w:val="000000"/>
                <w:sz w:val="20"/>
                <w:szCs w:val="20"/>
                <w:lang w:eastAsia="en-GB"/>
              </w:rPr>
              <w:t>B</w:t>
            </w:r>
            <w:r w:rsidRPr="00720608">
              <w:rPr>
                <w:rFonts w:cs="Arial"/>
                <w:color w:val="000000"/>
                <w:sz w:val="20"/>
                <w:szCs w:val="20"/>
                <w:lang w:eastAsia="en-GB"/>
              </w:rPr>
              <w:t>ikeability, sustainable travel campaigns), development of clean air plans, emission exposure and reduction campaign</w:t>
            </w:r>
          </w:p>
        </w:tc>
      </w:tr>
      <w:tr w:rsidR="004203CC" w:rsidRPr="00720608" w14:paraId="29BCB372" w14:textId="77777777" w:rsidTr="007801CE">
        <w:trPr>
          <w:cantSplit/>
          <w:trHeight w:val="261"/>
        </w:trPr>
        <w:tc>
          <w:tcPr>
            <w:cnfStyle w:val="001000000000" w:firstRow="0" w:lastRow="0" w:firstColumn="1" w:lastColumn="0" w:oddVBand="0" w:evenVBand="0" w:oddHBand="0" w:evenHBand="0" w:firstRowFirstColumn="0" w:firstRowLastColumn="0" w:lastRowFirstColumn="0" w:lastRowLastColumn="0"/>
            <w:tcW w:w="1555" w:type="dxa"/>
            <w:hideMark/>
          </w:tcPr>
          <w:p w14:paraId="4AF28A6D"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TM1</w:t>
            </w:r>
          </w:p>
        </w:tc>
        <w:tc>
          <w:tcPr>
            <w:tcW w:w="7522" w:type="dxa"/>
            <w:hideMark/>
          </w:tcPr>
          <w:p w14:paraId="55B55CFA" w14:textId="72F3E71C"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Implement Slough </w:t>
            </w:r>
            <w:r w:rsidR="00FC2804">
              <w:rPr>
                <w:rFonts w:cs="Arial"/>
                <w:color w:val="000000"/>
                <w:sz w:val="20"/>
                <w:szCs w:val="20"/>
                <w:lang w:eastAsia="en-GB"/>
              </w:rPr>
              <w:t xml:space="preserve">Electric </w:t>
            </w:r>
            <w:r w:rsidRPr="00720608">
              <w:rPr>
                <w:rFonts w:cs="Arial"/>
                <w:color w:val="000000"/>
                <w:sz w:val="20"/>
                <w:szCs w:val="20"/>
                <w:lang w:eastAsia="en-GB"/>
              </w:rPr>
              <w:t>Cycle and Scooter Infrastructure and Hire programme</w:t>
            </w:r>
          </w:p>
        </w:tc>
      </w:tr>
      <w:tr w:rsidR="004203CC" w:rsidRPr="00720608" w14:paraId="6FE169F5" w14:textId="77777777" w:rsidTr="007801CE">
        <w:trPr>
          <w:cantSplit/>
          <w:trHeight w:val="290"/>
        </w:trPr>
        <w:tc>
          <w:tcPr>
            <w:cnfStyle w:val="001000000000" w:firstRow="0" w:lastRow="0" w:firstColumn="1" w:lastColumn="0" w:oddVBand="0" w:evenVBand="0" w:oddHBand="0" w:evenHBand="0" w:firstRowFirstColumn="0" w:firstRowLastColumn="0" w:lastRowFirstColumn="0" w:lastRowLastColumn="0"/>
            <w:tcW w:w="1555" w:type="dxa"/>
            <w:hideMark/>
          </w:tcPr>
          <w:p w14:paraId="473CE0F9"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TM2</w:t>
            </w:r>
          </w:p>
        </w:tc>
        <w:tc>
          <w:tcPr>
            <w:tcW w:w="7522" w:type="dxa"/>
            <w:hideMark/>
          </w:tcPr>
          <w:p w14:paraId="058F9204"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Provide secure undercover cycle storage with welfare/repair facilities</w:t>
            </w:r>
          </w:p>
        </w:tc>
      </w:tr>
      <w:tr w:rsidR="004203CC" w:rsidRPr="00720608" w14:paraId="255F71C1" w14:textId="77777777" w:rsidTr="007801CE">
        <w:trPr>
          <w:cantSplit/>
          <w:trHeight w:val="260"/>
        </w:trPr>
        <w:tc>
          <w:tcPr>
            <w:cnfStyle w:val="001000000000" w:firstRow="0" w:lastRow="0" w:firstColumn="1" w:lastColumn="0" w:oddVBand="0" w:evenVBand="0" w:oddHBand="0" w:evenHBand="0" w:firstRowFirstColumn="0" w:firstRowLastColumn="0" w:lastRowFirstColumn="0" w:lastRowLastColumn="0"/>
            <w:tcW w:w="1555" w:type="dxa"/>
            <w:hideMark/>
          </w:tcPr>
          <w:p w14:paraId="35AAD949"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TM3</w:t>
            </w:r>
          </w:p>
        </w:tc>
        <w:tc>
          <w:tcPr>
            <w:tcW w:w="7522" w:type="dxa"/>
            <w:hideMark/>
          </w:tcPr>
          <w:p w14:paraId="765E93F7"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Introduce cargo bikes into the network for businesses and residents </w:t>
            </w:r>
          </w:p>
        </w:tc>
      </w:tr>
      <w:tr w:rsidR="004203CC" w:rsidRPr="00720608" w14:paraId="7C3F607F" w14:textId="77777777" w:rsidTr="007801CE">
        <w:trPr>
          <w:cantSplit/>
          <w:trHeight w:val="258"/>
        </w:trPr>
        <w:tc>
          <w:tcPr>
            <w:cnfStyle w:val="001000000000" w:firstRow="0" w:lastRow="0" w:firstColumn="1" w:lastColumn="0" w:oddVBand="0" w:evenVBand="0" w:oddHBand="0" w:evenHBand="0" w:firstRowFirstColumn="0" w:firstRowLastColumn="0" w:lastRowFirstColumn="0" w:lastRowLastColumn="0"/>
            <w:tcW w:w="1555" w:type="dxa"/>
            <w:hideMark/>
          </w:tcPr>
          <w:p w14:paraId="599BB8E0"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TM4</w:t>
            </w:r>
          </w:p>
        </w:tc>
        <w:tc>
          <w:tcPr>
            <w:tcW w:w="7522" w:type="dxa"/>
            <w:hideMark/>
          </w:tcPr>
          <w:p w14:paraId="46105951"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Cycle scheme from Burnham Station to A4 via Station Road </w:t>
            </w:r>
          </w:p>
        </w:tc>
      </w:tr>
      <w:tr w:rsidR="004203CC" w:rsidRPr="00720608" w14:paraId="2C5E7D75" w14:textId="77777777" w:rsidTr="007801CE">
        <w:trPr>
          <w:cantSplit/>
          <w:trHeight w:val="292"/>
        </w:trPr>
        <w:tc>
          <w:tcPr>
            <w:cnfStyle w:val="001000000000" w:firstRow="0" w:lastRow="0" w:firstColumn="1" w:lastColumn="0" w:oddVBand="0" w:evenVBand="0" w:oddHBand="0" w:evenHBand="0" w:firstRowFirstColumn="0" w:firstRowLastColumn="0" w:lastRowFirstColumn="0" w:lastRowLastColumn="0"/>
            <w:tcW w:w="1555" w:type="dxa"/>
            <w:hideMark/>
          </w:tcPr>
          <w:p w14:paraId="2665F3CE"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TM5</w:t>
            </w:r>
          </w:p>
        </w:tc>
        <w:tc>
          <w:tcPr>
            <w:tcW w:w="7522" w:type="dxa"/>
            <w:hideMark/>
          </w:tcPr>
          <w:p w14:paraId="3046EF7E"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Foxborough Cycle Lane between Langley High Street and Junction 5 Footbridge </w:t>
            </w:r>
          </w:p>
        </w:tc>
      </w:tr>
      <w:tr w:rsidR="004203CC" w:rsidRPr="00720608" w14:paraId="0793EE3D" w14:textId="77777777" w:rsidTr="007801CE">
        <w:trPr>
          <w:cantSplit/>
          <w:trHeight w:val="279"/>
        </w:trPr>
        <w:tc>
          <w:tcPr>
            <w:cnfStyle w:val="001000000000" w:firstRow="0" w:lastRow="0" w:firstColumn="1" w:lastColumn="0" w:oddVBand="0" w:evenVBand="0" w:oddHBand="0" w:evenHBand="0" w:firstRowFirstColumn="0" w:firstRowLastColumn="0" w:lastRowFirstColumn="0" w:lastRowLastColumn="0"/>
            <w:tcW w:w="1555" w:type="dxa"/>
            <w:hideMark/>
          </w:tcPr>
          <w:p w14:paraId="3FFFAC53"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TM6</w:t>
            </w:r>
          </w:p>
        </w:tc>
        <w:tc>
          <w:tcPr>
            <w:tcW w:w="7522" w:type="dxa"/>
            <w:hideMark/>
          </w:tcPr>
          <w:p w14:paraId="4E82B62E"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Introduce segregated A4 cycle highway (including provision of cycle docking)</w:t>
            </w:r>
          </w:p>
        </w:tc>
      </w:tr>
      <w:tr w:rsidR="004203CC" w:rsidRPr="00720608" w14:paraId="6EEFA234" w14:textId="77777777" w:rsidTr="007801CE">
        <w:trPr>
          <w:cantSplit/>
          <w:trHeight w:val="266"/>
        </w:trPr>
        <w:tc>
          <w:tcPr>
            <w:cnfStyle w:val="001000000000" w:firstRow="0" w:lastRow="0" w:firstColumn="1" w:lastColumn="0" w:oddVBand="0" w:evenVBand="0" w:oddHBand="0" w:evenHBand="0" w:firstRowFirstColumn="0" w:firstRowLastColumn="0" w:lastRowFirstColumn="0" w:lastRowLastColumn="0"/>
            <w:tcW w:w="1555" w:type="dxa"/>
          </w:tcPr>
          <w:p w14:paraId="5127405F" w14:textId="77777777" w:rsidR="004203CC" w:rsidRPr="00720608" w:rsidRDefault="004203CC" w:rsidP="004203CC">
            <w:pPr>
              <w:spacing w:before="0" w:after="0" w:line="240" w:lineRule="auto"/>
              <w:rPr>
                <w:rFonts w:cs="Arial"/>
                <w:color w:val="000000"/>
                <w:sz w:val="20"/>
                <w:szCs w:val="20"/>
                <w:lang w:eastAsia="en-GB"/>
              </w:rPr>
            </w:pPr>
            <w:r>
              <w:rPr>
                <w:rFonts w:cs="Arial"/>
                <w:color w:val="000000"/>
                <w:sz w:val="20"/>
                <w:szCs w:val="20"/>
                <w:lang w:eastAsia="en-GB"/>
              </w:rPr>
              <w:t>TM7</w:t>
            </w:r>
          </w:p>
        </w:tc>
        <w:tc>
          <w:tcPr>
            <w:tcW w:w="7522" w:type="dxa"/>
          </w:tcPr>
          <w:p w14:paraId="69DD6EC6"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Pr>
                <w:rFonts w:cs="Arial"/>
                <w:color w:val="000000"/>
                <w:sz w:val="20"/>
                <w:szCs w:val="20"/>
                <w:lang w:eastAsia="en-GB"/>
              </w:rPr>
              <w:t xml:space="preserve">Deliver Destination Farnham Road scheme </w:t>
            </w:r>
          </w:p>
        </w:tc>
      </w:tr>
      <w:tr w:rsidR="004203CC" w:rsidRPr="00720608" w14:paraId="74DB2669" w14:textId="77777777" w:rsidTr="007801CE">
        <w:trPr>
          <w:cantSplit/>
          <w:trHeight w:val="266"/>
        </w:trPr>
        <w:tc>
          <w:tcPr>
            <w:cnfStyle w:val="001000000000" w:firstRow="0" w:lastRow="0" w:firstColumn="1" w:lastColumn="0" w:oddVBand="0" w:evenVBand="0" w:oddHBand="0" w:evenHBand="0" w:firstRowFirstColumn="0" w:firstRowLastColumn="0" w:lastRowFirstColumn="0" w:lastRowLastColumn="0"/>
            <w:tcW w:w="1555" w:type="dxa"/>
            <w:hideMark/>
          </w:tcPr>
          <w:p w14:paraId="7A2EA3E4"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EM7</w:t>
            </w:r>
          </w:p>
        </w:tc>
        <w:tc>
          <w:tcPr>
            <w:tcW w:w="7522" w:type="dxa"/>
            <w:hideMark/>
          </w:tcPr>
          <w:p w14:paraId="6A525D88"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Creation of a strategic Slough public charge point network</w:t>
            </w:r>
            <w:r>
              <w:rPr>
                <w:rFonts w:cs="Arial"/>
                <w:color w:val="000000"/>
                <w:sz w:val="20"/>
                <w:szCs w:val="20"/>
                <w:lang w:eastAsia="en-GB"/>
              </w:rPr>
              <w:t xml:space="preserve"> (residential)</w:t>
            </w:r>
          </w:p>
        </w:tc>
      </w:tr>
      <w:tr w:rsidR="004203CC" w:rsidRPr="00720608" w14:paraId="0DA72509" w14:textId="77777777" w:rsidTr="007801CE">
        <w:trPr>
          <w:cantSplit/>
          <w:trHeight w:val="247"/>
        </w:trPr>
        <w:tc>
          <w:tcPr>
            <w:cnfStyle w:val="001000000000" w:firstRow="0" w:lastRow="0" w:firstColumn="1" w:lastColumn="0" w:oddVBand="0" w:evenVBand="0" w:oddHBand="0" w:evenHBand="0" w:firstRowFirstColumn="0" w:firstRowLastColumn="0" w:lastRowFirstColumn="0" w:lastRowLastColumn="0"/>
            <w:tcW w:w="1555" w:type="dxa"/>
            <w:hideMark/>
          </w:tcPr>
          <w:p w14:paraId="165D7B97"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EM8</w:t>
            </w:r>
          </w:p>
        </w:tc>
        <w:tc>
          <w:tcPr>
            <w:tcW w:w="7522" w:type="dxa"/>
            <w:hideMark/>
          </w:tcPr>
          <w:p w14:paraId="1B5B03A2"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Implement EV (rapid and fast) off-street and car park Programme</w:t>
            </w:r>
          </w:p>
        </w:tc>
      </w:tr>
      <w:tr w:rsidR="004203CC" w:rsidRPr="00720608" w14:paraId="3B9C9792" w14:textId="77777777" w:rsidTr="007801CE">
        <w:trPr>
          <w:cantSplit/>
          <w:trHeight w:val="286"/>
        </w:trPr>
        <w:tc>
          <w:tcPr>
            <w:cnfStyle w:val="001000000000" w:firstRow="0" w:lastRow="0" w:firstColumn="1" w:lastColumn="0" w:oddVBand="0" w:evenVBand="0" w:oddHBand="0" w:evenHBand="0" w:firstRowFirstColumn="0" w:firstRowLastColumn="0" w:lastRowFirstColumn="0" w:lastRowLastColumn="0"/>
            <w:tcW w:w="1555" w:type="dxa"/>
            <w:hideMark/>
          </w:tcPr>
          <w:p w14:paraId="6044932C"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EM9</w:t>
            </w:r>
          </w:p>
        </w:tc>
        <w:tc>
          <w:tcPr>
            <w:tcW w:w="7522" w:type="dxa"/>
            <w:hideMark/>
          </w:tcPr>
          <w:p w14:paraId="41CEF512"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Implement EV (rapid and fast) on-street Programme</w:t>
            </w:r>
          </w:p>
        </w:tc>
      </w:tr>
      <w:tr w:rsidR="004203CC" w:rsidRPr="00720608" w14:paraId="222D6213" w14:textId="77777777" w:rsidTr="007801CE">
        <w:trPr>
          <w:cantSplit/>
          <w:trHeight w:val="206"/>
        </w:trPr>
        <w:tc>
          <w:tcPr>
            <w:cnfStyle w:val="001000000000" w:firstRow="0" w:lastRow="0" w:firstColumn="1" w:lastColumn="0" w:oddVBand="0" w:evenVBand="0" w:oddHBand="0" w:evenHBand="0" w:firstRowFirstColumn="0" w:firstRowLastColumn="0" w:lastRowFirstColumn="0" w:lastRowLastColumn="0"/>
            <w:tcW w:w="1555" w:type="dxa"/>
            <w:hideMark/>
          </w:tcPr>
          <w:p w14:paraId="016F8253"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EM10</w:t>
            </w:r>
          </w:p>
        </w:tc>
        <w:tc>
          <w:tcPr>
            <w:tcW w:w="7522" w:type="dxa"/>
            <w:hideMark/>
          </w:tcPr>
          <w:p w14:paraId="2DE76C2A" w14:textId="77777777" w:rsidR="004203CC" w:rsidRPr="00720608" w:rsidRDefault="004203CC" w:rsidP="004203CC">
            <w:pPr>
              <w:spacing w:before="0" w:after="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Develop and implement an electric car club across the borough</w:t>
            </w:r>
          </w:p>
        </w:tc>
      </w:tr>
    </w:tbl>
    <w:p w14:paraId="66D39C8F" w14:textId="6C6CC4A6" w:rsidR="007801CE" w:rsidRDefault="007801CE" w:rsidP="007801CE">
      <w:pPr>
        <w:pStyle w:val="AQAPText"/>
        <w:spacing w:after="0"/>
        <w:rPr>
          <w:color w:val="008938"/>
        </w:rPr>
      </w:pPr>
      <w:r>
        <w:rPr>
          <w:color w:val="008938"/>
        </w:rPr>
        <w:t>Scenario #2: Yew Tree Road (AQMA 4)</w:t>
      </w:r>
    </w:p>
    <w:tbl>
      <w:tblPr>
        <w:tblStyle w:val="LAQMReporting"/>
        <w:tblW w:w="9096" w:type="dxa"/>
        <w:tblLook w:val="04A0" w:firstRow="1" w:lastRow="0" w:firstColumn="1" w:lastColumn="0" w:noHBand="0" w:noVBand="1"/>
      </w:tblPr>
      <w:tblGrid>
        <w:gridCol w:w="1750"/>
        <w:gridCol w:w="7346"/>
      </w:tblGrid>
      <w:tr w:rsidR="004203CC" w:rsidRPr="00720608" w14:paraId="751AB8B1" w14:textId="77777777" w:rsidTr="007801CE">
        <w:trPr>
          <w:cnfStyle w:val="100000000000" w:firstRow="1" w:lastRow="0" w:firstColumn="0" w:lastColumn="0" w:oddVBand="0" w:evenVBand="0" w:oddHBand="0" w:evenHBand="0" w:firstRowFirstColumn="0" w:firstRowLastColumn="0" w:lastRowFirstColumn="0" w:lastRowLastColumn="0"/>
          <w:cantSplit/>
          <w:trHeight w:val="258"/>
        </w:trPr>
        <w:tc>
          <w:tcPr>
            <w:cnfStyle w:val="001000000000" w:firstRow="0" w:lastRow="0" w:firstColumn="1" w:lastColumn="0" w:oddVBand="0" w:evenVBand="0" w:oddHBand="0" w:evenHBand="0" w:firstRowFirstColumn="0" w:firstRowLastColumn="0" w:lastRowFirstColumn="0" w:lastRowLastColumn="0"/>
            <w:tcW w:w="1750" w:type="dxa"/>
            <w:hideMark/>
          </w:tcPr>
          <w:p w14:paraId="2AE3EE74" w14:textId="7FBAF758" w:rsidR="004203CC" w:rsidRPr="00720608" w:rsidRDefault="004203CC" w:rsidP="004203CC">
            <w:pPr>
              <w:spacing w:before="60" w:after="60" w:line="240" w:lineRule="auto"/>
              <w:rPr>
                <w:rFonts w:cs="Arial"/>
                <w:color w:val="000000"/>
                <w:sz w:val="20"/>
                <w:szCs w:val="20"/>
                <w:lang w:eastAsia="en-GB"/>
              </w:rPr>
            </w:pPr>
            <w:r w:rsidRPr="00720608">
              <w:rPr>
                <w:rFonts w:cs="Arial"/>
                <w:color w:val="FFFFFF" w:themeColor="background1"/>
                <w:sz w:val="20"/>
                <w:szCs w:val="20"/>
                <w:lang w:eastAsia="en-GB"/>
              </w:rPr>
              <w:t>Measure ID</w:t>
            </w:r>
          </w:p>
        </w:tc>
        <w:tc>
          <w:tcPr>
            <w:tcW w:w="7346" w:type="dxa"/>
            <w:hideMark/>
          </w:tcPr>
          <w:p w14:paraId="053FA146" w14:textId="42AFE09B" w:rsidR="004203CC" w:rsidRPr="00720608" w:rsidRDefault="004203CC" w:rsidP="004203CC">
            <w:pPr>
              <w:spacing w:before="60" w:after="60" w:line="240" w:lineRule="auto"/>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FFFFFF" w:themeColor="background1"/>
                <w:sz w:val="20"/>
                <w:szCs w:val="20"/>
                <w:lang w:eastAsia="en-GB"/>
              </w:rPr>
              <w:t>Measure description</w:t>
            </w:r>
          </w:p>
        </w:tc>
      </w:tr>
      <w:tr w:rsidR="004203CC" w:rsidRPr="00720608" w14:paraId="08BABE13" w14:textId="77777777" w:rsidTr="007801CE">
        <w:trPr>
          <w:cantSplit/>
          <w:trHeight w:val="436"/>
        </w:trPr>
        <w:tc>
          <w:tcPr>
            <w:cnfStyle w:val="001000000000" w:firstRow="0" w:lastRow="0" w:firstColumn="1" w:lastColumn="0" w:oddVBand="0" w:evenVBand="0" w:oddHBand="0" w:evenHBand="0" w:firstRowFirstColumn="0" w:firstRowLastColumn="0" w:lastRowFirstColumn="0" w:lastRowLastColumn="0"/>
            <w:tcW w:w="1750" w:type="dxa"/>
            <w:noWrap/>
            <w:hideMark/>
          </w:tcPr>
          <w:p w14:paraId="1D2C5C55"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TM16</w:t>
            </w:r>
          </w:p>
        </w:tc>
        <w:tc>
          <w:tcPr>
            <w:tcW w:w="7346" w:type="dxa"/>
            <w:hideMark/>
          </w:tcPr>
          <w:p w14:paraId="49DEF06F" w14:textId="77777777" w:rsidR="004203CC" w:rsidRPr="00720608" w:rsidRDefault="004203CC" w:rsidP="004203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Undertake junction improvement review at Yew Tree Road</w:t>
            </w:r>
          </w:p>
        </w:tc>
      </w:tr>
    </w:tbl>
    <w:p w14:paraId="429F03B3" w14:textId="70BD9ABE" w:rsidR="007801CE" w:rsidRDefault="007801CE" w:rsidP="007801CE">
      <w:pPr>
        <w:pStyle w:val="AQAPText"/>
        <w:spacing w:after="0"/>
        <w:rPr>
          <w:color w:val="008938"/>
        </w:rPr>
      </w:pPr>
      <w:r>
        <w:rPr>
          <w:color w:val="008938"/>
        </w:rPr>
        <w:t>Scenario #3: Minimum Euro VI HGVs and LGVs</w:t>
      </w:r>
    </w:p>
    <w:tbl>
      <w:tblPr>
        <w:tblStyle w:val="LAQMReporting"/>
        <w:tblW w:w="9157" w:type="dxa"/>
        <w:tblLook w:val="04A0" w:firstRow="1" w:lastRow="0" w:firstColumn="1" w:lastColumn="0" w:noHBand="0" w:noVBand="1"/>
      </w:tblPr>
      <w:tblGrid>
        <w:gridCol w:w="1762"/>
        <w:gridCol w:w="7395"/>
      </w:tblGrid>
      <w:tr w:rsidR="004203CC" w:rsidRPr="00720608" w14:paraId="04DE23CA" w14:textId="77777777" w:rsidTr="007801CE">
        <w:trPr>
          <w:cnfStyle w:val="100000000000" w:firstRow="1" w:lastRow="0" w:firstColumn="0" w:lastColumn="0" w:oddVBand="0" w:evenVBand="0" w:oddHBand="0" w:evenHBand="0" w:firstRowFirstColumn="0" w:firstRowLastColumn="0" w:lastRowFirstColumn="0" w:lastRowLastColumn="0"/>
          <w:cantSplit/>
          <w:trHeight w:val="338"/>
        </w:trPr>
        <w:tc>
          <w:tcPr>
            <w:cnfStyle w:val="001000000000" w:firstRow="0" w:lastRow="0" w:firstColumn="1" w:lastColumn="0" w:oddVBand="0" w:evenVBand="0" w:oddHBand="0" w:evenHBand="0" w:firstRowFirstColumn="0" w:firstRowLastColumn="0" w:lastRowFirstColumn="0" w:lastRowLastColumn="0"/>
            <w:tcW w:w="1762" w:type="dxa"/>
            <w:hideMark/>
          </w:tcPr>
          <w:p w14:paraId="62508993" w14:textId="6B84C400" w:rsidR="004203CC" w:rsidRPr="00720608" w:rsidRDefault="004203CC" w:rsidP="004203CC">
            <w:pPr>
              <w:spacing w:before="60" w:after="60" w:line="240" w:lineRule="auto"/>
              <w:rPr>
                <w:rFonts w:cs="Arial"/>
                <w:color w:val="000000"/>
                <w:sz w:val="20"/>
                <w:szCs w:val="20"/>
                <w:lang w:eastAsia="en-GB"/>
              </w:rPr>
            </w:pPr>
            <w:r w:rsidRPr="00720608">
              <w:rPr>
                <w:rFonts w:cs="Arial"/>
                <w:color w:val="FFFFFF" w:themeColor="background1"/>
                <w:sz w:val="20"/>
                <w:szCs w:val="20"/>
                <w:lang w:eastAsia="en-GB"/>
              </w:rPr>
              <w:t>Measure ID</w:t>
            </w:r>
          </w:p>
        </w:tc>
        <w:tc>
          <w:tcPr>
            <w:tcW w:w="7395" w:type="dxa"/>
            <w:hideMark/>
          </w:tcPr>
          <w:p w14:paraId="46BABC7F" w14:textId="5F6014CE" w:rsidR="004203CC" w:rsidRPr="00720608" w:rsidRDefault="004203CC" w:rsidP="004203CC">
            <w:pPr>
              <w:spacing w:before="60" w:after="60" w:line="240" w:lineRule="auto"/>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FFFFFF" w:themeColor="background1"/>
                <w:sz w:val="20"/>
                <w:szCs w:val="20"/>
                <w:lang w:eastAsia="en-GB"/>
              </w:rPr>
              <w:t>Measure description</w:t>
            </w:r>
          </w:p>
        </w:tc>
      </w:tr>
      <w:tr w:rsidR="004203CC" w:rsidRPr="00720608" w14:paraId="5EF2D5E8" w14:textId="77777777" w:rsidTr="007801CE">
        <w:trPr>
          <w:cantSplit/>
          <w:trHeight w:val="79"/>
        </w:trPr>
        <w:tc>
          <w:tcPr>
            <w:cnfStyle w:val="001000000000" w:firstRow="0" w:lastRow="0" w:firstColumn="1" w:lastColumn="0" w:oddVBand="0" w:evenVBand="0" w:oddHBand="0" w:evenHBand="0" w:firstRowFirstColumn="0" w:firstRowLastColumn="0" w:lastRowFirstColumn="0" w:lastRowLastColumn="0"/>
            <w:tcW w:w="1762" w:type="dxa"/>
            <w:noWrap/>
            <w:hideMark/>
          </w:tcPr>
          <w:p w14:paraId="590FB314"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EM3</w:t>
            </w:r>
          </w:p>
        </w:tc>
        <w:tc>
          <w:tcPr>
            <w:tcW w:w="7395" w:type="dxa"/>
            <w:hideMark/>
          </w:tcPr>
          <w:p w14:paraId="4A55F708" w14:textId="77777777" w:rsidR="004203CC" w:rsidRPr="00720608" w:rsidRDefault="004203CC" w:rsidP="004203CC">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Set minimum emission standards for all major contracts including maintenance, where vehicle use is inherent in the contract </w:t>
            </w:r>
          </w:p>
        </w:tc>
      </w:tr>
      <w:tr w:rsidR="004203CC" w:rsidRPr="00720608" w14:paraId="62BC90A7" w14:textId="77777777" w:rsidTr="007801CE">
        <w:trPr>
          <w:cantSplit/>
          <w:trHeight w:val="107"/>
        </w:trPr>
        <w:tc>
          <w:tcPr>
            <w:cnfStyle w:val="001000000000" w:firstRow="0" w:lastRow="0" w:firstColumn="1" w:lastColumn="0" w:oddVBand="0" w:evenVBand="0" w:oddHBand="0" w:evenHBand="0" w:firstRowFirstColumn="0" w:firstRowLastColumn="0" w:lastRowFirstColumn="0" w:lastRowLastColumn="0"/>
            <w:tcW w:w="1762" w:type="dxa"/>
            <w:noWrap/>
            <w:hideMark/>
          </w:tcPr>
          <w:p w14:paraId="2505039E"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EM4</w:t>
            </w:r>
          </w:p>
        </w:tc>
        <w:tc>
          <w:tcPr>
            <w:tcW w:w="7395" w:type="dxa"/>
            <w:hideMark/>
          </w:tcPr>
          <w:p w14:paraId="4C68922C" w14:textId="77777777" w:rsidR="004203CC" w:rsidRPr="00720608" w:rsidRDefault="004203CC" w:rsidP="004203CC">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Improve emissions from the council's operational fleet, including waste and recycling, light commercial and community service fleet </w:t>
            </w:r>
          </w:p>
        </w:tc>
      </w:tr>
      <w:tr w:rsidR="004203CC" w:rsidRPr="00720608" w14:paraId="0C60972B" w14:textId="77777777" w:rsidTr="007801CE">
        <w:trPr>
          <w:cantSplit/>
          <w:trHeight w:val="50"/>
        </w:trPr>
        <w:tc>
          <w:tcPr>
            <w:cnfStyle w:val="001000000000" w:firstRow="0" w:lastRow="0" w:firstColumn="1" w:lastColumn="0" w:oddVBand="0" w:evenVBand="0" w:oddHBand="0" w:evenHBand="0" w:firstRowFirstColumn="0" w:firstRowLastColumn="0" w:lastRowFirstColumn="0" w:lastRowLastColumn="0"/>
            <w:tcW w:w="1762" w:type="dxa"/>
            <w:noWrap/>
            <w:hideMark/>
          </w:tcPr>
          <w:p w14:paraId="77063B5E"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EM5</w:t>
            </w:r>
          </w:p>
        </w:tc>
        <w:tc>
          <w:tcPr>
            <w:tcW w:w="7395" w:type="dxa"/>
            <w:hideMark/>
          </w:tcPr>
          <w:p w14:paraId="45208A25" w14:textId="77777777" w:rsidR="004203CC" w:rsidRPr="00720608" w:rsidRDefault="004203CC" w:rsidP="004203CC">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 xml:space="preserve">Support the implementation of the HDV gas station Programme </w:t>
            </w:r>
          </w:p>
        </w:tc>
      </w:tr>
      <w:tr w:rsidR="004203CC" w:rsidRPr="00720608" w14:paraId="194A8B12" w14:textId="77777777" w:rsidTr="007801CE">
        <w:trPr>
          <w:cantSplit/>
          <w:trHeight w:val="50"/>
        </w:trPr>
        <w:tc>
          <w:tcPr>
            <w:cnfStyle w:val="001000000000" w:firstRow="0" w:lastRow="0" w:firstColumn="1" w:lastColumn="0" w:oddVBand="0" w:evenVBand="0" w:oddHBand="0" w:evenHBand="0" w:firstRowFirstColumn="0" w:firstRowLastColumn="0" w:lastRowFirstColumn="0" w:lastRowLastColumn="0"/>
            <w:tcW w:w="1762" w:type="dxa"/>
            <w:noWrap/>
            <w:hideMark/>
          </w:tcPr>
          <w:p w14:paraId="70940B69" w14:textId="77777777" w:rsidR="004203CC" w:rsidRPr="00720608" w:rsidRDefault="004203CC" w:rsidP="004203CC">
            <w:pPr>
              <w:spacing w:before="0" w:after="0" w:line="240" w:lineRule="auto"/>
              <w:rPr>
                <w:rFonts w:cs="Arial"/>
                <w:color w:val="000000"/>
                <w:sz w:val="20"/>
                <w:szCs w:val="20"/>
                <w:lang w:eastAsia="en-GB"/>
              </w:rPr>
            </w:pPr>
            <w:r w:rsidRPr="00720608">
              <w:rPr>
                <w:rFonts w:cs="Arial"/>
                <w:color w:val="000000"/>
                <w:sz w:val="20"/>
                <w:szCs w:val="20"/>
                <w:lang w:eastAsia="en-GB"/>
              </w:rPr>
              <w:t>EM6</w:t>
            </w:r>
          </w:p>
        </w:tc>
        <w:tc>
          <w:tcPr>
            <w:tcW w:w="7395" w:type="dxa"/>
            <w:hideMark/>
          </w:tcPr>
          <w:p w14:paraId="7A869D39" w14:textId="77777777" w:rsidR="004203CC" w:rsidRPr="00720608" w:rsidRDefault="004203CC" w:rsidP="004203CC">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Update the Slough Low Emission Strategy with tightened emission controls, electric vehicle charging standards and construction emissions</w:t>
            </w:r>
          </w:p>
        </w:tc>
      </w:tr>
    </w:tbl>
    <w:p w14:paraId="4C8E236C" w14:textId="77777777" w:rsidR="007801CE" w:rsidRDefault="007801CE" w:rsidP="007801CE">
      <w:pPr>
        <w:pStyle w:val="AQAPText"/>
        <w:spacing w:after="0"/>
        <w:rPr>
          <w:color w:val="008938"/>
        </w:rPr>
      </w:pPr>
    </w:p>
    <w:p w14:paraId="088ED082" w14:textId="77777777" w:rsidR="004203CC" w:rsidRDefault="004203CC" w:rsidP="007801CE">
      <w:pPr>
        <w:pStyle w:val="AQAPText"/>
        <w:spacing w:after="0"/>
        <w:rPr>
          <w:color w:val="008938"/>
        </w:rPr>
      </w:pPr>
    </w:p>
    <w:p w14:paraId="12C2C38F" w14:textId="77777777" w:rsidR="004203CC" w:rsidRDefault="004203CC" w:rsidP="007801CE">
      <w:pPr>
        <w:pStyle w:val="AQAPText"/>
        <w:spacing w:after="0"/>
        <w:rPr>
          <w:color w:val="008938"/>
        </w:rPr>
      </w:pPr>
    </w:p>
    <w:p w14:paraId="533E209A" w14:textId="518D6B1F" w:rsidR="007801CE" w:rsidRDefault="007801CE" w:rsidP="007801CE">
      <w:pPr>
        <w:pStyle w:val="AQAPText"/>
        <w:spacing w:after="0"/>
        <w:rPr>
          <w:color w:val="008938"/>
        </w:rPr>
      </w:pPr>
      <w:r>
        <w:rPr>
          <w:color w:val="008938"/>
        </w:rPr>
        <w:lastRenderedPageBreak/>
        <w:t>Scenario #4:</w:t>
      </w:r>
      <w:r w:rsidR="00FA3C02">
        <w:t xml:space="preserve"> </w:t>
      </w:r>
      <w:r w:rsidR="00FA3C02" w:rsidRPr="00FA3C02">
        <w:rPr>
          <w:color w:val="008938"/>
        </w:rPr>
        <w:t>100% ZEV buses</w:t>
      </w:r>
    </w:p>
    <w:tbl>
      <w:tblPr>
        <w:tblStyle w:val="LAQMReporting"/>
        <w:tblW w:w="9209" w:type="dxa"/>
        <w:tblLook w:val="04A0" w:firstRow="1" w:lastRow="0" w:firstColumn="1" w:lastColumn="0" w:noHBand="0" w:noVBand="1"/>
      </w:tblPr>
      <w:tblGrid>
        <w:gridCol w:w="1773"/>
        <w:gridCol w:w="7436"/>
      </w:tblGrid>
      <w:tr w:rsidR="004203CC" w:rsidRPr="00720608" w14:paraId="50EE2C8E" w14:textId="77777777" w:rsidTr="004203CC">
        <w:trPr>
          <w:cnfStyle w:val="100000000000" w:firstRow="1" w:lastRow="0" w:firstColumn="0" w:lastColumn="0" w:oddVBand="0" w:evenVBand="0" w:oddHBand="0" w:evenHBand="0" w:firstRowFirstColumn="0" w:firstRowLastColumn="0" w:lastRowFirstColumn="0" w:lastRowLastColumn="0"/>
          <w:cantSplit/>
          <w:trHeight w:val="276"/>
        </w:trPr>
        <w:tc>
          <w:tcPr>
            <w:cnfStyle w:val="001000000000" w:firstRow="0" w:lastRow="0" w:firstColumn="1" w:lastColumn="0" w:oddVBand="0" w:evenVBand="0" w:oddHBand="0" w:evenHBand="0" w:firstRowFirstColumn="0" w:firstRowLastColumn="0" w:lastRowFirstColumn="0" w:lastRowLastColumn="0"/>
            <w:tcW w:w="1773" w:type="dxa"/>
            <w:hideMark/>
          </w:tcPr>
          <w:p w14:paraId="60606EB4" w14:textId="5A16D2CE" w:rsidR="004203CC" w:rsidRPr="00720608" w:rsidRDefault="004203CC" w:rsidP="004203CC">
            <w:pPr>
              <w:spacing w:before="60" w:after="60" w:line="240" w:lineRule="auto"/>
              <w:rPr>
                <w:rFonts w:cs="Arial"/>
                <w:color w:val="000000"/>
                <w:sz w:val="20"/>
                <w:szCs w:val="20"/>
                <w:lang w:eastAsia="en-GB"/>
              </w:rPr>
            </w:pPr>
            <w:r w:rsidRPr="00720608">
              <w:rPr>
                <w:rFonts w:cs="Arial"/>
                <w:color w:val="FFFFFF" w:themeColor="background1"/>
                <w:sz w:val="20"/>
                <w:szCs w:val="20"/>
                <w:lang w:eastAsia="en-GB"/>
              </w:rPr>
              <w:t>Measure ID</w:t>
            </w:r>
          </w:p>
        </w:tc>
        <w:tc>
          <w:tcPr>
            <w:tcW w:w="7436" w:type="dxa"/>
            <w:hideMark/>
          </w:tcPr>
          <w:p w14:paraId="6E83CA20" w14:textId="38A1FF9B" w:rsidR="004203CC" w:rsidRPr="00720608" w:rsidRDefault="004203CC" w:rsidP="004203CC">
            <w:pPr>
              <w:spacing w:before="60" w:after="60" w:line="240" w:lineRule="auto"/>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FFFFFF" w:themeColor="background1"/>
                <w:sz w:val="20"/>
                <w:szCs w:val="20"/>
                <w:lang w:eastAsia="en-GB"/>
              </w:rPr>
              <w:t>Measure description</w:t>
            </w:r>
          </w:p>
        </w:tc>
      </w:tr>
      <w:tr w:rsidR="007801CE" w:rsidRPr="007D5CC7" w14:paraId="58D94113" w14:textId="77777777" w:rsidTr="004203CC">
        <w:trPr>
          <w:cantSplit/>
          <w:trHeight w:val="576"/>
        </w:trPr>
        <w:tc>
          <w:tcPr>
            <w:cnfStyle w:val="001000000000" w:firstRow="0" w:lastRow="0" w:firstColumn="1" w:lastColumn="0" w:oddVBand="0" w:evenVBand="0" w:oddHBand="0" w:evenHBand="0" w:firstRowFirstColumn="0" w:firstRowLastColumn="0" w:lastRowFirstColumn="0" w:lastRowLastColumn="0"/>
            <w:tcW w:w="1773" w:type="dxa"/>
            <w:noWrap/>
            <w:hideMark/>
          </w:tcPr>
          <w:p w14:paraId="5C301209" w14:textId="77777777" w:rsidR="007801CE" w:rsidRPr="00720608" w:rsidRDefault="007801CE" w:rsidP="009F15AE">
            <w:pPr>
              <w:spacing w:before="0" w:after="0" w:line="240" w:lineRule="auto"/>
              <w:rPr>
                <w:rFonts w:cs="Arial"/>
                <w:color w:val="000000"/>
                <w:sz w:val="20"/>
                <w:szCs w:val="20"/>
                <w:lang w:eastAsia="en-GB"/>
              </w:rPr>
            </w:pPr>
            <w:r w:rsidRPr="00720608">
              <w:rPr>
                <w:rFonts w:cs="Arial"/>
                <w:color w:val="000000"/>
                <w:sz w:val="20"/>
                <w:szCs w:val="20"/>
                <w:lang w:eastAsia="en-GB"/>
              </w:rPr>
              <w:t>TM13</w:t>
            </w:r>
          </w:p>
        </w:tc>
        <w:tc>
          <w:tcPr>
            <w:tcW w:w="7436" w:type="dxa"/>
            <w:hideMark/>
          </w:tcPr>
          <w:p w14:paraId="3B30C3ED" w14:textId="77777777" w:rsidR="007801CE" w:rsidRPr="007D5CC7" w:rsidRDefault="007801CE" w:rsidP="009F15A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D5CC7">
              <w:rPr>
                <w:rFonts w:cs="Arial"/>
                <w:color w:val="000000"/>
                <w:sz w:val="20"/>
                <w:szCs w:val="20"/>
                <w:lang w:eastAsia="en-GB"/>
              </w:rPr>
              <w:t>Seek funding opportunities to migrate to zero bus emission fleet in coordination with neighbouring authorities</w:t>
            </w:r>
          </w:p>
        </w:tc>
      </w:tr>
    </w:tbl>
    <w:p w14:paraId="72CE4DC1" w14:textId="2CD811F0" w:rsidR="007801CE" w:rsidRPr="007801CE" w:rsidRDefault="007801CE" w:rsidP="007801CE">
      <w:pPr>
        <w:pStyle w:val="AQAPText"/>
        <w:spacing w:after="0"/>
        <w:rPr>
          <w:color w:val="008938"/>
        </w:rPr>
      </w:pPr>
      <w:r>
        <w:rPr>
          <w:color w:val="008938"/>
        </w:rPr>
        <w:t xml:space="preserve">Scenario #5: Combination of quantified AQAP borough-wide measures and 100% ZEV taxis </w:t>
      </w:r>
    </w:p>
    <w:tbl>
      <w:tblPr>
        <w:tblStyle w:val="LAQMReporting"/>
        <w:tblW w:w="9252" w:type="dxa"/>
        <w:tblLook w:val="04A0" w:firstRow="1" w:lastRow="0" w:firstColumn="1" w:lastColumn="0" w:noHBand="0" w:noVBand="1"/>
      </w:tblPr>
      <w:tblGrid>
        <w:gridCol w:w="1781"/>
        <w:gridCol w:w="7471"/>
      </w:tblGrid>
      <w:tr w:rsidR="004203CC" w:rsidRPr="00720608" w14:paraId="052E6EC9" w14:textId="77777777" w:rsidTr="004203CC">
        <w:trPr>
          <w:cnfStyle w:val="100000000000" w:firstRow="1" w:lastRow="0" w:firstColumn="0" w:lastColumn="0" w:oddVBand="0" w:evenVBand="0" w:oddHBand="0" w:evenHBand="0" w:firstRowFirstColumn="0" w:firstRowLastColumn="0" w:lastRowFirstColumn="0" w:lastRowLastColumn="0"/>
          <w:cantSplit/>
          <w:trHeight w:val="423"/>
        </w:trPr>
        <w:tc>
          <w:tcPr>
            <w:cnfStyle w:val="001000000000" w:firstRow="0" w:lastRow="0" w:firstColumn="1" w:lastColumn="0" w:oddVBand="0" w:evenVBand="0" w:oddHBand="0" w:evenHBand="0" w:firstRowFirstColumn="0" w:firstRowLastColumn="0" w:lastRowFirstColumn="0" w:lastRowLastColumn="0"/>
            <w:tcW w:w="1781" w:type="dxa"/>
            <w:noWrap/>
          </w:tcPr>
          <w:p w14:paraId="06CDD690" w14:textId="43938C02" w:rsidR="004203CC" w:rsidRPr="00720608" w:rsidRDefault="004203CC" w:rsidP="004203CC">
            <w:pPr>
              <w:spacing w:before="60" w:after="60" w:line="240" w:lineRule="auto"/>
              <w:rPr>
                <w:rFonts w:cs="Arial"/>
                <w:color w:val="000000"/>
                <w:sz w:val="20"/>
                <w:szCs w:val="20"/>
                <w:lang w:eastAsia="en-GB"/>
              </w:rPr>
            </w:pPr>
            <w:r w:rsidRPr="00720608">
              <w:rPr>
                <w:rFonts w:cs="Arial"/>
                <w:color w:val="FFFFFF" w:themeColor="background1"/>
                <w:sz w:val="20"/>
                <w:szCs w:val="20"/>
                <w:lang w:eastAsia="en-GB"/>
              </w:rPr>
              <w:t>Measure ID</w:t>
            </w:r>
          </w:p>
        </w:tc>
        <w:tc>
          <w:tcPr>
            <w:tcW w:w="7471" w:type="dxa"/>
            <w:noWrap/>
          </w:tcPr>
          <w:p w14:paraId="21AD01E5" w14:textId="0E6EF9F4" w:rsidR="004203CC" w:rsidRPr="007D5CC7" w:rsidRDefault="004203CC" w:rsidP="004203CC">
            <w:pPr>
              <w:spacing w:before="60" w:after="60" w:line="240" w:lineRule="auto"/>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FFFFFF" w:themeColor="background1"/>
                <w:sz w:val="20"/>
                <w:szCs w:val="20"/>
                <w:lang w:eastAsia="en-GB"/>
              </w:rPr>
              <w:t>Measure description</w:t>
            </w:r>
          </w:p>
        </w:tc>
      </w:tr>
      <w:tr w:rsidR="007801CE" w:rsidRPr="00720608" w14:paraId="3FCA6400" w14:textId="77777777" w:rsidTr="007801CE">
        <w:trPr>
          <w:cantSplit/>
          <w:trHeight w:val="423"/>
        </w:trPr>
        <w:tc>
          <w:tcPr>
            <w:cnfStyle w:val="001000000000" w:firstRow="0" w:lastRow="0" w:firstColumn="1" w:lastColumn="0" w:oddVBand="0" w:evenVBand="0" w:oddHBand="0" w:evenHBand="0" w:firstRowFirstColumn="0" w:firstRowLastColumn="0" w:lastRowFirstColumn="0" w:lastRowLastColumn="0"/>
            <w:tcW w:w="1781" w:type="dxa"/>
            <w:noWrap/>
            <w:hideMark/>
          </w:tcPr>
          <w:p w14:paraId="4B99BC7C" w14:textId="77777777" w:rsidR="007801CE" w:rsidRPr="00720608" w:rsidRDefault="007801CE" w:rsidP="007B10BD">
            <w:pPr>
              <w:spacing w:before="0" w:after="0" w:line="240" w:lineRule="auto"/>
              <w:rPr>
                <w:rFonts w:cs="Arial"/>
                <w:color w:val="000000"/>
                <w:sz w:val="20"/>
                <w:szCs w:val="20"/>
                <w:lang w:eastAsia="en-GB"/>
              </w:rPr>
            </w:pPr>
            <w:r w:rsidRPr="00720608">
              <w:rPr>
                <w:rFonts w:cs="Arial"/>
                <w:color w:val="000000"/>
                <w:sz w:val="20"/>
                <w:szCs w:val="20"/>
                <w:lang w:eastAsia="en-GB"/>
              </w:rPr>
              <w:t>As above</w:t>
            </w:r>
          </w:p>
        </w:tc>
        <w:tc>
          <w:tcPr>
            <w:tcW w:w="7471" w:type="dxa"/>
            <w:noWrap/>
            <w:hideMark/>
          </w:tcPr>
          <w:p w14:paraId="63E0BD48" w14:textId="77777777" w:rsidR="007801CE" w:rsidRPr="007D5CC7" w:rsidRDefault="007801CE" w:rsidP="007B10B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D5CC7">
              <w:rPr>
                <w:rFonts w:cs="Arial"/>
                <w:color w:val="000000"/>
                <w:sz w:val="20"/>
                <w:szCs w:val="20"/>
                <w:lang w:eastAsia="en-GB"/>
              </w:rPr>
              <w:t>All measures above (except TM16)</w:t>
            </w:r>
          </w:p>
        </w:tc>
      </w:tr>
      <w:tr w:rsidR="007801CE" w:rsidRPr="00720608" w14:paraId="21149B7C" w14:textId="77777777" w:rsidTr="007801CE">
        <w:trPr>
          <w:cantSplit/>
          <w:trHeight w:val="334"/>
        </w:trPr>
        <w:tc>
          <w:tcPr>
            <w:cnfStyle w:val="001000000000" w:firstRow="0" w:lastRow="0" w:firstColumn="1" w:lastColumn="0" w:oddVBand="0" w:evenVBand="0" w:oddHBand="0" w:evenHBand="0" w:firstRowFirstColumn="0" w:firstRowLastColumn="0" w:lastRowFirstColumn="0" w:lastRowLastColumn="0"/>
            <w:tcW w:w="1781" w:type="dxa"/>
          </w:tcPr>
          <w:p w14:paraId="64FA29D2" w14:textId="134DFB4F" w:rsidR="007801CE" w:rsidRPr="00720608" w:rsidRDefault="007801CE" w:rsidP="007B10BD">
            <w:pPr>
              <w:spacing w:before="0" w:after="0" w:line="240" w:lineRule="auto"/>
              <w:rPr>
                <w:rFonts w:cs="Arial"/>
                <w:color w:val="000000"/>
                <w:sz w:val="20"/>
                <w:szCs w:val="20"/>
                <w:lang w:eastAsia="en-GB"/>
              </w:rPr>
            </w:pPr>
            <w:r>
              <w:rPr>
                <w:rFonts w:cs="Arial"/>
                <w:color w:val="000000"/>
                <w:sz w:val="20"/>
                <w:szCs w:val="20"/>
                <w:lang w:eastAsia="en-GB"/>
              </w:rPr>
              <w:t>EM11</w:t>
            </w:r>
          </w:p>
        </w:tc>
        <w:tc>
          <w:tcPr>
            <w:tcW w:w="7471" w:type="dxa"/>
          </w:tcPr>
          <w:p w14:paraId="6C234B82" w14:textId="74E2EB7B" w:rsidR="007801CE" w:rsidRPr="007D5CC7" w:rsidRDefault="007801CE" w:rsidP="00EC645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D5CC7">
              <w:rPr>
                <w:rFonts w:cs="Arial"/>
                <w:sz w:val="20"/>
                <w:szCs w:val="20"/>
              </w:rPr>
              <w:t>Deliver Defra funded taxi demo project</w:t>
            </w:r>
          </w:p>
        </w:tc>
      </w:tr>
      <w:tr w:rsidR="007801CE" w:rsidRPr="00720608" w14:paraId="469A7345" w14:textId="77777777" w:rsidTr="007801CE">
        <w:trPr>
          <w:cantSplit/>
          <w:trHeight w:val="334"/>
        </w:trPr>
        <w:tc>
          <w:tcPr>
            <w:cnfStyle w:val="001000000000" w:firstRow="0" w:lastRow="0" w:firstColumn="1" w:lastColumn="0" w:oddVBand="0" w:evenVBand="0" w:oddHBand="0" w:evenHBand="0" w:firstRowFirstColumn="0" w:firstRowLastColumn="0" w:lastRowFirstColumn="0" w:lastRowLastColumn="0"/>
            <w:tcW w:w="1781" w:type="dxa"/>
          </w:tcPr>
          <w:p w14:paraId="08E9D24A" w14:textId="16A99A92" w:rsidR="007801CE" w:rsidRPr="00720608" w:rsidRDefault="007801CE" w:rsidP="007B10BD">
            <w:pPr>
              <w:spacing w:before="0" w:after="0" w:line="240" w:lineRule="auto"/>
              <w:rPr>
                <w:rFonts w:cs="Arial"/>
                <w:color w:val="000000"/>
                <w:sz w:val="20"/>
                <w:szCs w:val="20"/>
                <w:lang w:eastAsia="en-GB"/>
              </w:rPr>
            </w:pPr>
            <w:r>
              <w:rPr>
                <w:rFonts w:cs="Arial"/>
                <w:color w:val="000000"/>
                <w:sz w:val="20"/>
                <w:szCs w:val="20"/>
                <w:lang w:eastAsia="en-GB"/>
              </w:rPr>
              <w:t>EM12</w:t>
            </w:r>
          </w:p>
        </w:tc>
        <w:tc>
          <w:tcPr>
            <w:tcW w:w="7471" w:type="dxa"/>
          </w:tcPr>
          <w:p w14:paraId="0D3508AC" w14:textId="6E7977FB" w:rsidR="007801CE" w:rsidRPr="007D5CC7" w:rsidRDefault="007801CE" w:rsidP="00EC645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D5CC7">
              <w:rPr>
                <w:rFonts w:cs="Arial"/>
                <w:sz w:val="20"/>
                <w:szCs w:val="20"/>
              </w:rPr>
              <w:t>Install a network of rapid charging facilities to support plug-in taxis</w:t>
            </w:r>
          </w:p>
        </w:tc>
      </w:tr>
      <w:tr w:rsidR="007801CE" w:rsidRPr="00720608" w14:paraId="63279D4D" w14:textId="77777777" w:rsidTr="007801CE">
        <w:trPr>
          <w:cantSplit/>
          <w:trHeight w:val="334"/>
        </w:trPr>
        <w:tc>
          <w:tcPr>
            <w:cnfStyle w:val="001000000000" w:firstRow="0" w:lastRow="0" w:firstColumn="1" w:lastColumn="0" w:oddVBand="0" w:evenVBand="0" w:oddHBand="0" w:evenHBand="0" w:firstRowFirstColumn="0" w:firstRowLastColumn="0" w:lastRowFirstColumn="0" w:lastRowLastColumn="0"/>
            <w:tcW w:w="1781" w:type="dxa"/>
            <w:hideMark/>
          </w:tcPr>
          <w:p w14:paraId="7FF922D4" w14:textId="77777777" w:rsidR="007801CE" w:rsidRPr="00720608" w:rsidRDefault="007801CE" w:rsidP="007B10BD">
            <w:pPr>
              <w:spacing w:before="0" w:after="0" w:line="240" w:lineRule="auto"/>
              <w:rPr>
                <w:rFonts w:cs="Arial"/>
                <w:color w:val="000000"/>
                <w:sz w:val="20"/>
                <w:szCs w:val="20"/>
                <w:lang w:eastAsia="en-GB"/>
              </w:rPr>
            </w:pPr>
            <w:r w:rsidRPr="00720608">
              <w:rPr>
                <w:rFonts w:cs="Arial"/>
                <w:color w:val="000000"/>
                <w:sz w:val="20"/>
                <w:szCs w:val="20"/>
                <w:lang w:eastAsia="en-GB"/>
              </w:rPr>
              <w:t>EM19</w:t>
            </w:r>
          </w:p>
        </w:tc>
        <w:tc>
          <w:tcPr>
            <w:tcW w:w="7471" w:type="dxa"/>
            <w:hideMark/>
          </w:tcPr>
          <w:p w14:paraId="13BA0A3E" w14:textId="77777777" w:rsidR="007801CE" w:rsidRPr="00720608" w:rsidRDefault="007801CE" w:rsidP="007801CE">
            <w:pPr>
              <w:spacing w:before="60" w:after="6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Re-introduce minimum emission standards for hackney carriages and private hire vehicles that comply with national clean air requirements and promote ULEVs</w:t>
            </w:r>
          </w:p>
        </w:tc>
      </w:tr>
    </w:tbl>
    <w:p w14:paraId="01CA7655" w14:textId="77777777" w:rsidR="001529CE" w:rsidRDefault="001529CE" w:rsidP="001529CE">
      <w:pPr>
        <w:spacing w:before="0" w:after="0" w:line="240" w:lineRule="auto"/>
      </w:pPr>
    </w:p>
    <w:p w14:paraId="4F2A48CF" w14:textId="46E650F2" w:rsidR="001529CE" w:rsidRDefault="001529CE" w:rsidP="0025036F">
      <w:pPr>
        <w:pStyle w:val="Heading2"/>
        <w:numPr>
          <w:ilvl w:val="1"/>
          <w:numId w:val="75"/>
        </w:numPr>
      </w:pPr>
      <w:bookmarkStart w:id="287" w:name="_Toc159264931"/>
      <w:bookmarkStart w:id="288" w:name="_Toc160129608"/>
      <w:r>
        <w:t>Scenario modelling methodology</w:t>
      </w:r>
      <w:bookmarkEnd w:id="287"/>
      <w:bookmarkEnd w:id="288"/>
    </w:p>
    <w:p w14:paraId="2438144E" w14:textId="77777777" w:rsidR="001529CE" w:rsidRDefault="001529CE" w:rsidP="001529CE">
      <w:r>
        <w:t>To allow for comparability with the baseline model, the model setup is consistent with that established in Appendix C.2. The impact of measures were captured by modifying the average daily vehicle flow (#1, #5) and speeds (#2), and the vehicle fleet composition (#1, #3, #4, #5). The scenarios modelled are shown in Table 4-2, and Table 4-3 presents the average speeds used in modelling in Scenario #2.</w:t>
      </w:r>
    </w:p>
    <w:p w14:paraId="166FBC6B" w14:textId="77777777" w:rsidR="001529CE" w:rsidRDefault="001529CE" w:rsidP="001529CE">
      <w:pPr>
        <w:spacing w:before="0" w:after="0" w:line="240" w:lineRule="auto"/>
      </w:pPr>
      <w:r>
        <w:br w:type="page"/>
      </w:r>
    </w:p>
    <w:p w14:paraId="579C24AB" w14:textId="77777777" w:rsidR="001529CE" w:rsidRDefault="001529CE" w:rsidP="00887760">
      <w:pPr>
        <w:pStyle w:val="Tables"/>
      </w:pPr>
      <w:bookmarkStart w:id="289" w:name="_Toc159264945"/>
      <w:bookmarkStart w:id="290" w:name="_Toc160123587"/>
      <w:bookmarkStart w:id="291" w:name="_Toc160123803"/>
      <w:bookmarkStart w:id="292" w:name="_Toc160128569"/>
      <w:r>
        <w:lastRenderedPageBreak/>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2</w:t>
      </w:r>
      <w:r w:rsidR="000F4CA1">
        <w:rPr>
          <w:noProof/>
        </w:rPr>
        <w:fldChar w:fldCharType="end"/>
      </w:r>
      <w:r>
        <w:t>– measures included in scenario modelling</w:t>
      </w:r>
      <w:bookmarkEnd w:id="289"/>
      <w:bookmarkEnd w:id="290"/>
      <w:bookmarkEnd w:id="291"/>
      <w:bookmarkEnd w:id="292"/>
    </w:p>
    <w:p w14:paraId="148961DA" w14:textId="77777777" w:rsidR="00FA3C02" w:rsidRDefault="00FA3C02" w:rsidP="00FA3C02">
      <w:pPr>
        <w:pStyle w:val="AQAPText"/>
        <w:spacing w:after="0"/>
        <w:rPr>
          <w:color w:val="008938"/>
        </w:rPr>
      </w:pPr>
      <w:r w:rsidRPr="007801CE">
        <w:rPr>
          <w:color w:val="008938"/>
        </w:rPr>
        <w:t xml:space="preserve">Scenario #1: Modal Shift to Active Travel and EV Transition </w:t>
      </w:r>
    </w:p>
    <w:tbl>
      <w:tblPr>
        <w:tblStyle w:val="LAQMReporting"/>
        <w:tblW w:w="9015" w:type="dxa"/>
        <w:tblLook w:val="04A0" w:firstRow="1" w:lastRow="0" w:firstColumn="1" w:lastColumn="0" w:noHBand="0" w:noVBand="1"/>
      </w:tblPr>
      <w:tblGrid>
        <w:gridCol w:w="1755"/>
        <w:gridCol w:w="7260"/>
      </w:tblGrid>
      <w:tr w:rsidR="00FA3C02" w:rsidRPr="00720608" w14:paraId="11FB6F25" w14:textId="77777777" w:rsidTr="00FA3C02">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755" w:type="dxa"/>
            <w:noWrap/>
          </w:tcPr>
          <w:p w14:paraId="2617B9EC" w14:textId="77777777" w:rsidR="00FA3C02" w:rsidRPr="00720608" w:rsidRDefault="00FA3C02" w:rsidP="009F15AE">
            <w:pPr>
              <w:spacing w:before="0" w:after="0" w:line="240" w:lineRule="auto"/>
              <w:rPr>
                <w:rFonts w:cs="Arial"/>
                <w:color w:val="FFFFFF" w:themeColor="background1"/>
                <w:sz w:val="20"/>
                <w:szCs w:val="20"/>
                <w:lang w:eastAsia="en-GB"/>
              </w:rPr>
            </w:pPr>
            <w:r>
              <w:rPr>
                <w:rFonts w:cs="Arial"/>
                <w:color w:val="FFFFFF" w:themeColor="background1"/>
                <w:sz w:val="20"/>
                <w:szCs w:val="20"/>
                <w:lang w:eastAsia="en-GB"/>
              </w:rPr>
              <w:t>Scenario</w:t>
            </w:r>
          </w:p>
        </w:tc>
        <w:tc>
          <w:tcPr>
            <w:tcW w:w="7260" w:type="dxa"/>
            <w:noWrap/>
          </w:tcPr>
          <w:p w14:paraId="77444AED" w14:textId="77777777" w:rsidR="00FA3C02" w:rsidRPr="00720608" w:rsidRDefault="00FA3C02" w:rsidP="009F15AE">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eastAsia="en-GB"/>
              </w:rPr>
            </w:pPr>
            <w:r>
              <w:rPr>
                <w:rFonts w:cs="Arial"/>
                <w:color w:val="FFFFFF" w:themeColor="background1"/>
                <w:sz w:val="20"/>
                <w:szCs w:val="20"/>
                <w:lang w:eastAsia="en-GB"/>
              </w:rPr>
              <w:t>Model</w:t>
            </w:r>
            <w:r w:rsidRPr="00720608">
              <w:rPr>
                <w:rFonts w:cs="Arial"/>
                <w:color w:val="FFFFFF" w:themeColor="background1"/>
                <w:sz w:val="20"/>
                <w:szCs w:val="20"/>
                <w:lang w:eastAsia="en-GB"/>
              </w:rPr>
              <w:t xml:space="preserve"> description</w:t>
            </w:r>
          </w:p>
        </w:tc>
      </w:tr>
      <w:tr w:rsidR="00FA3C02" w:rsidRPr="00720608" w14:paraId="78ECC4EB" w14:textId="77777777" w:rsidTr="00FA3C02">
        <w:trPr>
          <w:trHeight w:val="363"/>
        </w:trPr>
        <w:tc>
          <w:tcPr>
            <w:cnfStyle w:val="001000000000" w:firstRow="0" w:lastRow="0" w:firstColumn="1" w:lastColumn="0" w:oddVBand="0" w:evenVBand="0" w:oddHBand="0" w:evenHBand="0" w:firstRowFirstColumn="0" w:firstRowLastColumn="0" w:lastRowFirstColumn="0" w:lastRowLastColumn="0"/>
            <w:tcW w:w="1755" w:type="dxa"/>
            <w:noWrap/>
            <w:hideMark/>
          </w:tcPr>
          <w:p w14:paraId="75E39A75"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#1a</w:t>
            </w:r>
          </w:p>
        </w:tc>
        <w:tc>
          <w:tcPr>
            <w:tcW w:w="7260" w:type="dxa"/>
            <w:noWrap/>
            <w:hideMark/>
          </w:tcPr>
          <w:p w14:paraId="37A9674D"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9.5% modal shift from passenger cars to active travel</w:t>
            </w:r>
          </w:p>
        </w:tc>
      </w:tr>
      <w:tr w:rsidR="00FA3C02" w:rsidRPr="00720608" w14:paraId="367C2AA4" w14:textId="77777777" w:rsidTr="00FA3C02">
        <w:trPr>
          <w:trHeight w:val="421"/>
        </w:trPr>
        <w:tc>
          <w:tcPr>
            <w:cnfStyle w:val="001000000000" w:firstRow="0" w:lastRow="0" w:firstColumn="1" w:lastColumn="0" w:oddVBand="0" w:evenVBand="0" w:oddHBand="0" w:evenHBand="0" w:firstRowFirstColumn="0" w:firstRowLastColumn="0" w:lastRowFirstColumn="0" w:lastRowLastColumn="0"/>
            <w:tcW w:w="1755" w:type="dxa"/>
            <w:noWrap/>
            <w:hideMark/>
          </w:tcPr>
          <w:p w14:paraId="2E4B644F"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#1b</w:t>
            </w:r>
          </w:p>
        </w:tc>
        <w:tc>
          <w:tcPr>
            <w:tcW w:w="7260" w:type="dxa"/>
            <w:noWrap/>
            <w:hideMark/>
          </w:tcPr>
          <w:p w14:paraId="1D53E4C5"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9.5% modal shift from passenger cars to active travel; and a 5% uptake of BEV passenger cars</w:t>
            </w:r>
          </w:p>
        </w:tc>
      </w:tr>
      <w:tr w:rsidR="00FA3C02" w:rsidRPr="00720608" w14:paraId="2B9AD4E9" w14:textId="77777777" w:rsidTr="00FA3C02">
        <w:trPr>
          <w:trHeight w:val="475"/>
        </w:trPr>
        <w:tc>
          <w:tcPr>
            <w:cnfStyle w:val="001000000000" w:firstRow="0" w:lastRow="0" w:firstColumn="1" w:lastColumn="0" w:oddVBand="0" w:evenVBand="0" w:oddHBand="0" w:evenHBand="0" w:firstRowFirstColumn="0" w:firstRowLastColumn="0" w:lastRowFirstColumn="0" w:lastRowLastColumn="0"/>
            <w:tcW w:w="1755" w:type="dxa"/>
            <w:noWrap/>
            <w:hideMark/>
          </w:tcPr>
          <w:p w14:paraId="547C9D95"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#1c</w:t>
            </w:r>
          </w:p>
        </w:tc>
        <w:tc>
          <w:tcPr>
            <w:tcW w:w="7260" w:type="dxa"/>
            <w:noWrap/>
            <w:hideMark/>
          </w:tcPr>
          <w:p w14:paraId="4BB64C52"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9.5% modal shift from passenger cars to active travel; and a 10% uptake of BEV passenger cars</w:t>
            </w:r>
          </w:p>
        </w:tc>
      </w:tr>
    </w:tbl>
    <w:p w14:paraId="460B583B" w14:textId="77777777" w:rsidR="00FA3C02" w:rsidRDefault="00FA3C02" w:rsidP="00FA3C02">
      <w:pPr>
        <w:pStyle w:val="AQAPText"/>
        <w:spacing w:after="0"/>
        <w:rPr>
          <w:color w:val="008938"/>
        </w:rPr>
      </w:pPr>
      <w:r>
        <w:rPr>
          <w:color w:val="008938"/>
        </w:rPr>
        <w:t>Scenario #2: Yew Tree Road (AQMA 4)</w:t>
      </w:r>
    </w:p>
    <w:tbl>
      <w:tblPr>
        <w:tblStyle w:val="LAQMReporting"/>
        <w:tblW w:w="9025" w:type="dxa"/>
        <w:tblLook w:val="04A0" w:firstRow="1" w:lastRow="0" w:firstColumn="1" w:lastColumn="0" w:noHBand="0" w:noVBand="1"/>
      </w:tblPr>
      <w:tblGrid>
        <w:gridCol w:w="1757"/>
        <w:gridCol w:w="7268"/>
      </w:tblGrid>
      <w:tr w:rsidR="00FA3C02" w:rsidRPr="00720608" w14:paraId="6607D770" w14:textId="77777777" w:rsidTr="00FA3C02">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757" w:type="dxa"/>
            <w:noWrap/>
          </w:tcPr>
          <w:p w14:paraId="05C0E5D6" w14:textId="77777777" w:rsidR="00FA3C02" w:rsidRPr="00720608" w:rsidRDefault="00FA3C02" w:rsidP="009F15AE">
            <w:pPr>
              <w:spacing w:before="0" w:after="0" w:line="240" w:lineRule="auto"/>
              <w:rPr>
                <w:rFonts w:cs="Arial"/>
                <w:color w:val="FFFFFF" w:themeColor="background1"/>
                <w:sz w:val="20"/>
                <w:szCs w:val="20"/>
                <w:lang w:eastAsia="en-GB"/>
              </w:rPr>
            </w:pPr>
            <w:r>
              <w:rPr>
                <w:rFonts w:cs="Arial"/>
                <w:color w:val="FFFFFF" w:themeColor="background1"/>
                <w:sz w:val="20"/>
                <w:szCs w:val="20"/>
                <w:lang w:eastAsia="en-GB"/>
              </w:rPr>
              <w:t>Scenario</w:t>
            </w:r>
          </w:p>
        </w:tc>
        <w:tc>
          <w:tcPr>
            <w:tcW w:w="7268" w:type="dxa"/>
            <w:noWrap/>
          </w:tcPr>
          <w:p w14:paraId="543DE85B" w14:textId="77777777" w:rsidR="00FA3C02" w:rsidRPr="00720608" w:rsidRDefault="00FA3C02" w:rsidP="009F15AE">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eastAsia="en-GB"/>
              </w:rPr>
            </w:pPr>
            <w:r>
              <w:rPr>
                <w:rFonts w:cs="Arial"/>
                <w:color w:val="FFFFFF" w:themeColor="background1"/>
                <w:sz w:val="20"/>
                <w:szCs w:val="20"/>
                <w:lang w:eastAsia="en-GB"/>
              </w:rPr>
              <w:t>Model</w:t>
            </w:r>
            <w:r w:rsidRPr="00720608">
              <w:rPr>
                <w:rFonts w:cs="Arial"/>
                <w:color w:val="FFFFFF" w:themeColor="background1"/>
                <w:sz w:val="20"/>
                <w:szCs w:val="20"/>
                <w:lang w:eastAsia="en-GB"/>
              </w:rPr>
              <w:t xml:space="preserve"> description</w:t>
            </w:r>
          </w:p>
        </w:tc>
      </w:tr>
      <w:tr w:rsidR="00FA3C02" w:rsidRPr="00720608" w14:paraId="22428A5B" w14:textId="77777777" w:rsidTr="00FA3C02">
        <w:trPr>
          <w:trHeight w:val="531"/>
        </w:trPr>
        <w:tc>
          <w:tcPr>
            <w:cnfStyle w:val="001000000000" w:firstRow="0" w:lastRow="0" w:firstColumn="1" w:lastColumn="0" w:oddVBand="0" w:evenVBand="0" w:oddHBand="0" w:evenHBand="0" w:firstRowFirstColumn="0" w:firstRowLastColumn="0" w:lastRowFirstColumn="0" w:lastRowLastColumn="0"/>
            <w:tcW w:w="1757" w:type="dxa"/>
            <w:noWrap/>
            <w:hideMark/>
          </w:tcPr>
          <w:p w14:paraId="55E0BF40"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#2a</w:t>
            </w:r>
          </w:p>
        </w:tc>
        <w:tc>
          <w:tcPr>
            <w:tcW w:w="7268" w:type="dxa"/>
            <w:noWrap/>
            <w:hideMark/>
          </w:tcPr>
          <w:p w14:paraId="2A15D2BE"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10% speed increase along Yew Tree Road junction road to show easing congestion</w:t>
            </w:r>
          </w:p>
        </w:tc>
      </w:tr>
      <w:tr w:rsidR="00FA3C02" w:rsidRPr="00720608" w14:paraId="038C91FD" w14:textId="77777777" w:rsidTr="00FA3C02">
        <w:trPr>
          <w:trHeight w:val="425"/>
        </w:trPr>
        <w:tc>
          <w:tcPr>
            <w:cnfStyle w:val="001000000000" w:firstRow="0" w:lastRow="0" w:firstColumn="1" w:lastColumn="0" w:oddVBand="0" w:evenVBand="0" w:oddHBand="0" w:evenHBand="0" w:firstRowFirstColumn="0" w:firstRowLastColumn="0" w:lastRowFirstColumn="0" w:lastRowLastColumn="0"/>
            <w:tcW w:w="1757" w:type="dxa"/>
            <w:noWrap/>
            <w:hideMark/>
          </w:tcPr>
          <w:p w14:paraId="6DC29BE6"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#2b</w:t>
            </w:r>
          </w:p>
        </w:tc>
        <w:tc>
          <w:tcPr>
            <w:tcW w:w="7268" w:type="dxa"/>
            <w:noWrap/>
            <w:hideMark/>
          </w:tcPr>
          <w:p w14:paraId="5DE3B466"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20% speed increase along Yew Tree Road junction road to show easing congestion</w:t>
            </w:r>
          </w:p>
        </w:tc>
      </w:tr>
      <w:tr w:rsidR="00FA3C02" w:rsidRPr="00720608" w14:paraId="042C2416" w14:textId="77777777" w:rsidTr="00FA3C02">
        <w:trPr>
          <w:trHeight w:val="480"/>
        </w:trPr>
        <w:tc>
          <w:tcPr>
            <w:cnfStyle w:val="001000000000" w:firstRow="0" w:lastRow="0" w:firstColumn="1" w:lastColumn="0" w:oddVBand="0" w:evenVBand="0" w:oddHBand="0" w:evenHBand="0" w:firstRowFirstColumn="0" w:firstRowLastColumn="0" w:lastRowFirstColumn="0" w:lastRowLastColumn="0"/>
            <w:tcW w:w="1757" w:type="dxa"/>
            <w:noWrap/>
            <w:hideMark/>
          </w:tcPr>
          <w:p w14:paraId="42C93DB9" w14:textId="77777777" w:rsidR="00FA3C02" w:rsidRPr="00720608" w:rsidRDefault="00FA3C02" w:rsidP="009F15AE">
            <w:pPr>
              <w:spacing w:before="0" w:after="0" w:line="240" w:lineRule="auto"/>
              <w:rPr>
                <w:rFonts w:cs="Arial"/>
                <w:color w:val="000000"/>
                <w:sz w:val="20"/>
                <w:szCs w:val="20"/>
                <w:lang w:eastAsia="en-GB"/>
              </w:rPr>
            </w:pPr>
            <w:r w:rsidRPr="00720608">
              <w:rPr>
                <w:rFonts w:cs="Arial"/>
                <w:color w:val="000000"/>
                <w:sz w:val="20"/>
                <w:szCs w:val="20"/>
                <w:lang w:eastAsia="en-GB"/>
              </w:rPr>
              <w:t>#2c</w:t>
            </w:r>
          </w:p>
        </w:tc>
        <w:tc>
          <w:tcPr>
            <w:tcW w:w="7268" w:type="dxa"/>
            <w:noWrap/>
            <w:hideMark/>
          </w:tcPr>
          <w:p w14:paraId="3D51BF7E" w14:textId="77777777" w:rsidR="00FA3C02" w:rsidRPr="00720608" w:rsidRDefault="00FA3C02" w:rsidP="009F15AE">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sidRPr="00720608">
              <w:rPr>
                <w:rFonts w:cs="Arial"/>
                <w:color w:val="000000"/>
                <w:sz w:val="20"/>
                <w:szCs w:val="20"/>
                <w:lang w:eastAsia="en-GB"/>
              </w:rPr>
              <w:t>50% speed increase along Yew Tree Road junction road to show easing congestion</w:t>
            </w:r>
          </w:p>
        </w:tc>
      </w:tr>
    </w:tbl>
    <w:p w14:paraId="7DD135F0" w14:textId="77777777" w:rsidR="00FA3C02" w:rsidRDefault="00FA3C02" w:rsidP="00FA3C02">
      <w:pPr>
        <w:pStyle w:val="AQAPText"/>
        <w:spacing w:after="0"/>
        <w:rPr>
          <w:color w:val="008938"/>
        </w:rPr>
      </w:pPr>
      <w:r>
        <w:rPr>
          <w:color w:val="008938"/>
        </w:rPr>
        <w:t>Scenario #3: Minimum Euro VI HGVs and LGVs</w:t>
      </w:r>
    </w:p>
    <w:tbl>
      <w:tblPr>
        <w:tblStyle w:val="TableGrid"/>
        <w:tblpPr w:leftFromText="180" w:rightFromText="180" w:vertAnchor="text" w:horzAnchor="margin" w:tblpY="33"/>
        <w:tblW w:w="0" w:type="auto"/>
        <w:tblLook w:val="04A0" w:firstRow="1" w:lastRow="0" w:firstColumn="1" w:lastColumn="0" w:noHBand="0" w:noVBand="1"/>
      </w:tblPr>
      <w:tblGrid>
        <w:gridCol w:w="1819"/>
        <w:gridCol w:w="7150"/>
      </w:tblGrid>
      <w:tr w:rsidR="004203CC" w:rsidRPr="004203CC" w14:paraId="785196AE" w14:textId="77777777" w:rsidTr="004203CC">
        <w:trPr>
          <w:trHeight w:val="370"/>
        </w:trPr>
        <w:tc>
          <w:tcPr>
            <w:tcW w:w="1819" w:type="dxa"/>
            <w:shd w:val="clear" w:color="auto" w:fill="008938"/>
            <w:vAlign w:val="center"/>
          </w:tcPr>
          <w:p w14:paraId="5D62B7AD" w14:textId="77777777" w:rsidR="004203CC" w:rsidRPr="004203CC" w:rsidRDefault="004203CC" w:rsidP="004203CC">
            <w:pPr>
              <w:pStyle w:val="Tables"/>
              <w:spacing w:before="60"/>
              <w:jc w:val="center"/>
              <w:rPr>
                <w:rFonts w:cs="Arial"/>
                <w:color w:val="FFFFFF" w:themeColor="background1"/>
                <w:sz w:val="20"/>
                <w:lang w:eastAsia="en-GB"/>
              </w:rPr>
            </w:pPr>
            <w:r>
              <w:rPr>
                <w:rFonts w:cs="Arial"/>
                <w:color w:val="FFFFFF" w:themeColor="background1"/>
                <w:sz w:val="20"/>
                <w:lang w:eastAsia="en-GB"/>
              </w:rPr>
              <w:t>Scenario</w:t>
            </w:r>
          </w:p>
        </w:tc>
        <w:tc>
          <w:tcPr>
            <w:tcW w:w="7150" w:type="dxa"/>
            <w:shd w:val="clear" w:color="auto" w:fill="008938"/>
            <w:vAlign w:val="center"/>
          </w:tcPr>
          <w:p w14:paraId="2F2D4F8D" w14:textId="77777777" w:rsidR="004203CC" w:rsidRPr="004203CC" w:rsidRDefault="004203CC" w:rsidP="004203CC">
            <w:pPr>
              <w:pStyle w:val="Tables"/>
              <w:spacing w:before="60"/>
              <w:jc w:val="center"/>
              <w:rPr>
                <w:rFonts w:cs="Arial"/>
                <w:color w:val="FFFFFF" w:themeColor="background1"/>
                <w:sz w:val="20"/>
                <w:lang w:eastAsia="en-GB"/>
              </w:rPr>
            </w:pPr>
            <w:r>
              <w:rPr>
                <w:rFonts w:cs="Arial"/>
                <w:color w:val="FFFFFF" w:themeColor="background1"/>
                <w:sz w:val="20"/>
                <w:lang w:eastAsia="en-GB"/>
              </w:rPr>
              <w:t>Model</w:t>
            </w:r>
            <w:r w:rsidRPr="00720608">
              <w:rPr>
                <w:rFonts w:cs="Arial"/>
                <w:color w:val="FFFFFF" w:themeColor="background1"/>
                <w:sz w:val="20"/>
                <w:lang w:eastAsia="en-GB"/>
              </w:rPr>
              <w:t xml:space="preserve"> description</w:t>
            </w:r>
          </w:p>
        </w:tc>
      </w:tr>
      <w:tr w:rsidR="004203CC" w:rsidRPr="004203CC" w14:paraId="31F62278" w14:textId="77777777" w:rsidTr="004203CC">
        <w:trPr>
          <w:trHeight w:val="376"/>
        </w:trPr>
        <w:tc>
          <w:tcPr>
            <w:tcW w:w="1819" w:type="dxa"/>
            <w:vAlign w:val="center"/>
          </w:tcPr>
          <w:p w14:paraId="6D0E95D5" w14:textId="77777777" w:rsidR="004203CC" w:rsidRPr="004203CC" w:rsidRDefault="004203CC" w:rsidP="004203CC">
            <w:pPr>
              <w:pStyle w:val="Tables"/>
              <w:spacing w:before="60"/>
              <w:jc w:val="center"/>
              <w:rPr>
                <w:b w:val="0"/>
                <w:bCs w:val="0"/>
                <w:color w:val="auto"/>
              </w:rPr>
            </w:pPr>
            <w:r w:rsidRPr="004203CC">
              <w:rPr>
                <w:rFonts w:cs="Arial"/>
                <w:b w:val="0"/>
                <w:bCs w:val="0"/>
                <w:color w:val="000000"/>
                <w:sz w:val="20"/>
                <w:lang w:eastAsia="en-GB"/>
              </w:rPr>
              <w:t>#3</w:t>
            </w:r>
          </w:p>
        </w:tc>
        <w:tc>
          <w:tcPr>
            <w:tcW w:w="7150" w:type="dxa"/>
            <w:vAlign w:val="center"/>
          </w:tcPr>
          <w:p w14:paraId="6396F9B3" w14:textId="77777777" w:rsidR="004203CC" w:rsidRPr="004203CC" w:rsidRDefault="004203CC" w:rsidP="004203CC">
            <w:pPr>
              <w:pStyle w:val="Tables"/>
              <w:spacing w:before="60"/>
              <w:jc w:val="center"/>
              <w:rPr>
                <w:b w:val="0"/>
                <w:bCs w:val="0"/>
                <w:color w:val="auto"/>
              </w:rPr>
            </w:pPr>
            <w:r w:rsidRPr="004203CC">
              <w:rPr>
                <w:rFonts w:cs="Arial"/>
                <w:b w:val="0"/>
                <w:bCs w:val="0"/>
                <w:color w:val="000000"/>
                <w:sz w:val="20"/>
                <w:lang w:eastAsia="en-GB"/>
              </w:rPr>
              <w:t>Minimum Euro VI standards for LGV and HGV fleet</w:t>
            </w:r>
          </w:p>
        </w:tc>
      </w:tr>
    </w:tbl>
    <w:p w14:paraId="0C482373" w14:textId="3C5940DF" w:rsidR="00FA3C02" w:rsidRDefault="00FA3C02" w:rsidP="00FA3C02">
      <w:pPr>
        <w:pStyle w:val="AQAPText"/>
        <w:spacing w:after="0"/>
        <w:rPr>
          <w:color w:val="008938"/>
        </w:rPr>
      </w:pPr>
      <w:r>
        <w:rPr>
          <w:color w:val="008938"/>
        </w:rPr>
        <w:t>Scenario #4:</w:t>
      </w:r>
      <w:r>
        <w:t xml:space="preserve"> </w:t>
      </w:r>
      <w:r w:rsidRPr="00FA3C02">
        <w:rPr>
          <w:color w:val="008938"/>
        </w:rPr>
        <w:t>100% ZEV buses</w:t>
      </w:r>
    </w:p>
    <w:tbl>
      <w:tblPr>
        <w:tblStyle w:val="TableGrid"/>
        <w:tblpPr w:leftFromText="180" w:rightFromText="180" w:vertAnchor="text" w:horzAnchor="margin" w:tblpY="21"/>
        <w:tblW w:w="0" w:type="auto"/>
        <w:tblLook w:val="04A0" w:firstRow="1" w:lastRow="0" w:firstColumn="1" w:lastColumn="0" w:noHBand="0" w:noVBand="1"/>
      </w:tblPr>
      <w:tblGrid>
        <w:gridCol w:w="1819"/>
        <w:gridCol w:w="7150"/>
      </w:tblGrid>
      <w:tr w:rsidR="004203CC" w:rsidRPr="004203CC" w14:paraId="6F2D0772" w14:textId="77777777" w:rsidTr="004203CC">
        <w:trPr>
          <w:trHeight w:val="370"/>
        </w:trPr>
        <w:tc>
          <w:tcPr>
            <w:tcW w:w="1819" w:type="dxa"/>
            <w:shd w:val="clear" w:color="auto" w:fill="008938"/>
            <w:vAlign w:val="center"/>
          </w:tcPr>
          <w:p w14:paraId="3CDC314B" w14:textId="77777777" w:rsidR="004203CC" w:rsidRPr="004203CC" w:rsidRDefault="004203CC" w:rsidP="004203CC">
            <w:pPr>
              <w:pStyle w:val="Tables"/>
              <w:spacing w:before="60"/>
              <w:jc w:val="center"/>
              <w:rPr>
                <w:rFonts w:cs="Arial"/>
                <w:color w:val="FFFFFF" w:themeColor="background1"/>
                <w:sz w:val="20"/>
                <w:lang w:eastAsia="en-GB"/>
              </w:rPr>
            </w:pPr>
            <w:r w:rsidRPr="004203CC">
              <w:rPr>
                <w:rFonts w:cs="Arial"/>
                <w:color w:val="FFFFFF" w:themeColor="background1"/>
                <w:sz w:val="20"/>
                <w:lang w:eastAsia="en-GB"/>
              </w:rPr>
              <w:t>Scenario</w:t>
            </w:r>
          </w:p>
        </w:tc>
        <w:tc>
          <w:tcPr>
            <w:tcW w:w="7150" w:type="dxa"/>
            <w:shd w:val="clear" w:color="auto" w:fill="008938"/>
            <w:vAlign w:val="center"/>
          </w:tcPr>
          <w:p w14:paraId="665BEA01" w14:textId="77777777" w:rsidR="004203CC" w:rsidRPr="004203CC" w:rsidRDefault="004203CC" w:rsidP="004203CC">
            <w:pPr>
              <w:pStyle w:val="Tables"/>
              <w:spacing w:before="60"/>
              <w:jc w:val="center"/>
              <w:rPr>
                <w:rFonts w:cs="Arial"/>
                <w:color w:val="FFFFFF" w:themeColor="background1"/>
                <w:sz w:val="20"/>
                <w:lang w:eastAsia="en-GB"/>
              </w:rPr>
            </w:pPr>
            <w:r w:rsidRPr="004203CC">
              <w:rPr>
                <w:rFonts w:cs="Arial"/>
                <w:color w:val="FFFFFF" w:themeColor="background1"/>
                <w:sz w:val="20"/>
                <w:lang w:eastAsia="en-GB"/>
              </w:rPr>
              <w:t>Model description</w:t>
            </w:r>
          </w:p>
        </w:tc>
      </w:tr>
      <w:tr w:rsidR="004203CC" w:rsidRPr="004203CC" w14:paraId="5380D4CF" w14:textId="77777777" w:rsidTr="004203CC">
        <w:trPr>
          <w:trHeight w:val="376"/>
        </w:trPr>
        <w:tc>
          <w:tcPr>
            <w:tcW w:w="1819" w:type="dxa"/>
            <w:vAlign w:val="center"/>
          </w:tcPr>
          <w:p w14:paraId="2D838D83" w14:textId="77777777" w:rsidR="004203CC" w:rsidRPr="004203CC" w:rsidRDefault="004203CC" w:rsidP="004203CC">
            <w:pPr>
              <w:pStyle w:val="Tables"/>
              <w:spacing w:before="60"/>
              <w:jc w:val="center"/>
              <w:rPr>
                <w:b w:val="0"/>
                <w:bCs w:val="0"/>
                <w:color w:val="auto"/>
              </w:rPr>
            </w:pPr>
            <w:r w:rsidRPr="004203CC">
              <w:rPr>
                <w:rFonts w:cs="Arial"/>
                <w:b w:val="0"/>
                <w:bCs w:val="0"/>
                <w:color w:val="auto"/>
                <w:sz w:val="20"/>
                <w:lang w:eastAsia="en-GB"/>
              </w:rPr>
              <w:t>#4</w:t>
            </w:r>
          </w:p>
        </w:tc>
        <w:tc>
          <w:tcPr>
            <w:tcW w:w="7150" w:type="dxa"/>
            <w:vAlign w:val="center"/>
          </w:tcPr>
          <w:p w14:paraId="2AD8A00D" w14:textId="77777777" w:rsidR="004203CC" w:rsidRPr="004203CC" w:rsidRDefault="004203CC" w:rsidP="004203CC">
            <w:pPr>
              <w:pStyle w:val="Tables"/>
              <w:spacing w:before="60"/>
              <w:jc w:val="center"/>
              <w:rPr>
                <w:b w:val="0"/>
                <w:bCs w:val="0"/>
                <w:color w:val="auto"/>
              </w:rPr>
            </w:pPr>
            <w:r w:rsidRPr="004203CC">
              <w:rPr>
                <w:rFonts w:cs="Arial"/>
                <w:b w:val="0"/>
                <w:bCs w:val="0"/>
                <w:color w:val="auto"/>
                <w:sz w:val="20"/>
                <w:lang w:eastAsia="en-GB"/>
              </w:rPr>
              <w:t>Transition of bus fleet to 100% ZEV</w:t>
            </w:r>
          </w:p>
        </w:tc>
      </w:tr>
    </w:tbl>
    <w:p w14:paraId="4684A355" w14:textId="2DBA49F5" w:rsidR="00FA3C02" w:rsidRPr="007801CE" w:rsidRDefault="00FA3C02" w:rsidP="00FA3C02">
      <w:pPr>
        <w:pStyle w:val="AQAPText"/>
        <w:spacing w:after="0"/>
        <w:rPr>
          <w:color w:val="008938"/>
        </w:rPr>
      </w:pPr>
      <w:r>
        <w:rPr>
          <w:color w:val="008938"/>
        </w:rPr>
        <w:t xml:space="preserve">Scenario #5: Combination of quantified AQAP borough-wide measures and 100% ZEV taxis </w:t>
      </w:r>
    </w:p>
    <w:tbl>
      <w:tblPr>
        <w:tblStyle w:val="TableGrid"/>
        <w:tblW w:w="9058" w:type="dxa"/>
        <w:tblLook w:val="04A0" w:firstRow="1" w:lastRow="0" w:firstColumn="1" w:lastColumn="0" w:noHBand="0" w:noVBand="1"/>
      </w:tblPr>
      <w:tblGrid>
        <w:gridCol w:w="1837"/>
        <w:gridCol w:w="7221"/>
      </w:tblGrid>
      <w:tr w:rsidR="00FA3C02" w14:paraId="02A659C8" w14:textId="77777777" w:rsidTr="00FA3C02">
        <w:trPr>
          <w:trHeight w:val="306"/>
        </w:trPr>
        <w:tc>
          <w:tcPr>
            <w:tcW w:w="1837" w:type="dxa"/>
            <w:shd w:val="clear" w:color="auto" w:fill="008938"/>
            <w:vAlign w:val="center"/>
          </w:tcPr>
          <w:p w14:paraId="4DF689A6" w14:textId="19B3EC19" w:rsidR="00FA3C02" w:rsidRPr="00FA3C02" w:rsidRDefault="00FA3C02" w:rsidP="004203CC">
            <w:pPr>
              <w:pStyle w:val="Tables"/>
              <w:spacing w:before="60"/>
              <w:jc w:val="center"/>
            </w:pPr>
            <w:bookmarkStart w:id="293" w:name="_Toc159264946"/>
            <w:bookmarkStart w:id="294" w:name="_Toc160123588"/>
            <w:bookmarkStart w:id="295" w:name="_Toc160123804"/>
            <w:bookmarkStart w:id="296" w:name="_Toc160128570"/>
            <w:r w:rsidRPr="00FA3C02">
              <w:rPr>
                <w:rFonts w:cs="Arial"/>
                <w:color w:val="FFFFFF" w:themeColor="background1"/>
                <w:sz w:val="20"/>
                <w:lang w:eastAsia="en-GB"/>
              </w:rPr>
              <w:t>Scenario</w:t>
            </w:r>
          </w:p>
        </w:tc>
        <w:tc>
          <w:tcPr>
            <w:tcW w:w="7221" w:type="dxa"/>
            <w:shd w:val="clear" w:color="auto" w:fill="008938"/>
            <w:vAlign w:val="center"/>
          </w:tcPr>
          <w:p w14:paraId="060B82D2" w14:textId="2675420A" w:rsidR="00FA3C02" w:rsidRPr="00FA3C02" w:rsidRDefault="00FA3C02" w:rsidP="004203CC">
            <w:pPr>
              <w:pStyle w:val="Tables"/>
              <w:spacing w:before="60"/>
              <w:jc w:val="center"/>
            </w:pPr>
            <w:r w:rsidRPr="00FA3C02">
              <w:rPr>
                <w:rFonts w:cs="Arial"/>
                <w:color w:val="FFFFFF" w:themeColor="background1"/>
                <w:sz w:val="20"/>
                <w:lang w:eastAsia="en-GB"/>
              </w:rPr>
              <w:t>Model description</w:t>
            </w:r>
          </w:p>
        </w:tc>
      </w:tr>
      <w:tr w:rsidR="00FA3C02" w14:paraId="63C84EFD" w14:textId="77777777" w:rsidTr="00FA3C02">
        <w:trPr>
          <w:trHeight w:val="676"/>
        </w:trPr>
        <w:tc>
          <w:tcPr>
            <w:tcW w:w="1837" w:type="dxa"/>
            <w:vAlign w:val="center"/>
          </w:tcPr>
          <w:p w14:paraId="42CEF691" w14:textId="7B7353FE" w:rsidR="00FA3C02" w:rsidRPr="00FA3C02" w:rsidRDefault="00FA3C02" w:rsidP="00FA3C02">
            <w:pPr>
              <w:pStyle w:val="Tables"/>
              <w:jc w:val="center"/>
              <w:rPr>
                <w:b w:val="0"/>
                <w:bCs w:val="0"/>
              </w:rPr>
            </w:pPr>
            <w:r w:rsidRPr="00FA3C02">
              <w:rPr>
                <w:rFonts w:cs="Arial"/>
                <w:b w:val="0"/>
                <w:bCs w:val="0"/>
                <w:color w:val="000000"/>
                <w:sz w:val="20"/>
                <w:lang w:eastAsia="en-GB"/>
              </w:rPr>
              <w:t>#5</w:t>
            </w:r>
          </w:p>
        </w:tc>
        <w:tc>
          <w:tcPr>
            <w:tcW w:w="7221" w:type="dxa"/>
            <w:vAlign w:val="center"/>
          </w:tcPr>
          <w:p w14:paraId="18D5F943" w14:textId="126A39BA" w:rsidR="00FA3C02" w:rsidRPr="00FA3C02" w:rsidRDefault="00FA3C02" w:rsidP="00FA3C02">
            <w:pPr>
              <w:pStyle w:val="Tables"/>
              <w:spacing w:before="60"/>
              <w:jc w:val="center"/>
              <w:rPr>
                <w:b w:val="0"/>
                <w:bCs w:val="0"/>
              </w:rPr>
            </w:pPr>
            <w:r w:rsidRPr="00FA3C02">
              <w:rPr>
                <w:rFonts w:cs="Arial"/>
                <w:b w:val="0"/>
                <w:bCs w:val="0"/>
                <w:color w:val="000000"/>
                <w:sz w:val="20"/>
                <w:lang w:eastAsia="en-GB"/>
              </w:rPr>
              <w:t>Transition of taxi fleet to 100% ZEV; bus fleet to 100% ZEV (#4) ; 9.5% modal shift from passenger cars to active travel (#1c); 10% uptake of BEV passenger cars (#1c); minimum Euro VI standards for LGV and HGV fleet (#3)</w:t>
            </w:r>
          </w:p>
        </w:tc>
      </w:tr>
    </w:tbl>
    <w:p w14:paraId="3D3A550B" w14:textId="77777777" w:rsidR="00FA3C02" w:rsidRDefault="00FA3C02" w:rsidP="00887760">
      <w:pPr>
        <w:pStyle w:val="Tables"/>
      </w:pPr>
    </w:p>
    <w:p w14:paraId="50E4C1B4" w14:textId="452AA98F" w:rsidR="001529CE" w:rsidRDefault="001529CE" w:rsidP="00887760">
      <w:pPr>
        <w:pStyle w:val="Tables"/>
      </w:pPr>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3</w:t>
      </w:r>
      <w:r w:rsidR="000F4CA1">
        <w:rPr>
          <w:noProof/>
        </w:rPr>
        <w:fldChar w:fldCharType="end"/>
      </w:r>
      <w:r>
        <w:t xml:space="preserve"> - Scenario #2 average speed at Yew Tree Road junction</w:t>
      </w:r>
      <w:bookmarkEnd w:id="293"/>
      <w:bookmarkEnd w:id="294"/>
      <w:bookmarkEnd w:id="295"/>
      <w:bookmarkEnd w:id="296"/>
    </w:p>
    <w:tbl>
      <w:tblPr>
        <w:tblStyle w:val="LAQMReporting"/>
        <w:tblW w:w="0" w:type="auto"/>
        <w:tblLook w:val="04A0" w:firstRow="1" w:lastRow="0" w:firstColumn="1" w:lastColumn="0" w:noHBand="0" w:noVBand="1"/>
      </w:tblPr>
      <w:tblGrid>
        <w:gridCol w:w="1271"/>
        <w:gridCol w:w="2147"/>
        <w:gridCol w:w="2814"/>
        <w:gridCol w:w="2828"/>
      </w:tblGrid>
      <w:tr w:rsidR="001529CE" w14:paraId="43A479E1" w14:textId="77777777" w:rsidTr="007B10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E7FFA9" w14:textId="77777777" w:rsidR="001529CE" w:rsidRPr="00720608" w:rsidRDefault="001529CE" w:rsidP="007B10BD">
            <w:pPr>
              <w:rPr>
                <w:sz w:val="20"/>
                <w:szCs w:val="20"/>
              </w:rPr>
            </w:pPr>
            <w:r w:rsidRPr="00720608">
              <w:rPr>
                <w:sz w:val="20"/>
                <w:szCs w:val="20"/>
              </w:rPr>
              <w:t>Scenario</w:t>
            </w:r>
          </w:p>
        </w:tc>
        <w:tc>
          <w:tcPr>
            <w:tcW w:w="2147" w:type="dxa"/>
          </w:tcPr>
          <w:p w14:paraId="4947FE77" w14:textId="77777777" w:rsidR="001529CE" w:rsidRPr="00720608" w:rsidRDefault="001529CE" w:rsidP="007B10BD">
            <w:pPr>
              <w:cnfStyle w:val="100000000000" w:firstRow="1" w:lastRow="0" w:firstColumn="0" w:lastColumn="0" w:oddVBand="0" w:evenVBand="0" w:oddHBand="0" w:evenHBand="0" w:firstRowFirstColumn="0" w:firstRowLastColumn="0" w:lastRowFirstColumn="0" w:lastRowLastColumn="0"/>
              <w:rPr>
                <w:sz w:val="20"/>
                <w:szCs w:val="20"/>
              </w:rPr>
            </w:pPr>
            <w:r w:rsidRPr="00720608">
              <w:rPr>
                <w:sz w:val="20"/>
                <w:szCs w:val="20"/>
              </w:rPr>
              <w:t>Speed increase (%)</w:t>
            </w:r>
          </w:p>
        </w:tc>
        <w:tc>
          <w:tcPr>
            <w:tcW w:w="2814" w:type="dxa"/>
          </w:tcPr>
          <w:p w14:paraId="69F9EFAC" w14:textId="77777777" w:rsidR="001529CE" w:rsidRPr="00720608" w:rsidRDefault="001529CE" w:rsidP="007B10BD">
            <w:pPr>
              <w:cnfStyle w:val="100000000000" w:firstRow="1" w:lastRow="0" w:firstColumn="0" w:lastColumn="0" w:oddVBand="0" w:evenVBand="0" w:oddHBand="0" w:evenHBand="0" w:firstRowFirstColumn="0" w:firstRowLastColumn="0" w:lastRowFirstColumn="0" w:lastRowLastColumn="0"/>
              <w:rPr>
                <w:sz w:val="20"/>
                <w:szCs w:val="20"/>
              </w:rPr>
            </w:pPr>
            <w:r w:rsidRPr="00720608">
              <w:rPr>
                <w:sz w:val="20"/>
                <w:szCs w:val="20"/>
              </w:rPr>
              <w:t>Northbound speed (km/h)</w:t>
            </w:r>
          </w:p>
        </w:tc>
        <w:tc>
          <w:tcPr>
            <w:tcW w:w="2828" w:type="dxa"/>
          </w:tcPr>
          <w:p w14:paraId="346C8E86" w14:textId="77777777" w:rsidR="001529CE" w:rsidRPr="00720608" w:rsidRDefault="001529CE" w:rsidP="007B10BD">
            <w:pPr>
              <w:cnfStyle w:val="100000000000" w:firstRow="1" w:lastRow="0" w:firstColumn="0" w:lastColumn="0" w:oddVBand="0" w:evenVBand="0" w:oddHBand="0" w:evenHBand="0" w:firstRowFirstColumn="0" w:firstRowLastColumn="0" w:lastRowFirstColumn="0" w:lastRowLastColumn="0"/>
              <w:rPr>
                <w:sz w:val="20"/>
                <w:szCs w:val="20"/>
              </w:rPr>
            </w:pPr>
            <w:r w:rsidRPr="00720608">
              <w:rPr>
                <w:sz w:val="20"/>
                <w:szCs w:val="20"/>
              </w:rPr>
              <w:t>Southbound speed (km/h)</w:t>
            </w:r>
          </w:p>
        </w:tc>
      </w:tr>
      <w:tr w:rsidR="001529CE" w14:paraId="7CA9336A" w14:textId="77777777" w:rsidTr="007B10BD">
        <w:trPr>
          <w:trHeight w:val="283"/>
        </w:trPr>
        <w:tc>
          <w:tcPr>
            <w:cnfStyle w:val="001000000000" w:firstRow="0" w:lastRow="0" w:firstColumn="1" w:lastColumn="0" w:oddVBand="0" w:evenVBand="0" w:oddHBand="0" w:evenHBand="0" w:firstRowFirstColumn="0" w:firstRowLastColumn="0" w:lastRowFirstColumn="0" w:lastRowLastColumn="0"/>
            <w:tcW w:w="1271" w:type="dxa"/>
          </w:tcPr>
          <w:p w14:paraId="17E4865B" w14:textId="77777777" w:rsidR="001529CE" w:rsidRPr="00720608" w:rsidRDefault="001529CE" w:rsidP="007B10BD">
            <w:pPr>
              <w:rPr>
                <w:sz w:val="20"/>
                <w:szCs w:val="20"/>
              </w:rPr>
            </w:pPr>
            <w:r w:rsidRPr="00720608">
              <w:rPr>
                <w:sz w:val="20"/>
                <w:szCs w:val="20"/>
              </w:rPr>
              <w:t>Baseline</w:t>
            </w:r>
          </w:p>
        </w:tc>
        <w:tc>
          <w:tcPr>
            <w:tcW w:w="2147" w:type="dxa"/>
          </w:tcPr>
          <w:p w14:paraId="35030DD4"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0</w:t>
            </w:r>
          </w:p>
        </w:tc>
        <w:tc>
          <w:tcPr>
            <w:tcW w:w="2814" w:type="dxa"/>
            <w:vAlign w:val="top"/>
          </w:tcPr>
          <w:p w14:paraId="51363D67"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18</w:t>
            </w:r>
          </w:p>
        </w:tc>
        <w:tc>
          <w:tcPr>
            <w:tcW w:w="2828" w:type="dxa"/>
            <w:vAlign w:val="top"/>
          </w:tcPr>
          <w:p w14:paraId="28DE8BE2"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13</w:t>
            </w:r>
          </w:p>
        </w:tc>
      </w:tr>
      <w:tr w:rsidR="001529CE" w14:paraId="4F234E04" w14:textId="77777777" w:rsidTr="007B10BD">
        <w:trPr>
          <w:trHeight w:val="283"/>
        </w:trPr>
        <w:tc>
          <w:tcPr>
            <w:cnfStyle w:val="001000000000" w:firstRow="0" w:lastRow="0" w:firstColumn="1" w:lastColumn="0" w:oddVBand="0" w:evenVBand="0" w:oddHBand="0" w:evenHBand="0" w:firstRowFirstColumn="0" w:firstRowLastColumn="0" w:lastRowFirstColumn="0" w:lastRowLastColumn="0"/>
            <w:tcW w:w="1271" w:type="dxa"/>
          </w:tcPr>
          <w:p w14:paraId="0226734E" w14:textId="77777777" w:rsidR="001529CE" w:rsidRPr="00720608" w:rsidRDefault="001529CE" w:rsidP="007B10BD">
            <w:pPr>
              <w:rPr>
                <w:sz w:val="20"/>
                <w:szCs w:val="20"/>
              </w:rPr>
            </w:pPr>
            <w:r w:rsidRPr="00720608">
              <w:rPr>
                <w:sz w:val="20"/>
                <w:szCs w:val="20"/>
              </w:rPr>
              <w:t>#2a</w:t>
            </w:r>
          </w:p>
        </w:tc>
        <w:tc>
          <w:tcPr>
            <w:tcW w:w="2147" w:type="dxa"/>
          </w:tcPr>
          <w:p w14:paraId="18222C50"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10</w:t>
            </w:r>
          </w:p>
        </w:tc>
        <w:tc>
          <w:tcPr>
            <w:tcW w:w="2814" w:type="dxa"/>
            <w:vAlign w:val="top"/>
          </w:tcPr>
          <w:p w14:paraId="720ABCA6"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20</w:t>
            </w:r>
          </w:p>
        </w:tc>
        <w:tc>
          <w:tcPr>
            <w:tcW w:w="2828" w:type="dxa"/>
            <w:vAlign w:val="top"/>
          </w:tcPr>
          <w:p w14:paraId="20F41701"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14</w:t>
            </w:r>
          </w:p>
        </w:tc>
      </w:tr>
      <w:tr w:rsidR="001529CE" w14:paraId="031B949E" w14:textId="77777777" w:rsidTr="007B10BD">
        <w:trPr>
          <w:trHeight w:val="283"/>
        </w:trPr>
        <w:tc>
          <w:tcPr>
            <w:cnfStyle w:val="001000000000" w:firstRow="0" w:lastRow="0" w:firstColumn="1" w:lastColumn="0" w:oddVBand="0" w:evenVBand="0" w:oddHBand="0" w:evenHBand="0" w:firstRowFirstColumn="0" w:firstRowLastColumn="0" w:lastRowFirstColumn="0" w:lastRowLastColumn="0"/>
            <w:tcW w:w="1271" w:type="dxa"/>
          </w:tcPr>
          <w:p w14:paraId="1874C254" w14:textId="77777777" w:rsidR="001529CE" w:rsidRPr="00720608" w:rsidRDefault="001529CE" w:rsidP="007B10BD">
            <w:pPr>
              <w:rPr>
                <w:sz w:val="20"/>
                <w:szCs w:val="20"/>
              </w:rPr>
            </w:pPr>
            <w:r w:rsidRPr="00720608">
              <w:rPr>
                <w:sz w:val="20"/>
                <w:szCs w:val="20"/>
              </w:rPr>
              <w:t>#2b</w:t>
            </w:r>
          </w:p>
        </w:tc>
        <w:tc>
          <w:tcPr>
            <w:tcW w:w="2147" w:type="dxa"/>
          </w:tcPr>
          <w:p w14:paraId="524FBFF2"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20</w:t>
            </w:r>
          </w:p>
        </w:tc>
        <w:tc>
          <w:tcPr>
            <w:tcW w:w="2814" w:type="dxa"/>
            <w:vAlign w:val="top"/>
          </w:tcPr>
          <w:p w14:paraId="58837FED"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22</w:t>
            </w:r>
          </w:p>
        </w:tc>
        <w:tc>
          <w:tcPr>
            <w:tcW w:w="2828" w:type="dxa"/>
            <w:vAlign w:val="top"/>
          </w:tcPr>
          <w:p w14:paraId="47CF9F35"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16</w:t>
            </w:r>
          </w:p>
        </w:tc>
      </w:tr>
      <w:tr w:rsidR="001529CE" w14:paraId="7FB9DA84" w14:textId="77777777" w:rsidTr="007B10BD">
        <w:trPr>
          <w:trHeight w:val="283"/>
        </w:trPr>
        <w:tc>
          <w:tcPr>
            <w:cnfStyle w:val="001000000000" w:firstRow="0" w:lastRow="0" w:firstColumn="1" w:lastColumn="0" w:oddVBand="0" w:evenVBand="0" w:oddHBand="0" w:evenHBand="0" w:firstRowFirstColumn="0" w:firstRowLastColumn="0" w:lastRowFirstColumn="0" w:lastRowLastColumn="0"/>
            <w:tcW w:w="1271" w:type="dxa"/>
          </w:tcPr>
          <w:p w14:paraId="54211523" w14:textId="77777777" w:rsidR="001529CE" w:rsidRPr="00720608" w:rsidRDefault="001529CE" w:rsidP="007B10BD">
            <w:pPr>
              <w:rPr>
                <w:sz w:val="20"/>
                <w:szCs w:val="20"/>
              </w:rPr>
            </w:pPr>
            <w:r w:rsidRPr="00720608">
              <w:rPr>
                <w:sz w:val="20"/>
                <w:szCs w:val="20"/>
              </w:rPr>
              <w:t>#2c</w:t>
            </w:r>
          </w:p>
        </w:tc>
        <w:tc>
          <w:tcPr>
            <w:tcW w:w="2147" w:type="dxa"/>
          </w:tcPr>
          <w:p w14:paraId="1434D236"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50</w:t>
            </w:r>
          </w:p>
        </w:tc>
        <w:tc>
          <w:tcPr>
            <w:tcW w:w="2814" w:type="dxa"/>
            <w:vAlign w:val="top"/>
          </w:tcPr>
          <w:p w14:paraId="49711AB6"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27</w:t>
            </w:r>
          </w:p>
        </w:tc>
        <w:tc>
          <w:tcPr>
            <w:tcW w:w="2828" w:type="dxa"/>
            <w:vAlign w:val="top"/>
          </w:tcPr>
          <w:p w14:paraId="131AA1B2" w14:textId="77777777" w:rsidR="001529CE" w:rsidRPr="00720608" w:rsidRDefault="001529CE" w:rsidP="007B10BD">
            <w:pPr>
              <w:cnfStyle w:val="000000000000" w:firstRow="0" w:lastRow="0" w:firstColumn="0" w:lastColumn="0" w:oddVBand="0" w:evenVBand="0" w:oddHBand="0" w:evenHBand="0" w:firstRowFirstColumn="0" w:firstRowLastColumn="0" w:lastRowFirstColumn="0" w:lastRowLastColumn="0"/>
              <w:rPr>
                <w:sz w:val="20"/>
                <w:szCs w:val="20"/>
              </w:rPr>
            </w:pPr>
            <w:r w:rsidRPr="00720608">
              <w:rPr>
                <w:sz w:val="20"/>
                <w:szCs w:val="20"/>
              </w:rPr>
              <w:t xml:space="preserve">20 </w:t>
            </w:r>
          </w:p>
        </w:tc>
      </w:tr>
    </w:tbl>
    <w:p w14:paraId="1800E447" w14:textId="77777777" w:rsidR="001529CE" w:rsidRDefault="001529CE" w:rsidP="001529CE"/>
    <w:p w14:paraId="7542480A" w14:textId="77777777" w:rsidR="001529CE" w:rsidRDefault="001529CE" w:rsidP="001529CE">
      <w:pPr>
        <w:spacing w:before="0" w:after="0" w:line="240" w:lineRule="auto"/>
      </w:pPr>
      <w:r>
        <w:br w:type="page"/>
      </w:r>
    </w:p>
    <w:p w14:paraId="0AD29615" w14:textId="77777777" w:rsidR="001529CE" w:rsidRDefault="001529CE" w:rsidP="001529CE">
      <w:r>
        <w:lastRenderedPageBreak/>
        <w:t>The increases in speed modelled under the different sensitivity tests in Scenario #2 are expected to result in decreased emissions, as increased vehicle speed results in more efficient driving. The maximum speed modelled under Scenario #2c (27 km/h) is still below 20 mph, such that the ambition of this measure does not compromise safe driving practices, such as speeding.</w:t>
      </w:r>
    </w:p>
    <w:p w14:paraId="4BD44D37" w14:textId="77777777" w:rsidR="001529CE" w:rsidRDefault="001529CE" w:rsidP="001529CE">
      <w:r>
        <w:t>Scenario #5 captures all measure scenarios applicable to the wider region (except for Scenario #2). This measure targets all road emissions sources, and acts as an analogue for modelling the total cumulative impact of all transport measures in the AQAP.</w:t>
      </w:r>
    </w:p>
    <w:p w14:paraId="2AA3098E" w14:textId="77777777" w:rsidR="001529CE" w:rsidRDefault="001529CE" w:rsidP="001529CE">
      <w:r>
        <w:t>The results of the scenario modelling are calculated using multiple adjustment factors:</w:t>
      </w:r>
    </w:p>
    <w:p w14:paraId="4BB24681" w14:textId="63A5C6C9" w:rsidR="001529CE" w:rsidRDefault="001529CE" w:rsidP="00EB191B">
      <w:pPr>
        <w:pStyle w:val="ListParagraph"/>
        <w:numPr>
          <w:ilvl w:val="0"/>
          <w:numId w:val="29"/>
        </w:numPr>
      </w:pPr>
      <w:r>
        <w:t>the global NO</w:t>
      </w:r>
      <w:r w:rsidRPr="00271243">
        <w:rPr>
          <w:vertAlign w:val="subscript"/>
        </w:rPr>
        <w:t>X</w:t>
      </w:r>
      <w:r>
        <w:t xml:space="preserve"> adjustment factor (see App</w:t>
      </w:r>
      <w:r w:rsidRPr="001F53F7">
        <w:t xml:space="preserve">endix </w:t>
      </w:r>
      <w:r w:rsidR="001F53F7" w:rsidRPr="001F53F7">
        <w:t>D</w:t>
      </w:r>
      <w:r w:rsidRPr="001F53F7">
        <w:t>.2.11);</w:t>
      </w:r>
      <w:r>
        <w:t xml:space="preserve"> </w:t>
      </w:r>
    </w:p>
    <w:p w14:paraId="1147AC5E" w14:textId="77777777" w:rsidR="001529CE" w:rsidRDefault="001529CE" w:rsidP="00EB191B">
      <w:pPr>
        <w:pStyle w:val="ListParagraph"/>
        <w:numPr>
          <w:ilvl w:val="0"/>
          <w:numId w:val="29"/>
        </w:numPr>
      </w:pPr>
      <w:r>
        <w:t xml:space="preserve">individual adjustment factors, and </w:t>
      </w:r>
    </w:p>
    <w:p w14:paraId="05AC3C0A" w14:textId="77777777" w:rsidR="001529CE" w:rsidRDefault="001529CE" w:rsidP="00EB191B">
      <w:pPr>
        <w:pStyle w:val="ListParagraph"/>
        <w:numPr>
          <w:ilvl w:val="0"/>
          <w:numId w:val="29"/>
        </w:numPr>
      </w:pPr>
      <w:r>
        <w:t xml:space="preserve">adjustment factors for eastern AQMA 4. </w:t>
      </w:r>
    </w:p>
    <w:p w14:paraId="3B87ED5A" w14:textId="77777777" w:rsidR="001529CE" w:rsidRDefault="001529CE" w:rsidP="001529CE">
      <w:pPr>
        <w:pStyle w:val="Heading5"/>
      </w:pPr>
      <w:r>
        <w:t>Global adjustment factor</w:t>
      </w:r>
    </w:p>
    <w:p w14:paraId="68A9657E" w14:textId="372EB9F7" w:rsidR="001529CE" w:rsidRPr="00271243" w:rsidRDefault="001529CE" w:rsidP="001529CE">
      <w:r>
        <w:t>This adjustment factor is used as it is most representative of the entire model domain. It is the most appropriate adjustment factor when considering the average impact of each measure scenario across Slough.</w:t>
      </w:r>
    </w:p>
    <w:p w14:paraId="45A77DC5" w14:textId="77777777" w:rsidR="001529CE" w:rsidRDefault="001529CE" w:rsidP="001529CE">
      <w:pPr>
        <w:pStyle w:val="Heading5"/>
      </w:pPr>
      <w:r>
        <w:t>Individual adjustment factor</w:t>
      </w:r>
    </w:p>
    <w:p w14:paraId="4590D717" w14:textId="77777777" w:rsidR="001529CE" w:rsidRPr="00720608" w:rsidRDefault="001529CE" w:rsidP="001529CE">
      <w:r>
        <w:t>This adjustment factor is used to show the impact of measures for each specific monitoring site. It is most suitable when comparing against the 2022 measured NO</w:t>
      </w:r>
      <w:r w:rsidRPr="00720608">
        <w:rPr>
          <w:vertAlign w:val="subscript"/>
        </w:rPr>
        <w:t>2</w:t>
      </w:r>
      <w:r>
        <w:rPr>
          <w:vertAlign w:val="subscript"/>
        </w:rPr>
        <w:t xml:space="preserve"> </w:t>
      </w:r>
      <w:r>
        <w:t>concentrations, as the baseline NO</w:t>
      </w:r>
      <w:r w:rsidRPr="00720608">
        <w:rPr>
          <w:vertAlign w:val="subscript"/>
        </w:rPr>
        <w:t>2</w:t>
      </w:r>
      <w:r>
        <w:t xml:space="preserve"> has been adjusted to be exactly equitable.</w:t>
      </w:r>
    </w:p>
    <w:p w14:paraId="6098761B" w14:textId="77777777" w:rsidR="001529CE" w:rsidRDefault="001529CE" w:rsidP="001529CE">
      <w:pPr>
        <w:pStyle w:val="Heading5"/>
      </w:pPr>
      <w:r>
        <w:t>AQMA 4 adjustment factor</w:t>
      </w:r>
    </w:p>
    <w:p w14:paraId="53F7C119" w14:textId="77777777" w:rsidR="001529CE" w:rsidRPr="00223EF4" w:rsidRDefault="001529CE" w:rsidP="001529CE">
      <w:r>
        <w:t>The specific adjustment factor for AQMA 4 is used to assess the effectiveness of Scenario #2, in which congestion is eased at the Yew Tree Road junction in the east of AQMA 4. It is modelled from five sites (SLO29, SLO40, SLO26, SLO5 and SLH10) around the roundabout intersected by Wellington Street and Uxbridge Road within AQMA 4. The AQMA</w:t>
      </w:r>
      <w:r>
        <w:rPr>
          <w:noProof/>
        </w:rPr>
        <w:t xml:space="preserve"> adjustment factor (2.2909) has an associated RMSE of 5.83 </w:t>
      </w:r>
      <w:r w:rsidRPr="0092686C">
        <w:rPr>
          <w:noProof/>
        </w:rPr>
        <w:t>µg</w:t>
      </w:r>
      <w:r w:rsidRPr="00B86D45">
        <w:rPr>
          <w:noProof/>
        </w:rPr>
        <w:t>/m</w:t>
      </w:r>
      <w:r w:rsidRPr="003703B8">
        <w:rPr>
          <w:noProof/>
          <w:vertAlign w:val="superscript"/>
        </w:rPr>
        <w:t>3</w:t>
      </w:r>
      <w:r>
        <w:rPr>
          <w:noProof/>
        </w:rPr>
        <w:t xml:space="preserve">, which is comparable with the global adjustment factor (1.7052) of 5.28 </w:t>
      </w:r>
      <w:r w:rsidRPr="0092686C">
        <w:rPr>
          <w:noProof/>
        </w:rPr>
        <w:t>µg</w:t>
      </w:r>
      <w:r w:rsidRPr="00B86D45">
        <w:rPr>
          <w:noProof/>
        </w:rPr>
        <w:t>/m</w:t>
      </w:r>
      <w:r w:rsidRPr="003703B8">
        <w:rPr>
          <w:noProof/>
          <w:vertAlign w:val="superscript"/>
        </w:rPr>
        <w:t>3</w:t>
      </w:r>
      <w:r>
        <w:rPr>
          <w:noProof/>
        </w:rPr>
        <w:t>.</w:t>
      </w:r>
    </w:p>
    <w:p w14:paraId="62B7CD5F" w14:textId="00260C11" w:rsidR="001529CE" w:rsidRDefault="001529CE" w:rsidP="0025036F">
      <w:pPr>
        <w:pStyle w:val="Heading2"/>
        <w:numPr>
          <w:ilvl w:val="1"/>
          <w:numId w:val="75"/>
        </w:numPr>
      </w:pPr>
      <w:bookmarkStart w:id="297" w:name="_Toc160129609"/>
      <w:bookmarkStart w:id="298" w:name="_Toc159264932"/>
      <w:r>
        <w:lastRenderedPageBreak/>
        <w:t>Scenario model results –</w:t>
      </w:r>
      <w:r w:rsidR="002A6503">
        <w:t xml:space="preserve"> Nitrogen Dioxide</w:t>
      </w:r>
      <w:bookmarkEnd w:id="297"/>
      <w:r w:rsidR="002A6503">
        <w:t xml:space="preserve"> </w:t>
      </w:r>
      <w:bookmarkEnd w:id="298"/>
    </w:p>
    <w:p w14:paraId="404EA7ED" w14:textId="591B0D76" w:rsidR="001529CE" w:rsidRDefault="001529CE" w:rsidP="001529CE">
      <w:r>
        <w:t>The average results of the scenario modelling are presented in Tables 4-4, 4-5 and 4-6 for each adjustment factor described in Appendi</w:t>
      </w:r>
      <w:r w:rsidRPr="001F53F7">
        <w:t xml:space="preserve">x </w:t>
      </w:r>
      <w:r w:rsidR="00887760" w:rsidRPr="001F53F7">
        <w:t>D</w:t>
      </w:r>
      <w:r w:rsidRPr="001F53F7">
        <w:t>.4.2.</w:t>
      </w:r>
      <w:r>
        <w:t xml:space="preserve"> </w:t>
      </w:r>
    </w:p>
    <w:p w14:paraId="248D16F3" w14:textId="23AC5BBB" w:rsidR="001529CE" w:rsidRDefault="001529CE" w:rsidP="001529CE">
      <w:r>
        <w:t>The average measured NO</w:t>
      </w:r>
      <w:r w:rsidRPr="0034345A">
        <w:rPr>
          <w:vertAlign w:val="subscript"/>
        </w:rPr>
        <w:t>2</w:t>
      </w:r>
      <w:r>
        <w:t xml:space="preserve"> concentration is shown as the average of all relevant monitoring sites in Slough considered in the 2022 baseline study (Appendix </w:t>
      </w:r>
      <w:r w:rsidR="00887760" w:rsidRPr="001F53F7">
        <w:t>D</w:t>
      </w:r>
      <w:r w:rsidRPr="001F53F7">
        <w:t>.2).</w:t>
      </w:r>
      <w:r>
        <w:t xml:space="preserve"> The modelled NO</w:t>
      </w:r>
      <w:r w:rsidRPr="0034345A">
        <w:rPr>
          <w:vertAlign w:val="subscript"/>
        </w:rPr>
        <w:t>2</w:t>
      </w:r>
      <w:r>
        <w:t xml:space="preserve"> concentrations under each scenario is the resultant average after the implementation of each set of air quality measures. The measured and modelled NO</w:t>
      </w:r>
      <w:r w:rsidRPr="00285391">
        <w:rPr>
          <w:vertAlign w:val="subscript"/>
        </w:rPr>
        <w:t>2</w:t>
      </w:r>
      <w:r>
        <w:t xml:space="preserve"> are shown in yellow if within 20% of the NO</w:t>
      </w:r>
      <w:r w:rsidRPr="00285391">
        <w:rPr>
          <w:vertAlign w:val="subscript"/>
        </w:rPr>
        <w:t>2</w:t>
      </w:r>
      <w:r>
        <w:t xml:space="preserve"> air quality objective (i.e. 32 µg/m</w:t>
      </w:r>
      <w:r w:rsidRPr="00285391">
        <w:rPr>
          <w:vertAlign w:val="superscript"/>
        </w:rPr>
        <w:t>3</w:t>
      </w:r>
      <w:r>
        <w:t xml:space="preserve">), and green if below this. </w:t>
      </w:r>
    </w:p>
    <w:p w14:paraId="53B638AD" w14:textId="77777777" w:rsidR="001529CE" w:rsidRDefault="001529CE" w:rsidP="001529CE">
      <w:r>
        <w:t>The change from the baseline is highlighted green, with vibrancy proportional to the magnitude of the change in baseline. Scenario #2 is shown only in Table 4-6, as the impact on the measure is specific to AQMA 4. It is evident from Tables 4-4 and 4-5 that all measure scenarios are expected to result in a reduction in NO</w:t>
      </w:r>
      <w:r w:rsidRPr="001B21A6">
        <w:rPr>
          <w:vertAlign w:val="subscript"/>
        </w:rPr>
        <w:t>2</w:t>
      </w:r>
      <w:r>
        <w:t xml:space="preserve"> concentrations across the entire borough.</w:t>
      </w:r>
    </w:p>
    <w:p w14:paraId="10A91ADE" w14:textId="77777777" w:rsidR="001529CE" w:rsidRPr="001B21A6" w:rsidRDefault="001529CE" w:rsidP="001529CE">
      <w:r>
        <w:t>Table 4-4 shows that Scenario #5 (all measures) is expected to lead to the greatest reduction of NO</w:t>
      </w:r>
      <w:r w:rsidRPr="001B21A6">
        <w:rPr>
          <w:vertAlign w:val="subscript"/>
        </w:rPr>
        <w:t>2</w:t>
      </w:r>
      <w:r>
        <w:t xml:space="preserve"> at 9.4% (an improvement of 2.29 µg/m</w:t>
      </w:r>
      <w:r w:rsidRPr="001B21A6">
        <w:rPr>
          <w:vertAlign w:val="superscript"/>
        </w:rPr>
        <w:t>3</w:t>
      </w:r>
      <w:r>
        <w:t>). This is attributed mainly to the contributions from modal shift (from passenger cars to active travel), and EV transition (Scenario #1) at 6.0%, as well as smaller contributions from enforcing minimum Euro VI standards for LGVs and HGVs (Scenario #3) at 1.9%, and transition to ZEV buses (Scenario #4) at 1.5%.</w:t>
      </w:r>
    </w:p>
    <w:p w14:paraId="42787E35" w14:textId="77777777" w:rsidR="001529CE" w:rsidRDefault="001529CE" w:rsidP="001529CE">
      <w:r>
        <w:t>The sensitivity tests from Scenario #1 shows that increasing uptake of ZEV cars is proportional to an increased reduction of NO</w:t>
      </w:r>
      <w:r w:rsidRPr="00285391">
        <w:rPr>
          <w:vertAlign w:val="subscript"/>
        </w:rPr>
        <w:t>2</w:t>
      </w:r>
      <w:r>
        <w:t>. Similarly, Table 4-6 (AQMA 4) shows that the average emissions reduction achieved by Scenario #2 is proportional to the increase in speed, and thus reduction of congestion.</w:t>
      </w:r>
    </w:p>
    <w:p w14:paraId="238E7CA4" w14:textId="4EA994E8" w:rsidR="001529CE" w:rsidRDefault="001529CE" w:rsidP="001529CE">
      <w:r>
        <w:t>From Figure 4-A, it is evident that, when using the individual adjustment factors, bringing site SLO 29 (44.2 µg/m</w:t>
      </w:r>
      <w:r w:rsidRPr="00D73EE9">
        <w:rPr>
          <w:vertAlign w:val="superscript"/>
        </w:rPr>
        <w:t>3</w:t>
      </w:r>
      <w:r>
        <w:t>) into compliance with NO</w:t>
      </w:r>
      <w:r w:rsidRPr="00720608">
        <w:rPr>
          <w:vertAlign w:val="subscript"/>
        </w:rPr>
        <w:t>2</w:t>
      </w:r>
      <w:r>
        <w:t xml:space="preserve"> air quality objective can only be achieved under Scenario #5 (36.1 µg/m</w:t>
      </w:r>
      <w:r w:rsidRPr="001B21A6">
        <w:rPr>
          <w:vertAlign w:val="superscript"/>
        </w:rPr>
        <w:t>3</w:t>
      </w:r>
      <w:r>
        <w:t>). This shows the greatest improvement in NO</w:t>
      </w:r>
      <w:r w:rsidRPr="004328B5">
        <w:rPr>
          <w:vertAlign w:val="subscript"/>
        </w:rPr>
        <w:t>2</w:t>
      </w:r>
      <w:r>
        <w:t xml:space="preserve"> concentrations, with a reduction of 8.1µg/m</w:t>
      </w:r>
      <w:r w:rsidRPr="001B21A6">
        <w:rPr>
          <w:vertAlign w:val="superscript"/>
        </w:rPr>
        <w:t>3</w:t>
      </w:r>
      <w:r>
        <w:t>, or 18.4%. Figure 4-A also shows that measures under Scenario #2 result in observable decreases at SLO</w:t>
      </w:r>
      <w:r w:rsidR="002A6503">
        <w:t xml:space="preserve"> </w:t>
      </w:r>
      <w:r>
        <w:t xml:space="preserve">29 only.  This shows the necessity of implementing all measures in the AQAP in order to achieve and maintain compliance. </w:t>
      </w:r>
    </w:p>
    <w:p w14:paraId="2C505AB3" w14:textId="77777777" w:rsidR="001529CE" w:rsidRDefault="001529CE" w:rsidP="001529CE">
      <w:r>
        <w:lastRenderedPageBreak/>
        <w:t>The absolute and relative change in NO</w:t>
      </w:r>
      <w:r w:rsidRPr="00E24CDC">
        <w:rPr>
          <w:vertAlign w:val="subscript"/>
        </w:rPr>
        <w:t>2</w:t>
      </w:r>
      <w:r>
        <w:t xml:space="preserve"> concentrations for each scenario and each adjustment factor are shown in Appendix 3 Annex II.</w:t>
      </w:r>
    </w:p>
    <w:p w14:paraId="21B44492" w14:textId="77777777" w:rsidR="001529CE" w:rsidRPr="00D73EE9" w:rsidRDefault="001529CE" w:rsidP="001529CE">
      <w:pPr>
        <w:sectPr w:rsidR="001529CE" w:rsidRPr="00D73EE9" w:rsidSect="004E54A8">
          <w:pgSz w:w="11906" w:h="16838" w:code="9"/>
          <w:pgMar w:top="1474" w:right="1418" w:bottom="1134" w:left="1418" w:header="964" w:footer="454" w:gutter="0"/>
          <w:cols w:space="708"/>
          <w:docGrid w:linePitch="360"/>
        </w:sectPr>
      </w:pPr>
    </w:p>
    <w:p w14:paraId="1BB749B7" w14:textId="77777777" w:rsidR="001529CE" w:rsidRPr="00720608" w:rsidRDefault="001529CE" w:rsidP="00887760">
      <w:pPr>
        <w:pStyle w:val="Tables"/>
      </w:pPr>
      <w:bookmarkStart w:id="299" w:name="_Toc159264947"/>
      <w:bookmarkStart w:id="300" w:name="_Toc160123589"/>
      <w:bookmarkStart w:id="301" w:name="_Toc160123805"/>
      <w:bookmarkStart w:id="302" w:name="_Toc160128571"/>
      <w:r w:rsidRPr="00720608">
        <w:lastRenderedPageBreak/>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4</w:t>
      </w:r>
      <w:r w:rsidR="000F4CA1">
        <w:rPr>
          <w:noProof/>
        </w:rPr>
        <w:fldChar w:fldCharType="end"/>
      </w:r>
      <w:r w:rsidRPr="00720608">
        <w:t xml:space="preserve"> – scenario modelling NO</w:t>
      </w:r>
      <w:r w:rsidRPr="00720608">
        <w:rPr>
          <w:vertAlign w:val="subscript"/>
        </w:rPr>
        <w:t xml:space="preserve">2 </w:t>
      </w:r>
      <w:r w:rsidRPr="00720608">
        <w:t>concentrations across Slough (using global adjustment factor).</w:t>
      </w:r>
      <w:bookmarkEnd w:id="299"/>
      <w:bookmarkEnd w:id="300"/>
      <w:bookmarkEnd w:id="301"/>
      <w:bookmarkEnd w:id="302"/>
      <w:r w:rsidRPr="00720608">
        <w:t xml:space="preserve"> </w:t>
      </w:r>
    </w:p>
    <w:tbl>
      <w:tblPr>
        <w:tblW w:w="11000" w:type="dxa"/>
        <w:tblLook w:val="04A0" w:firstRow="1" w:lastRow="0" w:firstColumn="1" w:lastColumn="0" w:noHBand="0" w:noVBand="1"/>
      </w:tblPr>
      <w:tblGrid>
        <w:gridCol w:w="3534"/>
        <w:gridCol w:w="2047"/>
        <w:gridCol w:w="904"/>
        <w:gridCol w:w="903"/>
        <w:gridCol w:w="903"/>
        <w:gridCol w:w="903"/>
        <w:gridCol w:w="903"/>
        <w:gridCol w:w="903"/>
      </w:tblGrid>
      <w:tr w:rsidR="001529CE" w:rsidRPr="00720608" w14:paraId="1BB1145F" w14:textId="77777777" w:rsidTr="007B10BD">
        <w:trPr>
          <w:trHeight w:val="288"/>
        </w:trPr>
        <w:tc>
          <w:tcPr>
            <w:tcW w:w="3534" w:type="dxa"/>
            <w:vMerge w:val="restart"/>
            <w:tcBorders>
              <w:top w:val="single" w:sz="8" w:space="0" w:color="auto"/>
              <w:left w:val="single" w:sz="8" w:space="0" w:color="auto"/>
              <w:right w:val="single" w:sz="8" w:space="0" w:color="auto"/>
            </w:tcBorders>
            <w:shd w:val="clear" w:color="auto" w:fill="008938"/>
            <w:noWrap/>
            <w:vAlign w:val="bottom"/>
            <w:hideMark/>
          </w:tcPr>
          <w:p w14:paraId="6193BF8E"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sidRPr="00285391">
              <w:rPr>
                <w:rFonts w:cs="Arial"/>
                <w:b/>
                <w:bCs/>
                <w:color w:val="FFFFFF" w:themeColor="background1"/>
                <w:sz w:val="20"/>
                <w:szCs w:val="20"/>
                <w:lang w:eastAsia="en-GB"/>
              </w:rPr>
              <w:t>Average Measured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w:t>
            </w:r>
          </w:p>
          <w:p w14:paraId="7C288EC3"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p>
        </w:tc>
        <w:tc>
          <w:tcPr>
            <w:tcW w:w="7466" w:type="dxa"/>
            <w:gridSpan w:val="7"/>
            <w:tcBorders>
              <w:top w:val="single" w:sz="8" w:space="0" w:color="auto"/>
              <w:left w:val="nil"/>
              <w:bottom w:val="single" w:sz="8" w:space="0" w:color="auto"/>
              <w:right w:val="single" w:sz="8" w:space="0" w:color="000000"/>
            </w:tcBorders>
            <w:shd w:val="clear" w:color="auto" w:fill="008938"/>
            <w:noWrap/>
            <w:vAlign w:val="bottom"/>
            <w:hideMark/>
          </w:tcPr>
          <w:p w14:paraId="3AF9C96C"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sidRPr="00285391">
              <w:rPr>
                <w:rFonts w:cs="Arial"/>
                <w:b/>
                <w:bCs/>
                <w:color w:val="FFFFFF" w:themeColor="background1"/>
                <w:sz w:val="20"/>
                <w:szCs w:val="20"/>
                <w:lang w:eastAsia="en-GB"/>
              </w:rPr>
              <w:t>Average Modelled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 by scenario</w:t>
            </w:r>
          </w:p>
        </w:tc>
      </w:tr>
      <w:tr w:rsidR="001529CE" w:rsidRPr="00720608" w14:paraId="7732540A" w14:textId="77777777" w:rsidTr="007B10BD">
        <w:trPr>
          <w:trHeight w:val="288"/>
        </w:trPr>
        <w:tc>
          <w:tcPr>
            <w:tcW w:w="3534" w:type="dxa"/>
            <w:vMerge/>
            <w:tcBorders>
              <w:left w:val="single" w:sz="8" w:space="0" w:color="auto"/>
              <w:bottom w:val="nil"/>
              <w:right w:val="single" w:sz="8" w:space="0" w:color="auto"/>
            </w:tcBorders>
            <w:shd w:val="clear" w:color="auto" w:fill="008938"/>
            <w:noWrap/>
            <w:vAlign w:val="bottom"/>
            <w:hideMark/>
          </w:tcPr>
          <w:p w14:paraId="736735B5" w14:textId="77777777" w:rsidR="001529CE" w:rsidRPr="00285391" w:rsidRDefault="001529CE" w:rsidP="007B10BD">
            <w:pPr>
              <w:spacing w:before="0" w:after="0" w:line="240" w:lineRule="auto"/>
              <w:jc w:val="center"/>
              <w:rPr>
                <w:rFonts w:cs="Arial"/>
                <w:b/>
                <w:bCs/>
                <w:color w:val="000000"/>
                <w:sz w:val="20"/>
                <w:szCs w:val="20"/>
                <w:lang w:eastAsia="en-GB"/>
              </w:rPr>
            </w:pPr>
          </w:p>
        </w:tc>
        <w:tc>
          <w:tcPr>
            <w:tcW w:w="2047" w:type="dxa"/>
            <w:tcBorders>
              <w:top w:val="nil"/>
              <w:left w:val="nil"/>
              <w:bottom w:val="nil"/>
              <w:right w:val="nil"/>
            </w:tcBorders>
            <w:shd w:val="clear" w:color="auto" w:fill="auto"/>
            <w:noWrap/>
            <w:vAlign w:val="bottom"/>
            <w:hideMark/>
          </w:tcPr>
          <w:p w14:paraId="59845F9B" w14:textId="77777777" w:rsidR="001529CE" w:rsidRPr="00720608" w:rsidRDefault="001529CE" w:rsidP="007B10BD">
            <w:pPr>
              <w:spacing w:before="0" w:after="0" w:line="240" w:lineRule="auto"/>
              <w:rPr>
                <w:rFonts w:cs="Arial"/>
                <w:sz w:val="20"/>
                <w:szCs w:val="20"/>
                <w:lang w:eastAsia="en-GB"/>
              </w:rPr>
            </w:pPr>
            <w:r w:rsidRPr="00720608">
              <w:rPr>
                <w:rFonts w:cs="Arial"/>
                <w:sz w:val="20"/>
                <w:szCs w:val="20"/>
                <w:lang w:eastAsia="en-GB"/>
              </w:rPr>
              <w:t>Baseline (Global)</w:t>
            </w:r>
          </w:p>
        </w:tc>
        <w:tc>
          <w:tcPr>
            <w:tcW w:w="904" w:type="dxa"/>
            <w:tcBorders>
              <w:top w:val="nil"/>
              <w:left w:val="nil"/>
              <w:bottom w:val="nil"/>
              <w:right w:val="nil"/>
            </w:tcBorders>
            <w:shd w:val="clear" w:color="auto" w:fill="auto"/>
            <w:noWrap/>
            <w:vAlign w:val="bottom"/>
            <w:hideMark/>
          </w:tcPr>
          <w:p w14:paraId="4654AB14"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#1a</w:t>
            </w:r>
          </w:p>
        </w:tc>
        <w:tc>
          <w:tcPr>
            <w:tcW w:w="903" w:type="dxa"/>
            <w:tcBorders>
              <w:top w:val="nil"/>
              <w:left w:val="nil"/>
              <w:bottom w:val="nil"/>
              <w:right w:val="nil"/>
            </w:tcBorders>
            <w:shd w:val="clear" w:color="auto" w:fill="auto"/>
            <w:noWrap/>
            <w:vAlign w:val="bottom"/>
            <w:hideMark/>
          </w:tcPr>
          <w:p w14:paraId="3933FC14"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#1b</w:t>
            </w:r>
          </w:p>
        </w:tc>
        <w:tc>
          <w:tcPr>
            <w:tcW w:w="903" w:type="dxa"/>
            <w:tcBorders>
              <w:top w:val="nil"/>
              <w:left w:val="nil"/>
              <w:bottom w:val="nil"/>
              <w:right w:val="nil"/>
            </w:tcBorders>
            <w:shd w:val="clear" w:color="auto" w:fill="auto"/>
            <w:noWrap/>
            <w:vAlign w:val="bottom"/>
            <w:hideMark/>
          </w:tcPr>
          <w:p w14:paraId="1A5A4EA1"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#1c</w:t>
            </w:r>
          </w:p>
        </w:tc>
        <w:tc>
          <w:tcPr>
            <w:tcW w:w="903" w:type="dxa"/>
            <w:tcBorders>
              <w:top w:val="nil"/>
              <w:left w:val="nil"/>
              <w:bottom w:val="nil"/>
              <w:right w:val="nil"/>
            </w:tcBorders>
            <w:shd w:val="clear" w:color="auto" w:fill="auto"/>
            <w:noWrap/>
            <w:vAlign w:val="bottom"/>
            <w:hideMark/>
          </w:tcPr>
          <w:p w14:paraId="15873548"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#3</w:t>
            </w:r>
          </w:p>
        </w:tc>
        <w:tc>
          <w:tcPr>
            <w:tcW w:w="903" w:type="dxa"/>
            <w:tcBorders>
              <w:top w:val="nil"/>
              <w:left w:val="nil"/>
              <w:bottom w:val="nil"/>
              <w:right w:val="nil"/>
            </w:tcBorders>
            <w:shd w:val="clear" w:color="auto" w:fill="auto"/>
            <w:noWrap/>
            <w:vAlign w:val="bottom"/>
            <w:hideMark/>
          </w:tcPr>
          <w:p w14:paraId="7F13C6DF"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#4</w:t>
            </w:r>
          </w:p>
        </w:tc>
        <w:tc>
          <w:tcPr>
            <w:tcW w:w="903" w:type="dxa"/>
            <w:tcBorders>
              <w:top w:val="nil"/>
              <w:left w:val="nil"/>
              <w:bottom w:val="nil"/>
              <w:right w:val="single" w:sz="8" w:space="0" w:color="auto"/>
            </w:tcBorders>
            <w:shd w:val="clear" w:color="auto" w:fill="auto"/>
            <w:noWrap/>
            <w:vAlign w:val="bottom"/>
            <w:hideMark/>
          </w:tcPr>
          <w:p w14:paraId="34C1504C"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#5</w:t>
            </w:r>
          </w:p>
        </w:tc>
      </w:tr>
      <w:tr w:rsidR="001529CE" w:rsidRPr="00720608" w14:paraId="276AE099" w14:textId="77777777" w:rsidTr="007B10BD">
        <w:trPr>
          <w:trHeight w:val="288"/>
        </w:trPr>
        <w:tc>
          <w:tcPr>
            <w:tcW w:w="3534" w:type="dxa"/>
            <w:tcBorders>
              <w:top w:val="nil"/>
              <w:left w:val="single" w:sz="8" w:space="0" w:color="auto"/>
              <w:bottom w:val="nil"/>
              <w:right w:val="single" w:sz="8" w:space="0" w:color="auto"/>
            </w:tcBorders>
            <w:shd w:val="clear" w:color="000000" w:fill="C6E0B4"/>
            <w:noWrap/>
            <w:vAlign w:val="bottom"/>
            <w:hideMark/>
          </w:tcPr>
          <w:p w14:paraId="60CEFB11" w14:textId="77777777" w:rsidR="001529CE" w:rsidRPr="00720608" w:rsidRDefault="001529CE" w:rsidP="007B10BD">
            <w:pPr>
              <w:spacing w:before="0" w:after="0" w:line="240" w:lineRule="auto"/>
              <w:jc w:val="center"/>
              <w:rPr>
                <w:rFonts w:cs="Arial"/>
                <w:color w:val="000000"/>
                <w:sz w:val="20"/>
                <w:szCs w:val="20"/>
                <w:lang w:eastAsia="en-GB"/>
              </w:rPr>
            </w:pPr>
            <w:r w:rsidRPr="00720608">
              <w:rPr>
                <w:rFonts w:cs="Arial"/>
                <w:color w:val="000000"/>
                <w:sz w:val="20"/>
                <w:szCs w:val="20"/>
                <w:lang w:eastAsia="en-GB"/>
              </w:rPr>
              <w:t>25.45</w:t>
            </w:r>
          </w:p>
        </w:tc>
        <w:tc>
          <w:tcPr>
            <w:tcW w:w="2047" w:type="dxa"/>
            <w:tcBorders>
              <w:top w:val="nil"/>
              <w:left w:val="single" w:sz="8" w:space="0" w:color="auto"/>
              <w:bottom w:val="nil"/>
              <w:right w:val="nil"/>
            </w:tcBorders>
            <w:shd w:val="clear" w:color="000000" w:fill="C6E0B4"/>
            <w:noWrap/>
            <w:vAlign w:val="bottom"/>
            <w:hideMark/>
          </w:tcPr>
          <w:p w14:paraId="7F82A9B1"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24.46</w:t>
            </w:r>
          </w:p>
        </w:tc>
        <w:tc>
          <w:tcPr>
            <w:tcW w:w="904" w:type="dxa"/>
            <w:tcBorders>
              <w:top w:val="nil"/>
              <w:left w:val="nil"/>
              <w:bottom w:val="nil"/>
              <w:right w:val="nil"/>
            </w:tcBorders>
            <w:shd w:val="clear" w:color="000000" w:fill="C6E0B4"/>
            <w:noWrap/>
            <w:vAlign w:val="bottom"/>
            <w:hideMark/>
          </w:tcPr>
          <w:p w14:paraId="52B4E86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23.95</w:t>
            </w:r>
          </w:p>
        </w:tc>
        <w:tc>
          <w:tcPr>
            <w:tcW w:w="903" w:type="dxa"/>
            <w:tcBorders>
              <w:top w:val="nil"/>
              <w:left w:val="nil"/>
              <w:bottom w:val="nil"/>
              <w:right w:val="nil"/>
            </w:tcBorders>
            <w:shd w:val="clear" w:color="000000" w:fill="C6E0B4"/>
            <w:noWrap/>
            <w:vAlign w:val="bottom"/>
            <w:hideMark/>
          </w:tcPr>
          <w:p w14:paraId="0145AAF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23.24</w:t>
            </w:r>
          </w:p>
        </w:tc>
        <w:tc>
          <w:tcPr>
            <w:tcW w:w="903" w:type="dxa"/>
            <w:tcBorders>
              <w:top w:val="nil"/>
              <w:left w:val="nil"/>
              <w:bottom w:val="nil"/>
              <w:right w:val="nil"/>
            </w:tcBorders>
            <w:shd w:val="clear" w:color="000000" w:fill="C6E0B4"/>
            <w:noWrap/>
            <w:vAlign w:val="bottom"/>
            <w:hideMark/>
          </w:tcPr>
          <w:p w14:paraId="68BD7C62"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23.00</w:t>
            </w:r>
          </w:p>
        </w:tc>
        <w:tc>
          <w:tcPr>
            <w:tcW w:w="903" w:type="dxa"/>
            <w:tcBorders>
              <w:top w:val="nil"/>
              <w:left w:val="nil"/>
              <w:bottom w:val="nil"/>
              <w:right w:val="nil"/>
            </w:tcBorders>
            <w:shd w:val="clear" w:color="000000" w:fill="C6E0B4"/>
            <w:noWrap/>
            <w:vAlign w:val="bottom"/>
            <w:hideMark/>
          </w:tcPr>
          <w:p w14:paraId="4859989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24.00</w:t>
            </w:r>
          </w:p>
        </w:tc>
        <w:tc>
          <w:tcPr>
            <w:tcW w:w="903" w:type="dxa"/>
            <w:tcBorders>
              <w:top w:val="nil"/>
              <w:left w:val="nil"/>
              <w:bottom w:val="nil"/>
              <w:right w:val="nil"/>
            </w:tcBorders>
            <w:shd w:val="clear" w:color="000000" w:fill="C6E0B4"/>
            <w:noWrap/>
            <w:vAlign w:val="bottom"/>
            <w:hideMark/>
          </w:tcPr>
          <w:p w14:paraId="303FA7C2"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24.15</w:t>
            </w:r>
          </w:p>
        </w:tc>
        <w:tc>
          <w:tcPr>
            <w:tcW w:w="903" w:type="dxa"/>
            <w:tcBorders>
              <w:top w:val="nil"/>
              <w:left w:val="nil"/>
              <w:bottom w:val="nil"/>
              <w:right w:val="single" w:sz="8" w:space="0" w:color="auto"/>
            </w:tcBorders>
            <w:shd w:val="clear" w:color="000000" w:fill="C6E0B4"/>
            <w:noWrap/>
            <w:vAlign w:val="bottom"/>
            <w:hideMark/>
          </w:tcPr>
          <w:p w14:paraId="15137B3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22.17</w:t>
            </w:r>
          </w:p>
        </w:tc>
      </w:tr>
      <w:tr w:rsidR="001529CE" w:rsidRPr="00720608" w14:paraId="6D2EDCD4" w14:textId="77777777" w:rsidTr="007B10BD">
        <w:trPr>
          <w:trHeight w:val="288"/>
        </w:trPr>
        <w:tc>
          <w:tcPr>
            <w:tcW w:w="5581" w:type="dxa"/>
            <w:gridSpan w:val="2"/>
            <w:vMerge w:val="restart"/>
            <w:tcBorders>
              <w:top w:val="single" w:sz="8" w:space="0" w:color="auto"/>
              <w:left w:val="single" w:sz="8" w:space="0" w:color="auto"/>
              <w:right w:val="nil"/>
            </w:tcBorders>
            <w:shd w:val="clear" w:color="auto" w:fill="008938"/>
            <w:noWrap/>
            <w:vAlign w:val="center"/>
            <w:hideMark/>
          </w:tcPr>
          <w:p w14:paraId="4A370B79" w14:textId="77777777" w:rsidR="001529CE" w:rsidRPr="00285391" w:rsidRDefault="001529CE" w:rsidP="007B10BD">
            <w:pPr>
              <w:spacing w:before="0" w:after="0" w:line="240" w:lineRule="auto"/>
              <w:jc w:val="right"/>
              <w:rPr>
                <w:rFonts w:cs="Arial"/>
                <w:b/>
                <w:bCs/>
                <w:color w:val="FFFFFF" w:themeColor="background1"/>
                <w:sz w:val="20"/>
                <w:szCs w:val="20"/>
                <w:lang w:eastAsia="en-GB"/>
              </w:rPr>
            </w:pPr>
            <w:r w:rsidRPr="00285391">
              <w:rPr>
                <w:rFonts w:cs="Arial"/>
                <w:b/>
                <w:bCs/>
                <w:color w:val="FFFFFF" w:themeColor="background1"/>
                <w:sz w:val="20"/>
                <w:szCs w:val="20"/>
                <w:lang w:eastAsia="en-GB"/>
              </w:rPr>
              <w:t>Change from Baseline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w:t>
            </w:r>
          </w:p>
          <w:p w14:paraId="3CBFFC25" w14:textId="77777777" w:rsidR="001529CE" w:rsidRPr="00720608" w:rsidRDefault="001529CE" w:rsidP="007B10BD">
            <w:pPr>
              <w:spacing w:before="0" w:after="0" w:line="240" w:lineRule="auto"/>
              <w:jc w:val="right"/>
              <w:rPr>
                <w:rFonts w:cs="Arial"/>
                <w:color w:val="000000"/>
                <w:sz w:val="20"/>
                <w:szCs w:val="20"/>
                <w:lang w:eastAsia="en-GB"/>
              </w:rPr>
            </w:pPr>
            <w:r w:rsidRPr="00285391">
              <w:rPr>
                <w:rFonts w:cs="Arial"/>
                <w:b/>
                <w:bCs/>
                <w:color w:val="FFFFFF" w:themeColor="background1"/>
                <w:sz w:val="20"/>
                <w:szCs w:val="20"/>
                <w:lang w:eastAsia="en-GB"/>
              </w:rPr>
              <w:t>Change from Baseline (%)</w:t>
            </w:r>
          </w:p>
        </w:tc>
        <w:tc>
          <w:tcPr>
            <w:tcW w:w="904" w:type="dxa"/>
            <w:tcBorders>
              <w:top w:val="single" w:sz="8" w:space="0" w:color="auto"/>
              <w:left w:val="nil"/>
              <w:bottom w:val="nil"/>
              <w:right w:val="nil"/>
            </w:tcBorders>
            <w:shd w:val="clear" w:color="000000" w:fill="F2F7EE"/>
            <w:noWrap/>
            <w:vAlign w:val="bottom"/>
            <w:hideMark/>
          </w:tcPr>
          <w:p w14:paraId="2C38F37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-0.51</w:t>
            </w:r>
          </w:p>
        </w:tc>
        <w:tc>
          <w:tcPr>
            <w:tcW w:w="903" w:type="dxa"/>
            <w:tcBorders>
              <w:top w:val="single" w:sz="8" w:space="0" w:color="auto"/>
              <w:left w:val="nil"/>
              <w:bottom w:val="nil"/>
              <w:right w:val="nil"/>
            </w:tcBorders>
            <w:shd w:val="clear" w:color="000000" w:fill="D3F1CB"/>
            <w:noWrap/>
            <w:vAlign w:val="bottom"/>
            <w:hideMark/>
          </w:tcPr>
          <w:p w14:paraId="1FE0851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-1.22</w:t>
            </w:r>
          </w:p>
        </w:tc>
        <w:tc>
          <w:tcPr>
            <w:tcW w:w="903" w:type="dxa"/>
            <w:tcBorders>
              <w:top w:val="single" w:sz="8" w:space="0" w:color="auto"/>
              <w:left w:val="nil"/>
              <w:bottom w:val="nil"/>
              <w:right w:val="nil"/>
            </w:tcBorders>
            <w:shd w:val="clear" w:color="000000" w:fill="A2F49D"/>
            <w:noWrap/>
            <w:vAlign w:val="bottom"/>
            <w:hideMark/>
          </w:tcPr>
          <w:p w14:paraId="035E253D"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-1.47</w:t>
            </w:r>
          </w:p>
        </w:tc>
        <w:tc>
          <w:tcPr>
            <w:tcW w:w="903" w:type="dxa"/>
            <w:tcBorders>
              <w:top w:val="single" w:sz="8" w:space="0" w:color="auto"/>
              <w:left w:val="nil"/>
              <w:bottom w:val="nil"/>
              <w:right w:val="nil"/>
            </w:tcBorders>
            <w:shd w:val="clear" w:color="000000" w:fill="F3F8EF"/>
            <w:noWrap/>
            <w:vAlign w:val="bottom"/>
            <w:hideMark/>
          </w:tcPr>
          <w:p w14:paraId="4DC747E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-0.47</w:t>
            </w:r>
          </w:p>
        </w:tc>
        <w:tc>
          <w:tcPr>
            <w:tcW w:w="903" w:type="dxa"/>
            <w:tcBorders>
              <w:top w:val="single" w:sz="8" w:space="0" w:color="auto"/>
              <w:left w:val="nil"/>
              <w:bottom w:val="nil"/>
              <w:right w:val="nil"/>
            </w:tcBorders>
            <w:shd w:val="clear" w:color="000000" w:fill="F6FAF4"/>
            <w:noWrap/>
            <w:vAlign w:val="bottom"/>
            <w:hideMark/>
          </w:tcPr>
          <w:p w14:paraId="711DA82D"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-0.32</w:t>
            </w:r>
          </w:p>
        </w:tc>
        <w:tc>
          <w:tcPr>
            <w:tcW w:w="903" w:type="dxa"/>
            <w:tcBorders>
              <w:top w:val="single" w:sz="8" w:space="0" w:color="auto"/>
              <w:left w:val="nil"/>
              <w:bottom w:val="nil"/>
              <w:right w:val="single" w:sz="8" w:space="0" w:color="auto"/>
            </w:tcBorders>
            <w:shd w:val="clear" w:color="000000" w:fill="00FF00"/>
            <w:noWrap/>
            <w:vAlign w:val="bottom"/>
            <w:hideMark/>
          </w:tcPr>
          <w:p w14:paraId="19C9C8F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-2.29</w:t>
            </w:r>
          </w:p>
        </w:tc>
      </w:tr>
      <w:tr w:rsidR="001529CE" w:rsidRPr="00720608" w14:paraId="7456F4D7" w14:textId="77777777" w:rsidTr="007B10BD">
        <w:trPr>
          <w:trHeight w:val="288"/>
        </w:trPr>
        <w:tc>
          <w:tcPr>
            <w:tcW w:w="5581" w:type="dxa"/>
            <w:gridSpan w:val="2"/>
            <w:vMerge/>
            <w:tcBorders>
              <w:left w:val="single" w:sz="8" w:space="0" w:color="auto"/>
              <w:bottom w:val="single" w:sz="8" w:space="0" w:color="auto"/>
              <w:right w:val="nil"/>
            </w:tcBorders>
            <w:shd w:val="clear" w:color="auto" w:fill="008938"/>
            <w:noWrap/>
            <w:vAlign w:val="bottom"/>
            <w:hideMark/>
          </w:tcPr>
          <w:p w14:paraId="39DAA6F4" w14:textId="77777777" w:rsidR="001529CE" w:rsidRPr="00720608" w:rsidRDefault="001529CE" w:rsidP="007B10BD">
            <w:pPr>
              <w:spacing w:before="0" w:after="0" w:line="240" w:lineRule="auto"/>
              <w:jc w:val="right"/>
              <w:rPr>
                <w:rFonts w:cs="Arial"/>
                <w:color w:val="000000"/>
                <w:sz w:val="20"/>
                <w:szCs w:val="20"/>
                <w:lang w:eastAsia="en-GB"/>
              </w:rPr>
            </w:pPr>
          </w:p>
        </w:tc>
        <w:tc>
          <w:tcPr>
            <w:tcW w:w="904" w:type="dxa"/>
            <w:tcBorders>
              <w:top w:val="nil"/>
              <w:left w:val="nil"/>
              <w:bottom w:val="single" w:sz="8" w:space="0" w:color="auto"/>
              <w:right w:val="nil"/>
            </w:tcBorders>
            <w:shd w:val="clear" w:color="000000" w:fill="F2F7EE"/>
            <w:noWrap/>
            <w:vAlign w:val="bottom"/>
            <w:hideMark/>
          </w:tcPr>
          <w:p w14:paraId="1443B4E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-2.1%</w:t>
            </w:r>
          </w:p>
        </w:tc>
        <w:tc>
          <w:tcPr>
            <w:tcW w:w="903" w:type="dxa"/>
            <w:tcBorders>
              <w:top w:val="nil"/>
              <w:left w:val="nil"/>
              <w:bottom w:val="single" w:sz="8" w:space="0" w:color="auto"/>
              <w:right w:val="nil"/>
            </w:tcBorders>
            <w:shd w:val="clear" w:color="000000" w:fill="D3F1CB"/>
            <w:noWrap/>
            <w:vAlign w:val="bottom"/>
            <w:hideMark/>
          </w:tcPr>
          <w:p w14:paraId="047F1E91"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-5.0%</w:t>
            </w:r>
          </w:p>
        </w:tc>
        <w:tc>
          <w:tcPr>
            <w:tcW w:w="903" w:type="dxa"/>
            <w:tcBorders>
              <w:top w:val="nil"/>
              <w:left w:val="nil"/>
              <w:bottom w:val="single" w:sz="8" w:space="0" w:color="auto"/>
              <w:right w:val="nil"/>
            </w:tcBorders>
            <w:shd w:val="clear" w:color="000000" w:fill="A2F49D"/>
            <w:noWrap/>
            <w:vAlign w:val="bottom"/>
            <w:hideMark/>
          </w:tcPr>
          <w:p w14:paraId="1BC459B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-6.0%</w:t>
            </w:r>
          </w:p>
        </w:tc>
        <w:tc>
          <w:tcPr>
            <w:tcW w:w="903" w:type="dxa"/>
            <w:tcBorders>
              <w:top w:val="nil"/>
              <w:left w:val="nil"/>
              <w:bottom w:val="single" w:sz="8" w:space="0" w:color="auto"/>
              <w:right w:val="nil"/>
            </w:tcBorders>
            <w:shd w:val="clear" w:color="000000" w:fill="F3F8EF"/>
            <w:noWrap/>
            <w:vAlign w:val="bottom"/>
            <w:hideMark/>
          </w:tcPr>
          <w:p w14:paraId="56B1E445"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-1.9%</w:t>
            </w:r>
          </w:p>
        </w:tc>
        <w:tc>
          <w:tcPr>
            <w:tcW w:w="903" w:type="dxa"/>
            <w:tcBorders>
              <w:top w:val="nil"/>
              <w:left w:val="nil"/>
              <w:bottom w:val="single" w:sz="8" w:space="0" w:color="auto"/>
              <w:right w:val="nil"/>
            </w:tcBorders>
            <w:shd w:val="clear" w:color="000000" w:fill="F6FAF4"/>
            <w:noWrap/>
            <w:vAlign w:val="bottom"/>
            <w:hideMark/>
          </w:tcPr>
          <w:p w14:paraId="018F066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-1.3%</w:t>
            </w:r>
          </w:p>
        </w:tc>
        <w:tc>
          <w:tcPr>
            <w:tcW w:w="903" w:type="dxa"/>
            <w:tcBorders>
              <w:top w:val="nil"/>
              <w:left w:val="nil"/>
              <w:bottom w:val="single" w:sz="8" w:space="0" w:color="auto"/>
              <w:right w:val="single" w:sz="8" w:space="0" w:color="auto"/>
            </w:tcBorders>
            <w:shd w:val="clear" w:color="000000" w:fill="00FF00"/>
            <w:noWrap/>
            <w:vAlign w:val="bottom"/>
            <w:hideMark/>
          </w:tcPr>
          <w:p w14:paraId="66F5875D"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-9.4%</w:t>
            </w:r>
          </w:p>
        </w:tc>
      </w:tr>
    </w:tbl>
    <w:p w14:paraId="46FBE3A7" w14:textId="77777777" w:rsidR="001529CE" w:rsidRPr="00720608" w:rsidRDefault="001529CE" w:rsidP="001529CE">
      <w:pPr>
        <w:rPr>
          <w:rFonts w:cs="Arial"/>
          <w:sz w:val="20"/>
          <w:szCs w:val="20"/>
        </w:rPr>
      </w:pPr>
    </w:p>
    <w:p w14:paraId="485947C6" w14:textId="77777777" w:rsidR="001529CE" w:rsidRPr="00720608" w:rsidRDefault="001529CE" w:rsidP="00887760">
      <w:pPr>
        <w:pStyle w:val="Tables"/>
      </w:pPr>
      <w:bookmarkStart w:id="303" w:name="_Toc159264948"/>
      <w:bookmarkStart w:id="304" w:name="_Toc160123590"/>
      <w:bookmarkStart w:id="305" w:name="_Toc160123806"/>
      <w:bookmarkStart w:id="306" w:name="_Toc160128572"/>
      <w:r w:rsidRPr="00720608">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5</w:t>
      </w:r>
      <w:r w:rsidR="000F4CA1">
        <w:rPr>
          <w:noProof/>
        </w:rPr>
        <w:fldChar w:fldCharType="end"/>
      </w:r>
      <w:r w:rsidRPr="00720608">
        <w:t xml:space="preserve"> - scenario modelling NO</w:t>
      </w:r>
      <w:r w:rsidRPr="00720608">
        <w:rPr>
          <w:vertAlign w:val="subscript"/>
        </w:rPr>
        <w:t xml:space="preserve">2 </w:t>
      </w:r>
      <w:r w:rsidRPr="00720608">
        <w:t>concentrations across Slough (using individual adjustment factors)</w:t>
      </w:r>
      <w:bookmarkEnd w:id="303"/>
      <w:bookmarkEnd w:id="304"/>
      <w:bookmarkEnd w:id="305"/>
      <w:bookmarkEnd w:id="306"/>
      <w:r w:rsidRPr="00720608">
        <w:t xml:space="preserve"> </w:t>
      </w:r>
    </w:p>
    <w:tbl>
      <w:tblPr>
        <w:tblW w:w="11002" w:type="dxa"/>
        <w:tblLook w:val="04A0" w:firstRow="1" w:lastRow="0" w:firstColumn="1" w:lastColumn="0" w:noHBand="0" w:noVBand="1"/>
      </w:tblPr>
      <w:tblGrid>
        <w:gridCol w:w="3534"/>
        <w:gridCol w:w="1987"/>
        <w:gridCol w:w="883"/>
        <w:gridCol w:w="883"/>
        <w:gridCol w:w="883"/>
        <w:gridCol w:w="883"/>
        <w:gridCol w:w="883"/>
        <w:gridCol w:w="1066"/>
      </w:tblGrid>
      <w:tr w:rsidR="001529CE" w:rsidRPr="00720608" w14:paraId="14C9627F" w14:textId="77777777" w:rsidTr="007B10BD">
        <w:trPr>
          <w:trHeight w:val="288"/>
        </w:trPr>
        <w:tc>
          <w:tcPr>
            <w:tcW w:w="3534" w:type="dxa"/>
            <w:vMerge w:val="restart"/>
            <w:tcBorders>
              <w:top w:val="single" w:sz="8" w:space="0" w:color="auto"/>
              <w:left w:val="single" w:sz="8" w:space="0" w:color="auto"/>
              <w:right w:val="single" w:sz="8" w:space="0" w:color="auto"/>
            </w:tcBorders>
            <w:shd w:val="clear" w:color="auto" w:fill="008938"/>
            <w:noWrap/>
            <w:vAlign w:val="bottom"/>
            <w:hideMark/>
          </w:tcPr>
          <w:p w14:paraId="2423430F"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Pr>
                <w:rFonts w:cs="Arial"/>
                <w:b/>
                <w:bCs/>
                <w:color w:val="FFFFFF" w:themeColor="background1"/>
                <w:sz w:val="20"/>
                <w:szCs w:val="20"/>
                <w:lang w:eastAsia="en-GB"/>
              </w:rPr>
              <w:t xml:space="preserve">Average </w:t>
            </w:r>
            <w:r w:rsidRPr="00285391">
              <w:rPr>
                <w:rFonts w:cs="Arial"/>
                <w:b/>
                <w:bCs/>
                <w:color w:val="FFFFFF" w:themeColor="background1"/>
                <w:sz w:val="20"/>
                <w:szCs w:val="20"/>
                <w:lang w:eastAsia="en-GB"/>
              </w:rPr>
              <w:t>Measured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w:t>
            </w:r>
          </w:p>
          <w:p w14:paraId="77D05EE7"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p>
        </w:tc>
        <w:tc>
          <w:tcPr>
            <w:tcW w:w="7468" w:type="dxa"/>
            <w:gridSpan w:val="7"/>
            <w:tcBorders>
              <w:top w:val="single" w:sz="8" w:space="0" w:color="auto"/>
              <w:left w:val="nil"/>
              <w:bottom w:val="single" w:sz="8" w:space="0" w:color="auto"/>
              <w:right w:val="single" w:sz="8" w:space="0" w:color="000000"/>
            </w:tcBorders>
            <w:shd w:val="clear" w:color="auto" w:fill="008938"/>
            <w:noWrap/>
            <w:vAlign w:val="bottom"/>
            <w:hideMark/>
          </w:tcPr>
          <w:p w14:paraId="0FD5B690"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sidRPr="00285391">
              <w:rPr>
                <w:rFonts w:cs="Arial"/>
                <w:b/>
                <w:bCs/>
                <w:color w:val="FFFFFF" w:themeColor="background1"/>
                <w:sz w:val="20"/>
                <w:szCs w:val="20"/>
                <w:lang w:eastAsia="en-GB"/>
              </w:rPr>
              <w:t>Average Modelled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 by scenario</w:t>
            </w:r>
          </w:p>
        </w:tc>
      </w:tr>
      <w:tr w:rsidR="001529CE" w:rsidRPr="00720608" w14:paraId="704BD363" w14:textId="77777777" w:rsidTr="007B10BD">
        <w:trPr>
          <w:trHeight w:val="288"/>
        </w:trPr>
        <w:tc>
          <w:tcPr>
            <w:tcW w:w="3534" w:type="dxa"/>
            <w:vMerge/>
            <w:tcBorders>
              <w:left w:val="single" w:sz="8" w:space="0" w:color="auto"/>
              <w:bottom w:val="nil"/>
              <w:right w:val="single" w:sz="8" w:space="0" w:color="auto"/>
            </w:tcBorders>
            <w:shd w:val="clear" w:color="auto" w:fill="008938"/>
            <w:noWrap/>
            <w:vAlign w:val="bottom"/>
            <w:hideMark/>
          </w:tcPr>
          <w:p w14:paraId="0CD44DC0" w14:textId="77777777" w:rsidR="001529CE" w:rsidRPr="00285391" w:rsidRDefault="001529CE" w:rsidP="007B10BD">
            <w:pPr>
              <w:spacing w:before="0" w:after="0" w:line="240" w:lineRule="auto"/>
              <w:jc w:val="center"/>
              <w:rPr>
                <w:rFonts w:cs="Arial"/>
                <w:b/>
                <w:bCs/>
                <w:color w:val="000000"/>
                <w:sz w:val="20"/>
                <w:szCs w:val="20"/>
                <w:lang w:eastAsia="en-GB"/>
              </w:rPr>
            </w:pPr>
          </w:p>
        </w:tc>
        <w:tc>
          <w:tcPr>
            <w:tcW w:w="1987" w:type="dxa"/>
            <w:tcBorders>
              <w:top w:val="nil"/>
              <w:left w:val="nil"/>
              <w:bottom w:val="nil"/>
              <w:right w:val="nil"/>
            </w:tcBorders>
            <w:shd w:val="clear" w:color="auto" w:fill="auto"/>
            <w:noWrap/>
            <w:vAlign w:val="bottom"/>
            <w:hideMark/>
          </w:tcPr>
          <w:p w14:paraId="47B76749" w14:textId="77777777" w:rsidR="001529CE" w:rsidRPr="00720608" w:rsidRDefault="001529CE" w:rsidP="007B10BD">
            <w:pPr>
              <w:spacing w:before="0" w:after="0" w:line="240" w:lineRule="auto"/>
              <w:rPr>
                <w:rFonts w:cs="Arial"/>
                <w:sz w:val="20"/>
                <w:szCs w:val="20"/>
                <w:lang w:eastAsia="en-GB"/>
              </w:rPr>
            </w:pPr>
            <w:r w:rsidRPr="00720608">
              <w:rPr>
                <w:rFonts w:cs="Arial"/>
                <w:sz w:val="20"/>
                <w:szCs w:val="20"/>
                <w:lang w:eastAsia="en-GB"/>
              </w:rPr>
              <w:t>Baseline (Global)</w:t>
            </w:r>
          </w:p>
        </w:tc>
        <w:tc>
          <w:tcPr>
            <w:tcW w:w="883" w:type="dxa"/>
            <w:tcBorders>
              <w:top w:val="nil"/>
              <w:left w:val="nil"/>
              <w:bottom w:val="nil"/>
              <w:right w:val="nil"/>
            </w:tcBorders>
            <w:shd w:val="clear" w:color="auto" w:fill="auto"/>
            <w:noWrap/>
            <w:vAlign w:val="bottom"/>
            <w:hideMark/>
          </w:tcPr>
          <w:p w14:paraId="62023F9F"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#1a</w:t>
            </w:r>
          </w:p>
        </w:tc>
        <w:tc>
          <w:tcPr>
            <w:tcW w:w="883" w:type="dxa"/>
            <w:tcBorders>
              <w:top w:val="nil"/>
              <w:left w:val="nil"/>
              <w:bottom w:val="nil"/>
              <w:right w:val="nil"/>
            </w:tcBorders>
            <w:shd w:val="clear" w:color="auto" w:fill="auto"/>
            <w:noWrap/>
            <w:vAlign w:val="bottom"/>
            <w:hideMark/>
          </w:tcPr>
          <w:p w14:paraId="0B4FAA61"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#1b</w:t>
            </w:r>
          </w:p>
        </w:tc>
        <w:tc>
          <w:tcPr>
            <w:tcW w:w="883" w:type="dxa"/>
            <w:tcBorders>
              <w:top w:val="nil"/>
              <w:left w:val="nil"/>
              <w:bottom w:val="nil"/>
              <w:right w:val="nil"/>
            </w:tcBorders>
            <w:shd w:val="clear" w:color="auto" w:fill="auto"/>
            <w:noWrap/>
            <w:vAlign w:val="bottom"/>
            <w:hideMark/>
          </w:tcPr>
          <w:p w14:paraId="0A480922"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#1c</w:t>
            </w:r>
          </w:p>
        </w:tc>
        <w:tc>
          <w:tcPr>
            <w:tcW w:w="883" w:type="dxa"/>
            <w:tcBorders>
              <w:top w:val="nil"/>
              <w:left w:val="nil"/>
              <w:bottom w:val="nil"/>
              <w:right w:val="nil"/>
            </w:tcBorders>
            <w:shd w:val="clear" w:color="auto" w:fill="auto"/>
            <w:noWrap/>
            <w:vAlign w:val="bottom"/>
            <w:hideMark/>
          </w:tcPr>
          <w:p w14:paraId="0893122E"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#3</w:t>
            </w:r>
          </w:p>
        </w:tc>
        <w:tc>
          <w:tcPr>
            <w:tcW w:w="883" w:type="dxa"/>
            <w:tcBorders>
              <w:top w:val="nil"/>
              <w:left w:val="nil"/>
              <w:bottom w:val="nil"/>
              <w:right w:val="nil"/>
            </w:tcBorders>
            <w:shd w:val="clear" w:color="auto" w:fill="auto"/>
            <w:noWrap/>
            <w:vAlign w:val="bottom"/>
            <w:hideMark/>
          </w:tcPr>
          <w:p w14:paraId="0D2D245D"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#4</w:t>
            </w:r>
          </w:p>
        </w:tc>
        <w:tc>
          <w:tcPr>
            <w:tcW w:w="1066" w:type="dxa"/>
            <w:tcBorders>
              <w:top w:val="nil"/>
              <w:left w:val="nil"/>
              <w:bottom w:val="nil"/>
              <w:right w:val="single" w:sz="8" w:space="0" w:color="auto"/>
            </w:tcBorders>
            <w:shd w:val="clear" w:color="auto" w:fill="auto"/>
            <w:noWrap/>
            <w:vAlign w:val="bottom"/>
            <w:hideMark/>
          </w:tcPr>
          <w:p w14:paraId="17D8B95D"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#5</w:t>
            </w:r>
          </w:p>
        </w:tc>
      </w:tr>
      <w:tr w:rsidR="001529CE" w:rsidRPr="00720608" w14:paraId="23F0776A" w14:textId="77777777" w:rsidTr="007B10BD">
        <w:trPr>
          <w:trHeight w:val="288"/>
        </w:trPr>
        <w:tc>
          <w:tcPr>
            <w:tcW w:w="3534" w:type="dxa"/>
            <w:tcBorders>
              <w:top w:val="nil"/>
              <w:left w:val="single" w:sz="8" w:space="0" w:color="auto"/>
              <w:bottom w:val="nil"/>
              <w:right w:val="single" w:sz="8" w:space="0" w:color="auto"/>
            </w:tcBorders>
            <w:shd w:val="clear" w:color="000000" w:fill="C6E0B4"/>
            <w:noWrap/>
            <w:vAlign w:val="center"/>
            <w:hideMark/>
          </w:tcPr>
          <w:p w14:paraId="27F97C6B" w14:textId="77777777" w:rsidR="001529CE" w:rsidRPr="00720608" w:rsidRDefault="001529CE" w:rsidP="007B10BD">
            <w:pPr>
              <w:spacing w:before="0" w:after="0" w:line="240" w:lineRule="auto"/>
              <w:jc w:val="center"/>
              <w:rPr>
                <w:rFonts w:cs="Arial"/>
                <w:color w:val="000000"/>
                <w:sz w:val="20"/>
                <w:szCs w:val="20"/>
                <w:lang w:eastAsia="en-GB"/>
              </w:rPr>
            </w:pPr>
            <w:r w:rsidRPr="00720608">
              <w:rPr>
                <w:rFonts w:cs="Arial"/>
                <w:color w:val="000000"/>
                <w:sz w:val="20"/>
                <w:szCs w:val="20"/>
                <w:lang w:eastAsia="en-GB"/>
              </w:rPr>
              <w:t>25.45</w:t>
            </w:r>
          </w:p>
        </w:tc>
        <w:tc>
          <w:tcPr>
            <w:tcW w:w="1987" w:type="dxa"/>
            <w:tcBorders>
              <w:top w:val="nil"/>
              <w:left w:val="single" w:sz="8" w:space="0" w:color="auto"/>
              <w:bottom w:val="nil"/>
              <w:right w:val="nil"/>
            </w:tcBorders>
            <w:shd w:val="clear" w:color="000000" w:fill="C6E0B4"/>
            <w:noWrap/>
            <w:vAlign w:val="bottom"/>
            <w:hideMark/>
          </w:tcPr>
          <w:p w14:paraId="2926EDAA"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25.45</w:t>
            </w:r>
          </w:p>
        </w:tc>
        <w:tc>
          <w:tcPr>
            <w:tcW w:w="883" w:type="dxa"/>
            <w:tcBorders>
              <w:top w:val="nil"/>
              <w:left w:val="nil"/>
              <w:bottom w:val="nil"/>
              <w:right w:val="nil"/>
            </w:tcBorders>
            <w:shd w:val="clear" w:color="000000" w:fill="C6E0B4"/>
            <w:noWrap/>
            <w:vAlign w:val="bottom"/>
            <w:hideMark/>
          </w:tcPr>
          <w:p w14:paraId="55784F99"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24.89</w:t>
            </w:r>
          </w:p>
        </w:tc>
        <w:tc>
          <w:tcPr>
            <w:tcW w:w="883" w:type="dxa"/>
            <w:tcBorders>
              <w:top w:val="nil"/>
              <w:left w:val="nil"/>
              <w:bottom w:val="nil"/>
              <w:right w:val="nil"/>
            </w:tcBorders>
            <w:shd w:val="clear" w:color="000000" w:fill="C6E0B4"/>
            <w:noWrap/>
            <w:vAlign w:val="bottom"/>
            <w:hideMark/>
          </w:tcPr>
          <w:p w14:paraId="03928D4F"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24.11</w:t>
            </w:r>
          </w:p>
        </w:tc>
        <w:tc>
          <w:tcPr>
            <w:tcW w:w="883" w:type="dxa"/>
            <w:tcBorders>
              <w:top w:val="nil"/>
              <w:left w:val="nil"/>
              <w:bottom w:val="nil"/>
              <w:right w:val="nil"/>
            </w:tcBorders>
            <w:shd w:val="clear" w:color="000000" w:fill="C6E0B4"/>
            <w:noWrap/>
            <w:vAlign w:val="bottom"/>
            <w:hideMark/>
          </w:tcPr>
          <w:p w14:paraId="2843B251"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23.84</w:t>
            </w:r>
          </w:p>
        </w:tc>
        <w:tc>
          <w:tcPr>
            <w:tcW w:w="883" w:type="dxa"/>
            <w:tcBorders>
              <w:top w:val="nil"/>
              <w:left w:val="nil"/>
              <w:bottom w:val="nil"/>
              <w:right w:val="nil"/>
            </w:tcBorders>
            <w:shd w:val="clear" w:color="000000" w:fill="C6E0B4"/>
            <w:noWrap/>
            <w:vAlign w:val="bottom"/>
            <w:hideMark/>
          </w:tcPr>
          <w:p w14:paraId="481CA41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24.94</w:t>
            </w:r>
          </w:p>
        </w:tc>
        <w:tc>
          <w:tcPr>
            <w:tcW w:w="883" w:type="dxa"/>
            <w:tcBorders>
              <w:top w:val="nil"/>
              <w:left w:val="nil"/>
              <w:bottom w:val="nil"/>
              <w:right w:val="nil"/>
            </w:tcBorders>
            <w:shd w:val="clear" w:color="000000" w:fill="C6E0B4"/>
            <w:noWrap/>
            <w:vAlign w:val="bottom"/>
            <w:hideMark/>
          </w:tcPr>
          <w:p w14:paraId="0DD0F2CF"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25.04</w:t>
            </w:r>
          </w:p>
        </w:tc>
        <w:tc>
          <w:tcPr>
            <w:tcW w:w="1066" w:type="dxa"/>
            <w:tcBorders>
              <w:top w:val="nil"/>
              <w:left w:val="nil"/>
              <w:bottom w:val="nil"/>
              <w:right w:val="single" w:sz="8" w:space="0" w:color="auto"/>
            </w:tcBorders>
            <w:shd w:val="clear" w:color="000000" w:fill="C6E0B4"/>
            <w:noWrap/>
            <w:vAlign w:val="bottom"/>
            <w:hideMark/>
          </w:tcPr>
          <w:p w14:paraId="23FFB5DC"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22.83</w:t>
            </w:r>
          </w:p>
        </w:tc>
      </w:tr>
      <w:tr w:rsidR="001529CE" w:rsidRPr="00720608" w14:paraId="6A82F4DA" w14:textId="77777777" w:rsidTr="007B10BD">
        <w:trPr>
          <w:trHeight w:val="288"/>
        </w:trPr>
        <w:tc>
          <w:tcPr>
            <w:tcW w:w="5521" w:type="dxa"/>
            <w:gridSpan w:val="2"/>
            <w:tcBorders>
              <w:top w:val="single" w:sz="8" w:space="0" w:color="auto"/>
              <w:left w:val="single" w:sz="8" w:space="0" w:color="auto"/>
              <w:bottom w:val="nil"/>
              <w:right w:val="nil"/>
            </w:tcBorders>
            <w:shd w:val="clear" w:color="auto" w:fill="008938"/>
            <w:noWrap/>
            <w:hideMark/>
          </w:tcPr>
          <w:p w14:paraId="5B21E3B7" w14:textId="77777777" w:rsidR="001529CE" w:rsidRPr="00720608" w:rsidRDefault="001529CE" w:rsidP="007B10BD">
            <w:pPr>
              <w:spacing w:before="0" w:after="0" w:line="240" w:lineRule="auto"/>
              <w:jc w:val="right"/>
              <w:rPr>
                <w:rFonts w:cs="Arial"/>
                <w:color w:val="000000"/>
                <w:sz w:val="20"/>
                <w:szCs w:val="20"/>
                <w:lang w:eastAsia="en-GB"/>
              </w:rPr>
            </w:pPr>
            <w:r w:rsidRPr="00C736FE">
              <w:rPr>
                <w:rFonts w:cs="Arial"/>
                <w:b/>
                <w:bCs/>
                <w:color w:val="FFFFFF" w:themeColor="background1"/>
                <w:sz w:val="20"/>
                <w:szCs w:val="20"/>
                <w:lang w:eastAsia="en-GB"/>
              </w:rPr>
              <w:t>Change from Baseline (µg/m</w:t>
            </w:r>
            <w:r w:rsidRPr="00C736FE">
              <w:rPr>
                <w:rFonts w:cs="Arial"/>
                <w:b/>
                <w:bCs/>
                <w:color w:val="FFFFFF" w:themeColor="background1"/>
                <w:sz w:val="20"/>
                <w:szCs w:val="20"/>
                <w:vertAlign w:val="superscript"/>
                <w:lang w:eastAsia="en-GB"/>
              </w:rPr>
              <w:t>3</w:t>
            </w:r>
            <w:r w:rsidRPr="00C736FE">
              <w:rPr>
                <w:rFonts w:cs="Arial"/>
                <w:b/>
                <w:bCs/>
                <w:color w:val="FFFFFF" w:themeColor="background1"/>
                <w:sz w:val="20"/>
                <w:szCs w:val="20"/>
                <w:lang w:eastAsia="en-GB"/>
              </w:rPr>
              <w:t>)</w:t>
            </w:r>
          </w:p>
        </w:tc>
        <w:tc>
          <w:tcPr>
            <w:tcW w:w="883" w:type="dxa"/>
            <w:tcBorders>
              <w:top w:val="single" w:sz="8" w:space="0" w:color="auto"/>
              <w:left w:val="nil"/>
              <w:bottom w:val="nil"/>
              <w:right w:val="nil"/>
            </w:tcBorders>
            <w:shd w:val="clear" w:color="000000" w:fill="F2F8EF"/>
            <w:noWrap/>
            <w:vAlign w:val="bottom"/>
            <w:hideMark/>
          </w:tcPr>
          <w:p w14:paraId="3E29C4E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-0.56</w:t>
            </w:r>
          </w:p>
        </w:tc>
        <w:tc>
          <w:tcPr>
            <w:tcW w:w="883" w:type="dxa"/>
            <w:tcBorders>
              <w:top w:val="single" w:sz="8" w:space="0" w:color="auto"/>
              <w:left w:val="nil"/>
              <w:bottom w:val="nil"/>
              <w:right w:val="nil"/>
            </w:tcBorders>
            <w:shd w:val="clear" w:color="000000" w:fill="DCF0D4"/>
            <w:noWrap/>
            <w:vAlign w:val="bottom"/>
            <w:hideMark/>
          </w:tcPr>
          <w:p w14:paraId="63731766"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-1.34</w:t>
            </w:r>
          </w:p>
        </w:tc>
        <w:tc>
          <w:tcPr>
            <w:tcW w:w="883" w:type="dxa"/>
            <w:tcBorders>
              <w:top w:val="single" w:sz="8" w:space="0" w:color="auto"/>
              <w:left w:val="nil"/>
              <w:bottom w:val="nil"/>
              <w:right w:val="nil"/>
            </w:tcBorders>
            <w:shd w:val="clear" w:color="000000" w:fill="ADF3A7"/>
            <w:noWrap/>
            <w:vAlign w:val="bottom"/>
            <w:hideMark/>
          </w:tcPr>
          <w:p w14:paraId="51558336"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-1.61</w:t>
            </w:r>
          </w:p>
        </w:tc>
        <w:tc>
          <w:tcPr>
            <w:tcW w:w="883" w:type="dxa"/>
            <w:tcBorders>
              <w:top w:val="single" w:sz="8" w:space="0" w:color="auto"/>
              <w:left w:val="nil"/>
              <w:bottom w:val="nil"/>
              <w:right w:val="nil"/>
            </w:tcBorders>
            <w:shd w:val="clear" w:color="000000" w:fill="F3F8F0"/>
            <w:noWrap/>
            <w:vAlign w:val="bottom"/>
            <w:hideMark/>
          </w:tcPr>
          <w:p w14:paraId="5897A2A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-0.51</w:t>
            </w:r>
          </w:p>
        </w:tc>
        <w:tc>
          <w:tcPr>
            <w:tcW w:w="883" w:type="dxa"/>
            <w:tcBorders>
              <w:top w:val="single" w:sz="8" w:space="0" w:color="auto"/>
              <w:left w:val="nil"/>
              <w:bottom w:val="nil"/>
              <w:right w:val="nil"/>
            </w:tcBorders>
            <w:shd w:val="clear" w:color="000000" w:fill="F6FAF3"/>
            <w:noWrap/>
            <w:vAlign w:val="bottom"/>
            <w:hideMark/>
          </w:tcPr>
          <w:p w14:paraId="4C48D4E9"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-0.41</w:t>
            </w:r>
          </w:p>
        </w:tc>
        <w:tc>
          <w:tcPr>
            <w:tcW w:w="1066" w:type="dxa"/>
            <w:tcBorders>
              <w:top w:val="single" w:sz="8" w:space="0" w:color="auto"/>
              <w:left w:val="nil"/>
              <w:bottom w:val="nil"/>
              <w:right w:val="single" w:sz="8" w:space="0" w:color="auto"/>
            </w:tcBorders>
            <w:shd w:val="clear" w:color="000000" w:fill="00FF00"/>
            <w:noWrap/>
            <w:vAlign w:val="bottom"/>
            <w:hideMark/>
          </w:tcPr>
          <w:p w14:paraId="211CD779"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-2.62</w:t>
            </w:r>
          </w:p>
        </w:tc>
      </w:tr>
      <w:tr w:rsidR="001529CE" w:rsidRPr="00720608" w14:paraId="788AE210" w14:textId="77777777" w:rsidTr="007B10BD">
        <w:trPr>
          <w:trHeight w:val="288"/>
        </w:trPr>
        <w:tc>
          <w:tcPr>
            <w:tcW w:w="5521" w:type="dxa"/>
            <w:gridSpan w:val="2"/>
            <w:tcBorders>
              <w:top w:val="nil"/>
              <w:left w:val="single" w:sz="8" w:space="0" w:color="auto"/>
              <w:bottom w:val="single" w:sz="8" w:space="0" w:color="auto"/>
              <w:right w:val="nil"/>
            </w:tcBorders>
            <w:shd w:val="clear" w:color="auto" w:fill="008938"/>
            <w:noWrap/>
            <w:hideMark/>
          </w:tcPr>
          <w:p w14:paraId="3CF83C5E" w14:textId="77777777" w:rsidR="001529CE" w:rsidRPr="00720608" w:rsidRDefault="001529CE" w:rsidP="007B10BD">
            <w:pPr>
              <w:spacing w:before="0" w:after="0" w:line="240" w:lineRule="auto"/>
              <w:jc w:val="right"/>
              <w:rPr>
                <w:rFonts w:cs="Arial"/>
                <w:color w:val="000000"/>
                <w:sz w:val="20"/>
                <w:szCs w:val="20"/>
                <w:lang w:eastAsia="en-GB"/>
              </w:rPr>
            </w:pPr>
            <w:r w:rsidRPr="00C736FE">
              <w:rPr>
                <w:rFonts w:cs="Arial"/>
                <w:b/>
                <w:bCs/>
                <w:color w:val="FFFFFF" w:themeColor="background1"/>
                <w:sz w:val="20"/>
                <w:szCs w:val="20"/>
                <w:lang w:eastAsia="en-GB"/>
              </w:rPr>
              <w:t>Change from Baseline (%)</w:t>
            </w:r>
          </w:p>
        </w:tc>
        <w:tc>
          <w:tcPr>
            <w:tcW w:w="883" w:type="dxa"/>
            <w:tcBorders>
              <w:top w:val="nil"/>
              <w:left w:val="nil"/>
              <w:bottom w:val="single" w:sz="8" w:space="0" w:color="auto"/>
              <w:right w:val="nil"/>
            </w:tcBorders>
            <w:shd w:val="clear" w:color="000000" w:fill="F2F8EF"/>
            <w:noWrap/>
            <w:vAlign w:val="bottom"/>
            <w:hideMark/>
          </w:tcPr>
          <w:p w14:paraId="1A30AE9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-2.2%</w:t>
            </w:r>
          </w:p>
        </w:tc>
        <w:tc>
          <w:tcPr>
            <w:tcW w:w="883" w:type="dxa"/>
            <w:tcBorders>
              <w:top w:val="nil"/>
              <w:left w:val="nil"/>
              <w:bottom w:val="single" w:sz="8" w:space="0" w:color="auto"/>
              <w:right w:val="nil"/>
            </w:tcBorders>
            <w:shd w:val="clear" w:color="000000" w:fill="DCF0D4"/>
            <w:noWrap/>
            <w:vAlign w:val="bottom"/>
            <w:hideMark/>
          </w:tcPr>
          <w:p w14:paraId="58A621BB"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-5.3%</w:t>
            </w:r>
          </w:p>
        </w:tc>
        <w:tc>
          <w:tcPr>
            <w:tcW w:w="883" w:type="dxa"/>
            <w:tcBorders>
              <w:top w:val="nil"/>
              <w:left w:val="nil"/>
              <w:bottom w:val="single" w:sz="8" w:space="0" w:color="auto"/>
              <w:right w:val="nil"/>
            </w:tcBorders>
            <w:shd w:val="clear" w:color="000000" w:fill="ADF3A7"/>
            <w:noWrap/>
            <w:vAlign w:val="bottom"/>
            <w:hideMark/>
          </w:tcPr>
          <w:p w14:paraId="7868E516"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-6.3%</w:t>
            </w:r>
          </w:p>
        </w:tc>
        <w:tc>
          <w:tcPr>
            <w:tcW w:w="883" w:type="dxa"/>
            <w:tcBorders>
              <w:top w:val="nil"/>
              <w:left w:val="nil"/>
              <w:bottom w:val="single" w:sz="8" w:space="0" w:color="auto"/>
              <w:right w:val="nil"/>
            </w:tcBorders>
            <w:shd w:val="clear" w:color="000000" w:fill="F3F8F0"/>
            <w:noWrap/>
            <w:vAlign w:val="bottom"/>
            <w:hideMark/>
          </w:tcPr>
          <w:p w14:paraId="6B297B3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-2.0%</w:t>
            </w:r>
          </w:p>
        </w:tc>
        <w:tc>
          <w:tcPr>
            <w:tcW w:w="883" w:type="dxa"/>
            <w:tcBorders>
              <w:top w:val="nil"/>
              <w:left w:val="nil"/>
              <w:bottom w:val="single" w:sz="8" w:space="0" w:color="auto"/>
              <w:right w:val="nil"/>
            </w:tcBorders>
            <w:shd w:val="clear" w:color="000000" w:fill="F6FAF3"/>
            <w:noWrap/>
            <w:vAlign w:val="bottom"/>
            <w:hideMark/>
          </w:tcPr>
          <w:p w14:paraId="3169FC46"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-1.6%</w:t>
            </w:r>
          </w:p>
        </w:tc>
        <w:tc>
          <w:tcPr>
            <w:tcW w:w="1066" w:type="dxa"/>
            <w:tcBorders>
              <w:top w:val="nil"/>
              <w:left w:val="nil"/>
              <w:bottom w:val="single" w:sz="8" w:space="0" w:color="auto"/>
              <w:right w:val="single" w:sz="8" w:space="0" w:color="auto"/>
            </w:tcBorders>
            <w:shd w:val="clear" w:color="000000" w:fill="00FF00"/>
            <w:noWrap/>
            <w:vAlign w:val="bottom"/>
            <w:hideMark/>
          </w:tcPr>
          <w:p w14:paraId="49FFE1EB"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-10.3%</w:t>
            </w:r>
          </w:p>
        </w:tc>
      </w:tr>
    </w:tbl>
    <w:p w14:paraId="030F7D06" w14:textId="77777777" w:rsidR="001529CE" w:rsidRPr="00720608" w:rsidRDefault="001529CE" w:rsidP="001529CE">
      <w:pPr>
        <w:rPr>
          <w:rFonts w:cs="Arial"/>
          <w:sz w:val="20"/>
          <w:szCs w:val="20"/>
        </w:rPr>
      </w:pPr>
    </w:p>
    <w:p w14:paraId="043BF060" w14:textId="77777777" w:rsidR="001529CE" w:rsidRPr="00720608" w:rsidRDefault="001529CE" w:rsidP="00887760">
      <w:pPr>
        <w:pStyle w:val="Tables"/>
      </w:pPr>
      <w:bookmarkStart w:id="307" w:name="_Toc159264949"/>
      <w:bookmarkStart w:id="308" w:name="_Toc160123591"/>
      <w:bookmarkStart w:id="309" w:name="_Toc160123807"/>
      <w:bookmarkStart w:id="310" w:name="_Toc160128573"/>
      <w:r w:rsidRPr="00720608">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6</w:t>
      </w:r>
      <w:r w:rsidR="000F4CA1">
        <w:rPr>
          <w:noProof/>
        </w:rPr>
        <w:fldChar w:fldCharType="end"/>
      </w:r>
      <w:r w:rsidRPr="00720608">
        <w:t xml:space="preserve"> - scenario modelling NO</w:t>
      </w:r>
      <w:r w:rsidRPr="00720608">
        <w:rPr>
          <w:vertAlign w:val="subscript"/>
        </w:rPr>
        <w:t xml:space="preserve">2 </w:t>
      </w:r>
      <w:r w:rsidRPr="00720608">
        <w:t>concentrations for sites SLO29, SLO40, SLO26, SLO5 and SLH10 (east AQMA 4) (using AQMA 4 adjustment factor)</w:t>
      </w:r>
      <w:r>
        <w:t>.</w:t>
      </w:r>
      <w:bookmarkEnd w:id="307"/>
      <w:bookmarkEnd w:id="308"/>
      <w:bookmarkEnd w:id="309"/>
      <w:bookmarkEnd w:id="310"/>
    </w:p>
    <w:tbl>
      <w:tblPr>
        <w:tblW w:w="14120" w:type="dxa"/>
        <w:tblLook w:val="04A0" w:firstRow="1" w:lastRow="0" w:firstColumn="1" w:lastColumn="0" w:noHBand="0" w:noVBand="1"/>
      </w:tblPr>
      <w:tblGrid>
        <w:gridCol w:w="3534"/>
        <w:gridCol w:w="1940"/>
        <w:gridCol w:w="939"/>
        <w:gridCol w:w="939"/>
        <w:gridCol w:w="939"/>
        <w:gridCol w:w="939"/>
        <w:gridCol w:w="939"/>
        <w:gridCol w:w="939"/>
        <w:gridCol w:w="939"/>
        <w:gridCol w:w="939"/>
        <w:gridCol w:w="1134"/>
      </w:tblGrid>
      <w:tr w:rsidR="001529CE" w:rsidRPr="00720608" w14:paraId="02BEFB08" w14:textId="77777777" w:rsidTr="007B10BD">
        <w:trPr>
          <w:trHeight w:val="288"/>
        </w:trPr>
        <w:tc>
          <w:tcPr>
            <w:tcW w:w="3534" w:type="dxa"/>
            <w:vMerge w:val="restart"/>
            <w:tcBorders>
              <w:top w:val="single" w:sz="8" w:space="0" w:color="auto"/>
              <w:left w:val="single" w:sz="8" w:space="0" w:color="auto"/>
              <w:right w:val="single" w:sz="8" w:space="0" w:color="auto"/>
            </w:tcBorders>
            <w:shd w:val="clear" w:color="auto" w:fill="008938"/>
            <w:noWrap/>
            <w:vAlign w:val="bottom"/>
            <w:hideMark/>
          </w:tcPr>
          <w:p w14:paraId="0A815844"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Pr>
                <w:rFonts w:cs="Arial"/>
                <w:b/>
                <w:bCs/>
                <w:color w:val="FFFFFF" w:themeColor="background1"/>
                <w:sz w:val="20"/>
                <w:szCs w:val="20"/>
                <w:lang w:eastAsia="en-GB"/>
              </w:rPr>
              <w:t xml:space="preserve">Average </w:t>
            </w:r>
            <w:r w:rsidRPr="00285391">
              <w:rPr>
                <w:rFonts w:cs="Arial"/>
                <w:b/>
                <w:bCs/>
                <w:color w:val="FFFFFF" w:themeColor="background1"/>
                <w:sz w:val="20"/>
                <w:szCs w:val="20"/>
                <w:lang w:eastAsia="en-GB"/>
              </w:rPr>
              <w:t>Measured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w:t>
            </w:r>
          </w:p>
          <w:p w14:paraId="1F23D474"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p>
        </w:tc>
        <w:tc>
          <w:tcPr>
            <w:tcW w:w="10586" w:type="dxa"/>
            <w:gridSpan w:val="10"/>
            <w:tcBorders>
              <w:top w:val="single" w:sz="8" w:space="0" w:color="auto"/>
              <w:left w:val="nil"/>
              <w:bottom w:val="single" w:sz="8" w:space="0" w:color="auto"/>
              <w:right w:val="single" w:sz="8" w:space="0" w:color="000000"/>
            </w:tcBorders>
            <w:shd w:val="clear" w:color="auto" w:fill="008938"/>
            <w:noWrap/>
            <w:vAlign w:val="bottom"/>
            <w:hideMark/>
          </w:tcPr>
          <w:p w14:paraId="3C9A33B8" w14:textId="77777777" w:rsidR="001529CE" w:rsidRPr="00285391" w:rsidRDefault="001529CE" w:rsidP="007B10BD">
            <w:pPr>
              <w:spacing w:before="0" w:after="0" w:line="240" w:lineRule="auto"/>
              <w:jc w:val="center"/>
              <w:rPr>
                <w:rFonts w:cs="Arial"/>
                <w:b/>
                <w:bCs/>
                <w:color w:val="FFFFFF" w:themeColor="background1"/>
                <w:sz w:val="20"/>
                <w:szCs w:val="20"/>
                <w:lang w:eastAsia="en-GB"/>
              </w:rPr>
            </w:pPr>
            <w:r w:rsidRPr="00285391">
              <w:rPr>
                <w:rFonts w:cs="Arial"/>
                <w:b/>
                <w:bCs/>
                <w:color w:val="FFFFFF" w:themeColor="background1"/>
                <w:sz w:val="20"/>
                <w:szCs w:val="20"/>
                <w:lang w:eastAsia="en-GB"/>
              </w:rPr>
              <w:t>Average Modelled NO</w:t>
            </w:r>
            <w:r w:rsidRPr="00285391">
              <w:rPr>
                <w:rFonts w:cs="Arial"/>
                <w:b/>
                <w:bCs/>
                <w:color w:val="FFFFFF" w:themeColor="background1"/>
                <w:sz w:val="20"/>
                <w:szCs w:val="20"/>
                <w:vertAlign w:val="subscript"/>
                <w:lang w:eastAsia="en-GB"/>
              </w:rPr>
              <w:t>2</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 by scenario</w:t>
            </w:r>
          </w:p>
        </w:tc>
      </w:tr>
      <w:tr w:rsidR="001529CE" w:rsidRPr="00720608" w14:paraId="2686208D" w14:textId="77777777" w:rsidTr="007B10BD">
        <w:trPr>
          <w:trHeight w:val="288"/>
        </w:trPr>
        <w:tc>
          <w:tcPr>
            <w:tcW w:w="3534" w:type="dxa"/>
            <w:vMerge/>
            <w:tcBorders>
              <w:left w:val="single" w:sz="8" w:space="0" w:color="auto"/>
              <w:bottom w:val="nil"/>
              <w:right w:val="single" w:sz="8" w:space="0" w:color="auto"/>
            </w:tcBorders>
            <w:shd w:val="clear" w:color="auto" w:fill="008938"/>
            <w:noWrap/>
            <w:vAlign w:val="bottom"/>
            <w:hideMark/>
          </w:tcPr>
          <w:p w14:paraId="73B10592" w14:textId="77777777" w:rsidR="001529CE" w:rsidRPr="00285391" w:rsidRDefault="001529CE" w:rsidP="007B10BD">
            <w:pPr>
              <w:spacing w:before="0" w:after="0" w:line="240" w:lineRule="auto"/>
              <w:jc w:val="center"/>
              <w:rPr>
                <w:rFonts w:cs="Arial"/>
                <w:b/>
                <w:bCs/>
                <w:color w:val="000000"/>
                <w:sz w:val="20"/>
                <w:szCs w:val="20"/>
                <w:lang w:eastAsia="en-GB"/>
              </w:rPr>
            </w:pPr>
          </w:p>
        </w:tc>
        <w:tc>
          <w:tcPr>
            <w:tcW w:w="1940" w:type="dxa"/>
            <w:tcBorders>
              <w:top w:val="nil"/>
              <w:left w:val="nil"/>
              <w:bottom w:val="nil"/>
              <w:right w:val="nil"/>
            </w:tcBorders>
            <w:shd w:val="clear" w:color="auto" w:fill="auto"/>
            <w:noWrap/>
            <w:vAlign w:val="bottom"/>
            <w:hideMark/>
          </w:tcPr>
          <w:p w14:paraId="692F9D90"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Baseline (Local)</w:t>
            </w:r>
          </w:p>
        </w:tc>
        <w:tc>
          <w:tcPr>
            <w:tcW w:w="939" w:type="dxa"/>
            <w:tcBorders>
              <w:top w:val="nil"/>
              <w:left w:val="nil"/>
              <w:bottom w:val="nil"/>
              <w:right w:val="nil"/>
            </w:tcBorders>
            <w:shd w:val="clear" w:color="auto" w:fill="auto"/>
            <w:noWrap/>
            <w:vAlign w:val="bottom"/>
            <w:hideMark/>
          </w:tcPr>
          <w:p w14:paraId="62BC80E4"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#1a</w:t>
            </w:r>
          </w:p>
        </w:tc>
        <w:tc>
          <w:tcPr>
            <w:tcW w:w="939" w:type="dxa"/>
            <w:tcBorders>
              <w:top w:val="nil"/>
              <w:left w:val="nil"/>
              <w:bottom w:val="nil"/>
              <w:right w:val="nil"/>
            </w:tcBorders>
            <w:shd w:val="clear" w:color="auto" w:fill="auto"/>
            <w:noWrap/>
            <w:vAlign w:val="bottom"/>
            <w:hideMark/>
          </w:tcPr>
          <w:p w14:paraId="74A99406"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#1b</w:t>
            </w:r>
          </w:p>
        </w:tc>
        <w:tc>
          <w:tcPr>
            <w:tcW w:w="939" w:type="dxa"/>
            <w:tcBorders>
              <w:top w:val="nil"/>
              <w:left w:val="nil"/>
              <w:bottom w:val="nil"/>
              <w:right w:val="nil"/>
            </w:tcBorders>
            <w:shd w:val="clear" w:color="auto" w:fill="auto"/>
            <w:noWrap/>
            <w:vAlign w:val="bottom"/>
            <w:hideMark/>
          </w:tcPr>
          <w:p w14:paraId="28A0AB48" w14:textId="77777777" w:rsidR="001529CE" w:rsidRPr="00285391" w:rsidRDefault="001529CE" w:rsidP="007B10BD">
            <w:pPr>
              <w:spacing w:before="0" w:after="0" w:line="240" w:lineRule="auto"/>
              <w:rPr>
                <w:rFonts w:cs="Arial"/>
                <w:color w:val="000000"/>
                <w:sz w:val="20"/>
                <w:szCs w:val="20"/>
                <w:lang w:eastAsia="en-GB"/>
              </w:rPr>
            </w:pPr>
            <w:r w:rsidRPr="00285391">
              <w:rPr>
                <w:rFonts w:cs="Arial"/>
                <w:color w:val="000000"/>
                <w:sz w:val="20"/>
                <w:szCs w:val="20"/>
                <w:lang w:eastAsia="en-GB"/>
              </w:rPr>
              <w:t>#1c</w:t>
            </w:r>
          </w:p>
        </w:tc>
        <w:tc>
          <w:tcPr>
            <w:tcW w:w="939" w:type="dxa"/>
            <w:tcBorders>
              <w:top w:val="nil"/>
              <w:left w:val="nil"/>
              <w:bottom w:val="nil"/>
              <w:right w:val="nil"/>
            </w:tcBorders>
            <w:shd w:val="clear" w:color="auto" w:fill="auto"/>
            <w:noWrap/>
            <w:vAlign w:val="bottom"/>
            <w:hideMark/>
          </w:tcPr>
          <w:p w14:paraId="36D7C1CC" w14:textId="77777777" w:rsidR="001529CE" w:rsidRPr="00285391" w:rsidRDefault="001529CE" w:rsidP="007B10BD">
            <w:pPr>
              <w:spacing w:before="0" w:after="0" w:line="240" w:lineRule="auto"/>
              <w:rPr>
                <w:rFonts w:cs="Arial"/>
                <w:color w:val="000000"/>
                <w:sz w:val="20"/>
                <w:szCs w:val="20"/>
                <w:lang w:eastAsia="en-GB"/>
              </w:rPr>
            </w:pPr>
            <w:r w:rsidRPr="00285391">
              <w:rPr>
                <w:rFonts w:cs="Arial"/>
                <w:color w:val="000000"/>
                <w:sz w:val="20"/>
                <w:szCs w:val="20"/>
                <w:lang w:eastAsia="en-GB"/>
              </w:rPr>
              <w:t>#2a</w:t>
            </w:r>
          </w:p>
        </w:tc>
        <w:tc>
          <w:tcPr>
            <w:tcW w:w="939" w:type="dxa"/>
            <w:tcBorders>
              <w:top w:val="nil"/>
              <w:left w:val="nil"/>
              <w:bottom w:val="nil"/>
              <w:right w:val="nil"/>
            </w:tcBorders>
            <w:shd w:val="clear" w:color="auto" w:fill="auto"/>
            <w:noWrap/>
            <w:vAlign w:val="bottom"/>
            <w:hideMark/>
          </w:tcPr>
          <w:p w14:paraId="0E328462" w14:textId="77777777" w:rsidR="001529CE" w:rsidRPr="00285391" w:rsidRDefault="001529CE" w:rsidP="007B10BD">
            <w:pPr>
              <w:spacing w:before="0" w:after="0" w:line="240" w:lineRule="auto"/>
              <w:rPr>
                <w:rFonts w:cs="Arial"/>
                <w:color w:val="000000"/>
                <w:sz w:val="20"/>
                <w:szCs w:val="20"/>
                <w:lang w:eastAsia="en-GB"/>
              </w:rPr>
            </w:pPr>
            <w:r w:rsidRPr="00285391">
              <w:rPr>
                <w:rFonts w:cs="Arial"/>
                <w:color w:val="000000"/>
                <w:sz w:val="20"/>
                <w:szCs w:val="20"/>
                <w:lang w:eastAsia="en-GB"/>
              </w:rPr>
              <w:t>#2b</w:t>
            </w:r>
          </w:p>
        </w:tc>
        <w:tc>
          <w:tcPr>
            <w:tcW w:w="939" w:type="dxa"/>
            <w:tcBorders>
              <w:top w:val="nil"/>
              <w:left w:val="nil"/>
              <w:bottom w:val="nil"/>
              <w:right w:val="nil"/>
            </w:tcBorders>
            <w:shd w:val="clear" w:color="auto" w:fill="auto"/>
            <w:noWrap/>
            <w:vAlign w:val="bottom"/>
            <w:hideMark/>
          </w:tcPr>
          <w:p w14:paraId="430D4BD7"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#2c</w:t>
            </w:r>
          </w:p>
        </w:tc>
        <w:tc>
          <w:tcPr>
            <w:tcW w:w="939" w:type="dxa"/>
            <w:tcBorders>
              <w:top w:val="nil"/>
              <w:left w:val="nil"/>
              <w:bottom w:val="nil"/>
              <w:right w:val="nil"/>
            </w:tcBorders>
            <w:shd w:val="clear" w:color="auto" w:fill="auto"/>
            <w:noWrap/>
            <w:vAlign w:val="bottom"/>
            <w:hideMark/>
          </w:tcPr>
          <w:p w14:paraId="70233F55"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#3</w:t>
            </w:r>
          </w:p>
        </w:tc>
        <w:tc>
          <w:tcPr>
            <w:tcW w:w="939" w:type="dxa"/>
            <w:tcBorders>
              <w:top w:val="nil"/>
              <w:left w:val="nil"/>
              <w:bottom w:val="nil"/>
              <w:right w:val="nil"/>
            </w:tcBorders>
            <w:shd w:val="clear" w:color="auto" w:fill="auto"/>
            <w:noWrap/>
            <w:vAlign w:val="bottom"/>
            <w:hideMark/>
          </w:tcPr>
          <w:p w14:paraId="1341A3FB"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#4</w:t>
            </w:r>
          </w:p>
        </w:tc>
        <w:tc>
          <w:tcPr>
            <w:tcW w:w="1134" w:type="dxa"/>
            <w:tcBorders>
              <w:top w:val="nil"/>
              <w:left w:val="nil"/>
              <w:bottom w:val="nil"/>
              <w:right w:val="single" w:sz="8" w:space="0" w:color="auto"/>
            </w:tcBorders>
            <w:shd w:val="clear" w:color="auto" w:fill="auto"/>
            <w:noWrap/>
            <w:vAlign w:val="bottom"/>
            <w:hideMark/>
          </w:tcPr>
          <w:p w14:paraId="583C90A6" w14:textId="77777777" w:rsidR="001529CE" w:rsidRPr="00720608" w:rsidRDefault="001529CE" w:rsidP="007B10BD">
            <w:pPr>
              <w:spacing w:before="0" w:after="0" w:line="240" w:lineRule="auto"/>
              <w:rPr>
                <w:rFonts w:cs="Arial"/>
                <w:color w:val="000000"/>
                <w:sz w:val="20"/>
                <w:szCs w:val="20"/>
                <w:lang w:eastAsia="en-GB"/>
              </w:rPr>
            </w:pPr>
            <w:r w:rsidRPr="00720608">
              <w:rPr>
                <w:rFonts w:cs="Arial"/>
                <w:color w:val="000000"/>
                <w:sz w:val="20"/>
                <w:szCs w:val="20"/>
                <w:lang w:eastAsia="en-GB"/>
              </w:rPr>
              <w:t>#5</w:t>
            </w:r>
          </w:p>
        </w:tc>
      </w:tr>
      <w:tr w:rsidR="001529CE" w:rsidRPr="00720608" w14:paraId="06C1103A" w14:textId="77777777" w:rsidTr="007B10BD">
        <w:trPr>
          <w:trHeight w:val="288"/>
        </w:trPr>
        <w:tc>
          <w:tcPr>
            <w:tcW w:w="3534" w:type="dxa"/>
            <w:tcBorders>
              <w:top w:val="nil"/>
              <w:left w:val="single" w:sz="8" w:space="0" w:color="auto"/>
              <w:bottom w:val="nil"/>
              <w:right w:val="single" w:sz="8" w:space="0" w:color="auto"/>
            </w:tcBorders>
            <w:shd w:val="clear" w:color="000000" w:fill="FFFF00"/>
            <w:noWrap/>
            <w:vAlign w:val="bottom"/>
            <w:hideMark/>
          </w:tcPr>
          <w:p w14:paraId="029B787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32.62</w:t>
            </w:r>
          </w:p>
        </w:tc>
        <w:tc>
          <w:tcPr>
            <w:tcW w:w="1940" w:type="dxa"/>
            <w:tcBorders>
              <w:top w:val="nil"/>
              <w:left w:val="single" w:sz="8" w:space="0" w:color="auto"/>
              <w:bottom w:val="nil"/>
              <w:right w:val="nil"/>
            </w:tcBorders>
            <w:shd w:val="clear" w:color="000000" w:fill="FFFF00"/>
            <w:noWrap/>
            <w:vAlign w:val="bottom"/>
            <w:hideMark/>
          </w:tcPr>
          <w:p w14:paraId="2168823C"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32.81</w:t>
            </w:r>
          </w:p>
        </w:tc>
        <w:tc>
          <w:tcPr>
            <w:tcW w:w="939" w:type="dxa"/>
            <w:tcBorders>
              <w:top w:val="nil"/>
              <w:left w:val="nil"/>
              <w:bottom w:val="nil"/>
              <w:right w:val="nil"/>
            </w:tcBorders>
            <w:shd w:val="clear" w:color="000000" w:fill="C6E0B4"/>
            <w:noWrap/>
            <w:vAlign w:val="bottom"/>
            <w:hideMark/>
          </w:tcPr>
          <w:p w14:paraId="415902F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31.99</w:t>
            </w:r>
          </w:p>
        </w:tc>
        <w:tc>
          <w:tcPr>
            <w:tcW w:w="939" w:type="dxa"/>
            <w:tcBorders>
              <w:top w:val="nil"/>
              <w:left w:val="nil"/>
              <w:bottom w:val="nil"/>
              <w:right w:val="nil"/>
            </w:tcBorders>
            <w:shd w:val="clear" w:color="000000" w:fill="C6E0B4"/>
            <w:noWrap/>
            <w:vAlign w:val="bottom"/>
            <w:hideMark/>
          </w:tcPr>
          <w:p w14:paraId="0ED31C3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30.94</w:t>
            </w:r>
          </w:p>
        </w:tc>
        <w:tc>
          <w:tcPr>
            <w:tcW w:w="939" w:type="dxa"/>
            <w:tcBorders>
              <w:top w:val="nil"/>
              <w:left w:val="nil"/>
              <w:bottom w:val="nil"/>
              <w:right w:val="nil"/>
            </w:tcBorders>
            <w:shd w:val="clear" w:color="000000" w:fill="C6E0B4"/>
            <w:noWrap/>
            <w:vAlign w:val="bottom"/>
            <w:hideMark/>
          </w:tcPr>
          <w:p w14:paraId="53EF2295"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30.53</w:t>
            </w:r>
          </w:p>
        </w:tc>
        <w:tc>
          <w:tcPr>
            <w:tcW w:w="939" w:type="dxa"/>
            <w:tcBorders>
              <w:top w:val="nil"/>
              <w:left w:val="nil"/>
              <w:bottom w:val="nil"/>
              <w:right w:val="nil"/>
            </w:tcBorders>
            <w:shd w:val="clear" w:color="000000" w:fill="FFFF00"/>
            <w:noWrap/>
            <w:vAlign w:val="bottom"/>
            <w:hideMark/>
          </w:tcPr>
          <w:p w14:paraId="180E807A"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32.68</w:t>
            </w:r>
          </w:p>
        </w:tc>
        <w:tc>
          <w:tcPr>
            <w:tcW w:w="939" w:type="dxa"/>
            <w:tcBorders>
              <w:top w:val="nil"/>
              <w:left w:val="nil"/>
              <w:bottom w:val="nil"/>
              <w:right w:val="nil"/>
            </w:tcBorders>
            <w:shd w:val="clear" w:color="000000" w:fill="FFFF00"/>
            <w:noWrap/>
            <w:vAlign w:val="bottom"/>
            <w:hideMark/>
          </w:tcPr>
          <w:p w14:paraId="7F6393B2"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32.67</w:t>
            </w:r>
          </w:p>
        </w:tc>
        <w:tc>
          <w:tcPr>
            <w:tcW w:w="939" w:type="dxa"/>
            <w:tcBorders>
              <w:top w:val="nil"/>
              <w:left w:val="nil"/>
              <w:bottom w:val="nil"/>
              <w:right w:val="nil"/>
            </w:tcBorders>
            <w:shd w:val="clear" w:color="000000" w:fill="FFFF00"/>
            <w:noWrap/>
            <w:vAlign w:val="bottom"/>
            <w:hideMark/>
          </w:tcPr>
          <w:p w14:paraId="2A26098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32.24</w:t>
            </w:r>
          </w:p>
        </w:tc>
        <w:tc>
          <w:tcPr>
            <w:tcW w:w="939" w:type="dxa"/>
            <w:tcBorders>
              <w:top w:val="nil"/>
              <w:left w:val="nil"/>
              <w:bottom w:val="nil"/>
              <w:right w:val="nil"/>
            </w:tcBorders>
            <w:shd w:val="clear" w:color="000000" w:fill="FFFF00"/>
            <w:noWrap/>
            <w:vAlign w:val="bottom"/>
            <w:hideMark/>
          </w:tcPr>
          <w:p w14:paraId="10484F3F"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32.16</w:t>
            </w:r>
          </w:p>
        </w:tc>
        <w:tc>
          <w:tcPr>
            <w:tcW w:w="939" w:type="dxa"/>
            <w:tcBorders>
              <w:top w:val="nil"/>
              <w:left w:val="nil"/>
              <w:bottom w:val="nil"/>
              <w:right w:val="nil"/>
            </w:tcBorders>
            <w:shd w:val="clear" w:color="000000" w:fill="C6E0B4"/>
            <w:noWrap/>
            <w:vAlign w:val="bottom"/>
            <w:hideMark/>
          </w:tcPr>
          <w:p w14:paraId="4114D72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31.52</w:t>
            </w:r>
          </w:p>
        </w:tc>
        <w:tc>
          <w:tcPr>
            <w:tcW w:w="1134" w:type="dxa"/>
            <w:tcBorders>
              <w:top w:val="nil"/>
              <w:left w:val="nil"/>
              <w:bottom w:val="nil"/>
              <w:right w:val="single" w:sz="8" w:space="0" w:color="auto"/>
            </w:tcBorders>
            <w:shd w:val="clear" w:color="000000" w:fill="C6E0B4"/>
            <w:noWrap/>
            <w:vAlign w:val="bottom"/>
            <w:hideMark/>
          </w:tcPr>
          <w:p w14:paraId="578E3CD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27.64</w:t>
            </w:r>
          </w:p>
        </w:tc>
      </w:tr>
      <w:tr w:rsidR="001529CE" w:rsidRPr="00720608" w14:paraId="62F8A136" w14:textId="77777777" w:rsidTr="007B10BD">
        <w:trPr>
          <w:trHeight w:val="288"/>
        </w:trPr>
        <w:tc>
          <w:tcPr>
            <w:tcW w:w="5474" w:type="dxa"/>
            <w:gridSpan w:val="2"/>
            <w:tcBorders>
              <w:top w:val="single" w:sz="8" w:space="0" w:color="auto"/>
              <w:left w:val="single" w:sz="8" w:space="0" w:color="auto"/>
              <w:bottom w:val="nil"/>
              <w:right w:val="nil"/>
            </w:tcBorders>
            <w:shd w:val="clear" w:color="auto" w:fill="008938"/>
            <w:noWrap/>
            <w:hideMark/>
          </w:tcPr>
          <w:p w14:paraId="379827CF" w14:textId="77777777" w:rsidR="001529CE" w:rsidRPr="00720608" w:rsidRDefault="001529CE" w:rsidP="007B10BD">
            <w:pPr>
              <w:spacing w:before="0" w:after="0" w:line="240" w:lineRule="auto"/>
              <w:jc w:val="right"/>
              <w:rPr>
                <w:rFonts w:cs="Arial"/>
                <w:color w:val="000000"/>
                <w:sz w:val="20"/>
                <w:szCs w:val="20"/>
                <w:lang w:eastAsia="en-GB"/>
              </w:rPr>
            </w:pPr>
            <w:r w:rsidRPr="00C736FE">
              <w:rPr>
                <w:rFonts w:cs="Arial"/>
                <w:b/>
                <w:bCs/>
                <w:color w:val="FFFFFF" w:themeColor="background1"/>
                <w:sz w:val="20"/>
                <w:szCs w:val="20"/>
                <w:lang w:eastAsia="en-GB"/>
              </w:rPr>
              <w:t>Change from Baseline (µg/m</w:t>
            </w:r>
            <w:r w:rsidRPr="00C736FE">
              <w:rPr>
                <w:rFonts w:cs="Arial"/>
                <w:b/>
                <w:bCs/>
                <w:color w:val="FFFFFF" w:themeColor="background1"/>
                <w:sz w:val="20"/>
                <w:szCs w:val="20"/>
                <w:vertAlign w:val="superscript"/>
                <w:lang w:eastAsia="en-GB"/>
              </w:rPr>
              <w:t>3</w:t>
            </w:r>
            <w:r w:rsidRPr="00C736FE">
              <w:rPr>
                <w:rFonts w:cs="Arial"/>
                <w:b/>
                <w:bCs/>
                <w:color w:val="FFFFFF" w:themeColor="background1"/>
                <w:sz w:val="20"/>
                <w:szCs w:val="20"/>
                <w:lang w:eastAsia="en-GB"/>
              </w:rPr>
              <w:t>)</w:t>
            </w:r>
          </w:p>
        </w:tc>
        <w:tc>
          <w:tcPr>
            <w:tcW w:w="939" w:type="dxa"/>
            <w:tcBorders>
              <w:top w:val="single" w:sz="8" w:space="0" w:color="auto"/>
              <w:left w:val="nil"/>
              <w:bottom w:val="nil"/>
              <w:right w:val="nil"/>
            </w:tcBorders>
            <w:shd w:val="clear" w:color="000000" w:fill="F5F9F3"/>
            <w:noWrap/>
            <w:vAlign w:val="bottom"/>
            <w:hideMark/>
          </w:tcPr>
          <w:p w14:paraId="633C068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-0.82</w:t>
            </w:r>
          </w:p>
        </w:tc>
        <w:tc>
          <w:tcPr>
            <w:tcW w:w="939" w:type="dxa"/>
            <w:tcBorders>
              <w:top w:val="single" w:sz="8" w:space="0" w:color="auto"/>
              <w:left w:val="nil"/>
              <w:bottom w:val="nil"/>
              <w:right w:val="nil"/>
            </w:tcBorders>
            <w:shd w:val="clear" w:color="000000" w:fill="E9F3E4"/>
            <w:noWrap/>
            <w:vAlign w:val="bottom"/>
            <w:hideMark/>
          </w:tcPr>
          <w:p w14:paraId="10D2D963"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-1.87</w:t>
            </w:r>
          </w:p>
        </w:tc>
        <w:tc>
          <w:tcPr>
            <w:tcW w:w="939" w:type="dxa"/>
            <w:tcBorders>
              <w:top w:val="single" w:sz="8" w:space="0" w:color="auto"/>
              <w:left w:val="nil"/>
              <w:bottom w:val="nil"/>
              <w:right w:val="nil"/>
            </w:tcBorders>
            <w:shd w:val="clear" w:color="000000" w:fill="E5F0DE"/>
            <w:noWrap/>
            <w:vAlign w:val="bottom"/>
            <w:hideMark/>
          </w:tcPr>
          <w:p w14:paraId="03EA5FDE"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-2.27</w:t>
            </w:r>
          </w:p>
        </w:tc>
        <w:tc>
          <w:tcPr>
            <w:tcW w:w="939" w:type="dxa"/>
            <w:tcBorders>
              <w:top w:val="single" w:sz="8" w:space="0" w:color="auto"/>
              <w:left w:val="nil"/>
              <w:bottom w:val="nil"/>
              <w:right w:val="nil"/>
            </w:tcBorders>
            <w:shd w:val="clear" w:color="000000" w:fill="FDFEFD"/>
            <w:noWrap/>
            <w:vAlign w:val="bottom"/>
            <w:hideMark/>
          </w:tcPr>
          <w:p w14:paraId="516C8444"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-0.12</w:t>
            </w:r>
          </w:p>
        </w:tc>
        <w:tc>
          <w:tcPr>
            <w:tcW w:w="939" w:type="dxa"/>
            <w:tcBorders>
              <w:top w:val="single" w:sz="8" w:space="0" w:color="auto"/>
              <w:left w:val="nil"/>
              <w:bottom w:val="nil"/>
              <w:right w:val="nil"/>
            </w:tcBorders>
            <w:shd w:val="clear" w:color="000000" w:fill="FDFEFD"/>
            <w:noWrap/>
            <w:vAlign w:val="bottom"/>
            <w:hideMark/>
          </w:tcPr>
          <w:p w14:paraId="4B1AFC85"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-0.13</w:t>
            </w:r>
          </w:p>
        </w:tc>
        <w:tc>
          <w:tcPr>
            <w:tcW w:w="939" w:type="dxa"/>
            <w:tcBorders>
              <w:top w:val="single" w:sz="8" w:space="0" w:color="auto"/>
              <w:left w:val="nil"/>
              <w:bottom w:val="nil"/>
              <w:right w:val="nil"/>
            </w:tcBorders>
            <w:shd w:val="clear" w:color="000000" w:fill="F8FBF6"/>
            <w:noWrap/>
            <w:vAlign w:val="bottom"/>
            <w:hideMark/>
          </w:tcPr>
          <w:p w14:paraId="65564FA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-0.56</w:t>
            </w:r>
          </w:p>
        </w:tc>
        <w:tc>
          <w:tcPr>
            <w:tcW w:w="939" w:type="dxa"/>
            <w:tcBorders>
              <w:top w:val="single" w:sz="8" w:space="0" w:color="auto"/>
              <w:left w:val="nil"/>
              <w:bottom w:val="nil"/>
              <w:right w:val="nil"/>
            </w:tcBorders>
            <w:shd w:val="clear" w:color="000000" w:fill="F7FBF5"/>
            <w:noWrap/>
            <w:vAlign w:val="bottom"/>
            <w:hideMark/>
          </w:tcPr>
          <w:p w14:paraId="3B3ADBF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-0.64</w:t>
            </w:r>
          </w:p>
        </w:tc>
        <w:tc>
          <w:tcPr>
            <w:tcW w:w="939" w:type="dxa"/>
            <w:tcBorders>
              <w:top w:val="single" w:sz="8" w:space="0" w:color="auto"/>
              <w:left w:val="nil"/>
              <w:bottom w:val="nil"/>
              <w:right w:val="nil"/>
            </w:tcBorders>
            <w:shd w:val="clear" w:color="000000" w:fill="F0F6EC"/>
            <w:noWrap/>
            <w:vAlign w:val="bottom"/>
            <w:hideMark/>
          </w:tcPr>
          <w:p w14:paraId="5C1556D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-1.29</w:t>
            </w:r>
          </w:p>
        </w:tc>
        <w:tc>
          <w:tcPr>
            <w:tcW w:w="1134" w:type="dxa"/>
            <w:tcBorders>
              <w:top w:val="single" w:sz="8" w:space="0" w:color="auto"/>
              <w:left w:val="nil"/>
              <w:bottom w:val="nil"/>
              <w:right w:val="single" w:sz="8" w:space="0" w:color="auto"/>
            </w:tcBorders>
            <w:shd w:val="clear" w:color="000000" w:fill="00FF00"/>
            <w:noWrap/>
            <w:vAlign w:val="bottom"/>
            <w:hideMark/>
          </w:tcPr>
          <w:p w14:paraId="39B1543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-5.16</w:t>
            </w:r>
          </w:p>
        </w:tc>
      </w:tr>
      <w:tr w:rsidR="001529CE" w:rsidRPr="00720608" w14:paraId="3CFE4044" w14:textId="77777777" w:rsidTr="007B10BD">
        <w:trPr>
          <w:trHeight w:val="288"/>
        </w:trPr>
        <w:tc>
          <w:tcPr>
            <w:tcW w:w="5474" w:type="dxa"/>
            <w:gridSpan w:val="2"/>
            <w:tcBorders>
              <w:top w:val="nil"/>
              <w:left w:val="single" w:sz="8" w:space="0" w:color="auto"/>
              <w:bottom w:val="single" w:sz="8" w:space="0" w:color="auto"/>
              <w:right w:val="nil"/>
            </w:tcBorders>
            <w:shd w:val="clear" w:color="auto" w:fill="008938"/>
            <w:noWrap/>
            <w:hideMark/>
          </w:tcPr>
          <w:p w14:paraId="774D8FA5" w14:textId="77777777" w:rsidR="001529CE" w:rsidRPr="00720608" w:rsidRDefault="001529CE" w:rsidP="007B10BD">
            <w:pPr>
              <w:spacing w:before="0" w:after="0" w:line="240" w:lineRule="auto"/>
              <w:jc w:val="right"/>
              <w:rPr>
                <w:rFonts w:cs="Arial"/>
                <w:color w:val="000000"/>
                <w:sz w:val="20"/>
                <w:szCs w:val="20"/>
                <w:lang w:eastAsia="en-GB"/>
              </w:rPr>
            </w:pPr>
            <w:r w:rsidRPr="00C736FE">
              <w:rPr>
                <w:rFonts w:cs="Arial"/>
                <w:b/>
                <w:bCs/>
                <w:color w:val="FFFFFF" w:themeColor="background1"/>
                <w:sz w:val="20"/>
                <w:szCs w:val="20"/>
                <w:lang w:eastAsia="en-GB"/>
              </w:rPr>
              <w:t>Change from Baseline (%)</w:t>
            </w:r>
          </w:p>
        </w:tc>
        <w:tc>
          <w:tcPr>
            <w:tcW w:w="939" w:type="dxa"/>
            <w:tcBorders>
              <w:top w:val="nil"/>
              <w:left w:val="nil"/>
              <w:bottom w:val="single" w:sz="8" w:space="0" w:color="auto"/>
              <w:right w:val="nil"/>
            </w:tcBorders>
            <w:shd w:val="clear" w:color="000000" w:fill="F5FAF3"/>
            <w:noWrap/>
            <w:vAlign w:val="bottom"/>
            <w:hideMark/>
          </w:tcPr>
          <w:p w14:paraId="758CB6E2"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-2.5%</w:t>
            </w:r>
          </w:p>
        </w:tc>
        <w:tc>
          <w:tcPr>
            <w:tcW w:w="939" w:type="dxa"/>
            <w:tcBorders>
              <w:top w:val="nil"/>
              <w:left w:val="nil"/>
              <w:bottom w:val="single" w:sz="8" w:space="0" w:color="auto"/>
              <w:right w:val="nil"/>
            </w:tcBorders>
            <w:shd w:val="clear" w:color="000000" w:fill="EAF3E4"/>
            <w:noWrap/>
            <w:vAlign w:val="bottom"/>
            <w:hideMark/>
          </w:tcPr>
          <w:p w14:paraId="3250E561"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-5.7%</w:t>
            </w:r>
          </w:p>
        </w:tc>
        <w:tc>
          <w:tcPr>
            <w:tcW w:w="939" w:type="dxa"/>
            <w:tcBorders>
              <w:top w:val="nil"/>
              <w:left w:val="nil"/>
              <w:bottom w:val="single" w:sz="8" w:space="0" w:color="auto"/>
              <w:right w:val="nil"/>
            </w:tcBorders>
            <w:shd w:val="clear" w:color="000000" w:fill="E6F1DF"/>
            <w:noWrap/>
            <w:vAlign w:val="bottom"/>
            <w:hideMark/>
          </w:tcPr>
          <w:p w14:paraId="647C75A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-6.9%</w:t>
            </w:r>
          </w:p>
        </w:tc>
        <w:tc>
          <w:tcPr>
            <w:tcW w:w="939" w:type="dxa"/>
            <w:tcBorders>
              <w:top w:val="nil"/>
              <w:left w:val="nil"/>
              <w:bottom w:val="single" w:sz="8" w:space="0" w:color="auto"/>
              <w:right w:val="nil"/>
            </w:tcBorders>
            <w:shd w:val="clear" w:color="000000" w:fill="FDFEFD"/>
            <w:noWrap/>
            <w:vAlign w:val="bottom"/>
            <w:hideMark/>
          </w:tcPr>
          <w:p w14:paraId="15BA8972"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-0.4%</w:t>
            </w:r>
          </w:p>
        </w:tc>
        <w:tc>
          <w:tcPr>
            <w:tcW w:w="939" w:type="dxa"/>
            <w:tcBorders>
              <w:top w:val="nil"/>
              <w:left w:val="nil"/>
              <w:bottom w:val="single" w:sz="8" w:space="0" w:color="auto"/>
              <w:right w:val="nil"/>
            </w:tcBorders>
            <w:shd w:val="clear" w:color="000000" w:fill="FDFEFD"/>
            <w:noWrap/>
            <w:vAlign w:val="bottom"/>
            <w:hideMark/>
          </w:tcPr>
          <w:p w14:paraId="3037A4F8"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-0.4%</w:t>
            </w:r>
          </w:p>
        </w:tc>
        <w:tc>
          <w:tcPr>
            <w:tcW w:w="939" w:type="dxa"/>
            <w:tcBorders>
              <w:top w:val="nil"/>
              <w:left w:val="nil"/>
              <w:bottom w:val="single" w:sz="8" w:space="0" w:color="auto"/>
              <w:right w:val="nil"/>
            </w:tcBorders>
            <w:shd w:val="clear" w:color="000000" w:fill="F8FBF7"/>
            <w:noWrap/>
            <w:vAlign w:val="bottom"/>
            <w:hideMark/>
          </w:tcPr>
          <w:p w14:paraId="61C08DAA"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-1.7%</w:t>
            </w:r>
          </w:p>
        </w:tc>
        <w:tc>
          <w:tcPr>
            <w:tcW w:w="939" w:type="dxa"/>
            <w:tcBorders>
              <w:top w:val="nil"/>
              <w:left w:val="nil"/>
              <w:bottom w:val="single" w:sz="8" w:space="0" w:color="auto"/>
              <w:right w:val="nil"/>
            </w:tcBorders>
            <w:shd w:val="clear" w:color="000000" w:fill="F7FBF5"/>
            <w:noWrap/>
            <w:vAlign w:val="bottom"/>
            <w:hideMark/>
          </w:tcPr>
          <w:p w14:paraId="3307AF37"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-2.0%</w:t>
            </w:r>
          </w:p>
        </w:tc>
        <w:tc>
          <w:tcPr>
            <w:tcW w:w="939" w:type="dxa"/>
            <w:tcBorders>
              <w:top w:val="nil"/>
              <w:left w:val="nil"/>
              <w:bottom w:val="single" w:sz="8" w:space="0" w:color="auto"/>
              <w:right w:val="nil"/>
            </w:tcBorders>
            <w:shd w:val="clear" w:color="000000" w:fill="F0F7EC"/>
            <w:noWrap/>
            <w:vAlign w:val="bottom"/>
            <w:hideMark/>
          </w:tcPr>
          <w:p w14:paraId="48D99F81"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-3.9%</w:t>
            </w:r>
          </w:p>
        </w:tc>
        <w:tc>
          <w:tcPr>
            <w:tcW w:w="1134" w:type="dxa"/>
            <w:tcBorders>
              <w:top w:val="nil"/>
              <w:left w:val="nil"/>
              <w:bottom w:val="single" w:sz="8" w:space="0" w:color="auto"/>
              <w:right w:val="single" w:sz="8" w:space="0" w:color="auto"/>
            </w:tcBorders>
            <w:shd w:val="clear" w:color="000000" w:fill="00FF00"/>
            <w:noWrap/>
            <w:vAlign w:val="bottom"/>
            <w:hideMark/>
          </w:tcPr>
          <w:p w14:paraId="5FC8FF7D" w14:textId="77777777" w:rsidR="001529CE" w:rsidRPr="00720608" w:rsidRDefault="001529CE" w:rsidP="007B10BD">
            <w:pPr>
              <w:spacing w:before="0" w:after="0" w:line="240" w:lineRule="auto"/>
              <w:jc w:val="right"/>
              <w:rPr>
                <w:rFonts w:cs="Arial"/>
                <w:color w:val="000000"/>
                <w:sz w:val="20"/>
                <w:szCs w:val="20"/>
                <w:lang w:eastAsia="en-GB"/>
              </w:rPr>
            </w:pPr>
            <w:r w:rsidRPr="00720608">
              <w:rPr>
                <w:rFonts w:cs="Arial"/>
                <w:color w:val="000000"/>
                <w:sz w:val="20"/>
                <w:szCs w:val="20"/>
                <w:lang w:eastAsia="en-GB"/>
              </w:rPr>
              <w:t>-15.7%</w:t>
            </w:r>
          </w:p>
        </w:tc>
      </w:tr>
    </w:tbl>
    <w:p w14:paraId="00F45317" w14:textId="77777777" w:rsidR="001529CE" w:rsidRPr="00720608" w:rsidRDefault="001529CE" w:rsidP="001529CE">
      <w:pPr>
        <w:rPr>
          <w:rFonts w:cs="Arial"/>
          <w:sz w:val="20"/>
          <w:szCs w:val="20"/>
        </w:rPr>
      </w:pPr>
    </w:p>
    <w:p w14:paraId="3824396D" w14:textId="77777777" w:rsidR="001529CE" w:rsidRDefault="001529CE" w:rsidP="00887760">
      <w:pPr>
        <w:pStyle w:val="Figures"/>
      </w:pPr>
      <w:bookmarkStart w:id="311" w:name="_Toc160129368"/>
      <w:r>
        <w:lastRenderedPageBreak/>
        <w:t xml:space="preserve">Figure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Figure \* ALPHABETIC \s 1 </w:instrText>
      </w:r>
      <w:r w:rsidR="000F4CA1">
        <w:fldChar w:fldCharType="separate"/>
      </w:r>
      <w:r>
        <w:rPr>
          <w:noProof/>
        </w:rPr>
        <w:t>A</w:t>
      </w:r>
      <w:r w:rsidR="000F4CA1">
        <w:rPr>
          <w:noProof/>
        </w:rPr>
        <w:fldChar w:fldCharType="end"/>
      </w:r>
      <w:r>
        <w:t xml:space="preserve"> – scenario modelling NO</w:t>
      </w:r>
      <w:r w:rsidRPr="00720608">
        <w:rPr>
          <w:vertAlign w:val="subscript"/>
        </w:rPr>
        <w:t>2</w:t>
      </w:r>
      <w:r>
        <w:t xml:space="preserve"> concentrations across AQMA 4 monitoring sites using individual adjustment factors.</w:t>
      </w:r>
      <w:bookmarkEnd w:id="311"/>
    </w:p>
    <w:p w14:paraId="60BBDA8C" w14:textId="77777777" w:rsidR="001529CE" w:rsidRDefault="001529CE" w:rsidP="001529CE">
      <w:pPr>
        <w:spacing w:before="0" w:after="0" w:line="240" w:lineRule="auto"/>
      </w:pPr>
      <w:r>
        <w:rPr>
          <w:noProof/>
        </w:rPr>
        <w:drawing>
          <wp:inline distT="0" distB="0" distL="0" distR="0" wp14:anchorId="2F83EE1E" wp14:editId="467C9702">
            <wp:extent cx="9034145" cy="5096510"/>
            <wp:effectExtent l="0" t="0" r="0" b="8890"/>
            <wp:docPr id="13" name="Picture 13" descr="Figure 4-A: scenario modelling nitrogen dioxide concentrations across AQMA 4 monitoring sites using individual adjustment factors. The pattern of results is similar at all sites, which is expected as they are all affected by the same source. Scenario #1c and #5 are the most effective in reducing NO2 concen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4-A: scenario modelling nitrogen dioxide concentrations across AQMA 4 monitoring sites using individual adjustment factors. The pattern of results is similar at all sites, which is expected as they are all affected by the same source. Scenario #1c and #5 are the most effective in reducing NO2 concentrations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34145" cy="5096510"/>
                    </a:xfrm>
                    <a:prstGeom prst="rect">
                      <a:avLst/>
                    </a:prstGeom>
                    <a:noFill/>
                    <a:ln>
                      <a:noFill/>
                    </a:ln>
                  </pic:spPr>
                </pic:pic>
              </a:graphicData>
            </a:graphic>
          </wp:inline>
        </w:drawing>
      </w:r>
    </w:p>
    <w:p w14:paraId="21BC0AE6" w14:textId="5F6CA7E9" w:rsidR="002A6503" w:rsidRDefault="002A6503" w:rsidP="001529CE">
      <w:pPr>
        <w:sectPr w:rsidR="002A6503" w:rsidSect="00D73EE9">
          <w:pgSz w:w="16838" w:h="11906" w:orient="landscape" w:code="9"/>
          <w:pgMar w:top="1418" w:right="1474" w:bottom="1418" w:left="1134" w:header="964" w:footer="454" w:gutter="0"/>
          <w:cols w:space="708"/>
          <w:docGrid w:linePitch="360"/>
        </w:sectPr>
      </w:pPr>
    </w:p>
    <w:p w14:paraId="45FACB75" w14:textId="77777777" w:rsidR="001529CE" w:rsidRPr="00DE3F11" w:rsidRDefault="001529CE" w:rsidP="0025036F">
      <w:pPr>
        <w:pStyle w:val="Heading2"/>
        <w:numPr>
          <w:ilvl w:val="1"/>
          <w:numId w:val="75"/>
        </w:numPr>
      </w:pPr>
      <w:r>
        <w:lastRenderedPageBreak/>
        <w:t xml:space="preserve"> </w:t>
      </w:r>
      <w:bookmarkStart w:id="312" w:name="_Toc159264933"/>
      <w:bookmarkStart w:id="313" w:name="_Toc160129610"/>
      <w:r>
        <w:t>Scenario model results – PM</w:t>
      </w:r>
      <w:r w:rsidRPr="00C41398">
        <w:rPr>
          <w:vertAlign w:val="subscript"/>
        </w:rPr>
        <w:t>10</w:t>
      </w:r>
      <w:r>
        <w:t xml:space="preserve"> and PM</w:t>
      </w:r>
      <w:r w:rsidRPr="00C41398">
        <w:rPr>
          <w:vertAlign w:val="subscript"/>
        </w:rPr>
        <w:t>2.5</w:t>
      </w:r>
      <w:bookmarkEnd w:id="312"/>
      <w:bookmarkEnd w:id="313"/>
    </w:p>
    <w:p w14:paraId="415C204B" w14:textId="77777777" w:rsidR="001529CE" w:rsidRDefault="001529CE" w:rsidP="001529CE">
      <w:r>
        <w:t>From the outcomes of the scenario modelling for NO</w:t>
      </w:r>
      <w:r w:rsidRPr="004C6E77">
        <w:rPr>
          <w:vertAlign w:val="subscript"/>
        </w:rPr>
        <w:t>2</w:t>
      </w:r>
      <w:r>
        <w:t>, it can be seen that the most effective measures target the modal shift from passenger vehicles and transition towards using EVs (#1) and the combination of all measures in the AQAP (#5). The outcomes of the source apportionment study show that road emissions contribute relatively less to PM</w:t>
      </w:r>
      <w:r w:rsidRPr="004C6E77">
        <w:rPr>
          <w:vertAlign w:val="subscript"/>
        </w:rPr>
        <w:t>10</w:t>
      </w:r>
      <w:r>
        <w:t xml:space="preserve"> and PM</w:t>
      </w:r>
      <w:r w:rsidRPr="004C6E77">
        <w:rPr>
          <w:vertAlign w:val="subscript"/>
        </w:rPr>
        <w:t>2.5</w:t>
      </w:r>
      <w:r>
        <w:t xml:space="preserve"> concentrations than to NO</w:t>
      </w:r>
      <w:r w:rsidRPr="004C6E77">
        <w:rPr>
          <w:vertAlign w:val="subscript"/>
        </w:rPr>
        <w:t>2</w:t>
      </w:r>
      <w:r>
        <w:t xml:space="preserve"> concentrations (see Section 3.3 and Appendix C.3).</w:t>
      </w:r>
    </w:p>
    <w:p w14:paraId="064FC074" w14:textId="77777777" w:rsidR="001529CE" w:rsidRDefault="001529CE" w:rsidP="001529CE">
      <w:r>
        <w:t xml:space="preserve">As such, the measures which are expected to result in the largest impact on PM emissions (#1 and #5) have been modelled. </w:t>
      </w:r>
    </w:p>
    <w:p w14:paraId="3C96E880" w14:textId="77777777" w:rsidR="001529CE" w:rsidRDefault="001529CE" w:rsidP="001529CE">
      <w:r>
        <w:t>The results of implementing these scenarios are shown in Tables 4-7, 4-8 and 4-9 for PM</w:t>
      </w:r>
      <w:r w:rsidRPr="004B1ACA">
        <w:rPr>
          <w:vertAlign w:val="subscript"/>
        </w:rPr>
        <w:t>10</w:t>
      </w:r>
      <w:r>
        <w:t>, and Tables 4-10, 4-11 and 4-12 for each adjustment factor. It can be seen that for PM</w:t>
      </w:r>
      <w:r w:rsidRPr="00185CE6">
        <w:rPr>
          <w:vertAlign w:val="subscript"/>
        </w:rPr>
        <w:t>10</w:t>
      </w:r>
      <w:r>
        <w:t>, the modal shift from private vehicle use to active travel, and EV transition (#1c) contributes to the majority of PM</w:t>
      </w:r>
      <w:r w:rsidRPr="00E24CDC">
        <w:rPr>
          <w:vertAlign w:val="subscript"/>
        </w:rPr>
        <w:t>10</w:t>
      </w:r>
      <w:r>
        <w:t xml:space="preserve"> emission reductions (compared to #5).</w:t>
      </w:r>
    </w:p>
    <w:p w14:paraId="04623F7C" w14:textId="77777777" w:rsidR="001529CE" w:rsidRDefault="001529CE" w:rsidP="001529CE">
      <w:r>
        <w:t>Table 4-7 and Table 4-10 show that for PM</w:t>
      </w:r>
      <w:r w:rsidRPr="00185CE6">
        <w:rPr>
          <w:vertAlign w:val="subscript"/>
        </w:rPr>
        <w:t>10</w:t>
      </w:r>
      <w:r>
        <w:t xml:space="preserve"> and PM</w:t>
      </w:r>
      <w:r w:rsidRPr="00185CE6">
        <w:rPr>
          <w:vertAlign w:val="subscript"/>
        </w:rPr>
        <w:t>2.5</w:t>
      </w:r>
      <w:r>
        <w:t>, emissions reductions as a result of implementing all measures (Scenario #5) result in 0.9%, and 1.2% reductions in average concentrations, respectively. Considering that only 10.6% and 9.3% of PM</w:t>
      </w:r>
      <w:r w:rsidRPr="005E236D">
        <w:rPr>
          <w:vertAlign w:val="subscript"/>
        </w:rPr>
        <w:t>10</w:t>
      </w:r>
      <w:r>
        <w:t xml:space="preserve"> and PM</w:t>
      </w:r>
      <w:r w:rsidRPr="005E236D">
        <w:rPr>
          <w:vertAlign w:val="subscript"/>
        </w:rPr>
        <w:t>2.5</w:t>
      </w:r>
      <w:r>
        <w:t xml:space="preserve"> emissions, respectively, were found to be sourced from road emissions sources (Appendix C.3.2), there is a 10-13% reduction in total PM road emissions as a result of implementing all measures. </w:t>
      </w:r>
    </w:p>
    <w:p w14:paraId="482A2860" w14:textId="77777777" w:rsidR="001529CE" w:rsidRDefault="001529CE" w:rsidP="001529CE">
      <w:r>
        <w:t>It is worth noting that although tailpipe PM emissions are reduced as a result of transitioning passenger car, taxi, and bus fleets to ZEVs, there are still contributions to PM emissions from brake and tyre wear.</w:t>
      </w:r>
    </w:p>
    <w:p w14:paraId="145BCAC9" w14:textId="77777777" w:rsidR="001529CE" w:rsidRPr="00185CE6" w:rsidRDefault="001529CE" w:rsidP="001529CE">
      <w:r>
        <w:t>The absolute and relative change in PM</w:t>
      </w:r>
      <w:r w:rsidRPr="00025EE7">
        <w:rPr>
          <w:vertAlign w:val="subscript"/>
        </w:rPr>
        <w:t>10</w:t>
      </w:r>
      <w:r>
        <w:t xml:space="preserve"> and PM</w:t>
      </w:r>
      <w:r w:rsidRPr="00025EE7">
        <w:rPr>
          <w:vertAlign w:val="subscript"/>
        </w:rPr>
        <w:t>2.5</w:t>
      </w:r>
      <w:r>
        <w:t xml:space="preserve"> concentrations for Scenario #1c and #5 and each adjustment factor are shown in Annex III.</w:t>
      </w:r>
    </w:p>
    <w:p w14:paraId="53058B9A" w14:textId="77777777" w:rsidR="00C07E70" w:rsidRDefault="00C07E70" w:rsidP="001529CE">
      <w:pPr>
        <w:pStyle w:val="Caption"/>
      </w:pPr>
      <w:bookmarkStart w:id="314" w:name="_Toc159264950"/>
    </w:p>
    <w:p w14:paraId="1747C4B1" w14:textId="77777777" w:rsidR="00887760" w:rsidRPr="00887760" w:rsidRDefault="00887760" w:rsidP="00887760"/>
    <w:p w14:paraId="207F47AE" w14:textId="4A0593D7" w:rsidR="001529CE" w:rsidRPr="004C6E77" w:rsidRDefault="001529CE" w:rsidP="00887760">
      <w:pPr>
        <w:pStyle w:val="Tables"/>
      </w:pPr>
      <w:bookmarkStart w:id="315" w:name="_Toc160123592"/>
      <w:bookmarkStart w:id="316" w:name="_Toc160123808"/>
      <w:bookmarkStart w:id="317" w:name="_Toc160128574"/>
      <w:r>
        <w:lastRenderedPageBreak/>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7</w:t>
      </w:r>
      <w:r w:rsidR="000F4CA1">
        <w:rPr>
          <w:noProof/>
        </w:rPr>
        <w:fldChar w:fldCharType="end"/>
      </w:r>
      <w:r>
        <w:t xml:space="preserve"> – scenario modelling PM</w:t>
      </w:r>
      <w:r w:rsidRPr="00D73EE9">
        <w:rPr>
          <w:vertAlign w:val="subscript"/>
        </w:rPr>
        <w:t>10</w:t>
      </w:r>
      <w:r>
        <w:t xml:space="preserve"> concentrations across Slough (using global adjustment factor)</w:t>
      </w:r>
      <w:bookmarkEnd w:id="314"/>
      <w:bookmarkEnd w:id="315"/>
      <w:bookmarkEnd w:id="316"/>
      <w:bookmarkEnd w:id="317"/>
    </w:p>
    <w:tbl>
      <w:tblPr>
        <w:tblW w:w="9072" w:type="dxa"/>
        <w:tblInd w:w="-10" w:type="dxa"/>
        <w:tblLook w:val="04A0" w:firstRow="1" w:lastRow="0" w:firstColumn="1" w:lastColumn="0" w:noHBand="0" w:noVBand="1"/>
      </w:tblPr>
      <w:tblGrid>
        <w:gridCol w:w="5245"/>
        <w:gridCol w:w="1701"/>
        <w:gridCol w:w="2126"/>
      </w:tblGrid>
      <w:tr w:rsidR="001529CE" w:rsidRPr="004C6E77" w14:paraId="2FA16B9A"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center"/>
          </w:tcPr>
          <w:p w14:paraId="4DED9CB3" w14:textId="77777777" w:rsidR="001529CE" w:rsidRDefault="001529CE" w:rsidP="007B10BD">
            <w:pPr>
              <w:spacing w:before="0" w:after="0" w:line="240" w:lineRule="auto"/>
              <w:jc w:val="center"/>
              <w:rPr>
                <w:rFonts w:ascii="Calibri" w:hAnsi="Calibri" w:cs="Calibri"/>
                <w:color w:val="000000"/>
                <w:sz w:val="22"/>
                <w:szCs w:val="22"/>
                <w:lang w:eastAsia="en-GB"/>
              </w:rPr>
            </w:pPr>
            <w:r w:rsidRPr="00285391">
              <w:rPr>
                <w:rFonts w:cs="Arial"/>
                <w:b/>
                <w:bCs/>
                <w:color w:val="FFFFFF" w:themeColor="background1"/>
                <w:sz w:val="20"/>
                <w:szCs w:val="20"/>
                <w:lang w:eastAsia="en-GB"/>
              </w:rPr>
              <w:t xml:space="preserve">Modelled </w:t>
            </w:r>
            <w:r>
              <w:rPr>
                <w:rFonts w:cs="Arial"/>
                <w:b/>
                <w:bCs/>
                <w:color w:val="FFFFFF" w:themeColor="background1"/>
                <w:sz w:val="20"/>
                <w:szCs w:val="20"/>
                <w:lang w:eastAsia="en-GB"/>
              </w:rPr>
              <w:t>PM</w:t>
            </w:r>
            <w:r w:rsidRPr="001B21A6">
              <w:rPr>
                <w:rFonts w:cs="Arial"/>
                <w:b/>
                <w:bCs/>
                <w:color w:val="FFFFFF" w:themeColor="background1"/>
                <w:sz w:val="20"/>
                <w:szCs w:val="20"/>
                <w:vertAlign w:val="subscript"/>
                <w:lang w:eastAsia="en-GB"/>
              </w:rPr>
              <w:t>10</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 by scenario</w:t>
            </w:r>
          </w:p>
        </w:tc>
      </w:tr>
      <w:tr w:rsidR="001529CE" w:rsidRPr="004C6E77" w14:paraId="41A18030"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5EA9ADFD"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(Global)</w:t>
            </w:r>
          </w:p>
        </w:tc>
        <w:tc>
          <w:tcPr>
            <w:tcW w:w="1701" w:type="dxa"/>
            <w:tcBorders>
              <w:top w:val="nil"/>
              <w:left w:val="nil"/>
              <w:bottom w:val="nil"/>
              <w:right w:val="nil"/>
            </w:tcBorders>
            <w:shd w:val="clear" w:color="auto" w:fill="FFFFFF" w:themeFill="background1"/>
            <w:noWrap/>
            <w:vAlign w:val="center"/>
            <w:hideMark/>
          </w:tcPr>
          <w:p w14:paraId="2E84A1D8"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3141BAA1"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1768415F" w14:textId="77777777" w:rsidTr="007B10BD">
        <w:trPr>
          <w:trHeight w:val="288"/>
        </w:trPr>
        <w:tc>
          <w:tcPr>
            <w:tcW w:w="5245" w:type="dxa"/>
            <w:tcBorders>
              <w:top w:val="nil"/>
              <w:left w:val="single" w:sz="8" w:space="0" w:color="auto"/>
              <w:bottom w:val="nil"/>
              <w:right w:val="nil"/>
            </w:tcBorders>
            <w:shd w:val="clear" w:color="000000" w:fill="A9D08E"/>
            <w:noWrap/>
            <w:vAlign w:val="center"/>
            <w:hideMark/>
          </w:tcPr>
          <w:p w14:paraId="6BBF9923"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18.00</w:t>
            </w:r>
          </w:p>
        </w:tc>
        <w:tc>
          <w:tcPr>
            <w:tcW w:w="1701" w:type="dxa"/>
            <w:tcBorders>
              <w:top w:val="nil"/>
              <w:left w:val="nil"/>
              <w:bottom w:val="nil"/>
              <w:right w:val="nil"/>
            </w:tcBorders>
            <w:shd w:val="clear" w:color="000000" w:fill="A9D08E"/>
            <w:noWrap/>
            <w:vAlign w:val="center"/>
            <w:hideMark/>
          </w:tcPr>
          <w:p w14:paraId="3062BC8A"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17.85</w:t>
            </w:r>
          </w:p>
        </w:tc>
        <w:tc>
          <w:tcPr>
            <w:tcW w:w="2126" w:type="dxa"/>
            <w:tcBorders>
              <w:top w:val="nil"/>
              <w:left w:val="nil"/>
              <w:bottom w:val="nil"/>
              <w:right w:val="single" w:sz="8" w:space="0" w:color="auto"/>
            </w:tcBorders>
            <w:shd w:val="clear" w:color="000000" w:fill="A9D08E"/>
            <w:noWrap/>
            <w:vAlign w:val="center"/>
            <w:hideMark/>
          </w:tcPr>
          <w:p w14:paraId="56E7D87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17.83</w:t>
            </w:r>
          </w:p>
        </w:tc>
      </w:tr>
      <w:tr w:rsidR="001529CE" w:rsidRPr="004C6E77" w14:paraId="55DBBCE9"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15A0A1D2"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1B21A6">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7EF77A"/>
            <w:noWrap/>
            <w:vAlign w:val="bottom"/>
            <w:hideMark/>
          </w:tcPr>
          <w:p w14:paraId="4E6CB3A1"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-0.15</w:t>
            </w:r>
          </w:p>
        </w:tc>
        <w:tc>
          <w:tcPr>
            <w:tcW w:w="2126" w:type="dxa"/>
            <w:tcBorders>
              <w:top w:val="single" w:sz="8" w:space="0" w:color="auto"/>
              <w:left w:val="nil"/>
              <w:bottom w:val="nil"/>
              <w:right w:val="single" w:sz="8" w:space="0" w:color="auto"/>
            </w:tcBorders>
            <w:shd w:val="clear" w:color="000000" w:fill="00FF00"/>
            <w:noWrap/>
            <w:vAlign w:val="bottom"/>
            <w:hideMark/>
          </w:tcPr>
          <w:p w14:paraId="3B340620"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-0.17</w:t>
            </w:r>
          </w:p>
        </w:tc>
      </w:tr>
      <w:tr w:rsidR="001529CE" w:rsidRPr="004C6E77" w14:paraId="322399DC"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69EB14D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7EF77A"/>
            <w:noWrap/>
            <w:vAlign w:val="bottom"/>
            <w:hideMark/>
          </w:tcPr>
          <w:p w14:paraId="7A8AEF3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-0.9%</w:t>
            </w:r>
          </w:p>
        </w:tc>
        <w:tc>
          <w:tcPr>
            <w:tcW w:w="2126" w:type="dxa"/>
            <w:tcBorders>
              <w:top w:val="nil"/>
              <w:left w:val="nil"/>
              <w:bottom w:val="single" w:sz="8" w:space="0" w:color="auto"/>
              <w:right w:val="single" w:sz="8" w:space="0" w:color="auto"/>
            </w:tcBorders>
            <w:shd w:val="clear" w:color="000000" w:fill="00FF00"/>
            <w:noWrap/>
            <w:vAlign w:val="bottom"/>
            <w:hideMark/>
          </w:tcPr>
          <w:p w14:paraId="3F0807E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-0.9%</w:t>
            </w:r>
          </w:p>
        </w:tc>
      </w:tr>
    </w:tbl>
    <w:p w14:paraId="1AD25335" w14:textId="77777777" w:rsidR="001529CE" w:rsidRPr="004C6E77" w:rsidRDefault="001529CE" w:rsidP="001529CE"/>
    <w:p w14:paraId="11CEDA45" w14:textId="77777777" w:rsidR="001529CE" w:rsidRPr="004C6E77" w:rsidRDefault="001529CE" w:rsidP="00887760">
      <w:pPr>
        <w:pStyle w:val="Tables"/>
      </w:pPr>
      <w:bookmarkStart w:id="318" w:name="_Toc159264951"/>
      <w:bookmarkStart w:id="319" w:name="_Toc160123593"/>
      <w:bookmarkStart w:id="320" w:name="_Toc160123809"/>
      <w:bookmarkStart w:id="321" w:name="_Toc160128575"/>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8</w:t>
      </w:r>
      <w:r w:rsidR="000F4CA1">
        <w:rPr>
          <w:noProof/>
        </w:rPr>
        <w:fldChar w:fldCharType="end"/>
      </w:r>
      <w:r>
        <w:t xml:space="preserve"> - scenario modelling PM</w:t>
      </w:r>
      <w:r w:rsidRPr="00D73EE9">
        <w:rPr>
          <w:vertAlign w:val="subscript"/>
        </w:rPr>
        <w:t>10</w:t>
      </w:r>
      <w:r>
        <w:rPr>
          <w:vertAlign w:val="subscript"/>
        </w:rPr>
        <w:t xml:space="preserve"> </w:t>
      </w:r>
      <w:r>
        <w:t>concentrations across Slough (using individual adjustment factors)</w:t>
      </w:r>
      <w:bookmarkEnd w:id="318"/>
      <w:bookmarkEnd w:id="319"/>
      <w:bookmarkEnd w:id="320"/>
      <w:bookmarkEnd w:id="321"/>
    </w:p>
    <w:tbl>
      <w:tblPr>
        <w:tblW w:w="9072" w:type="dxa"/>
        <w:tblInd w:w="-10" w:type="dxa"/>
        <w:tblLook w:val="04A0" w:firstRow="1" w:lastRow="0" w:firstColumn="1" w:lastColumn="0" w:noHBand="0" w:noVBand="1"/>
      </w:tblPr>
      <w:tblGrid>
        <w:gridCol w:w="5245"/>
        <w:gridCol w:w="1701"/>
        <w:gridCol w:w="2126"/>
      </w:tblGrid>
      <w:tr w:rsidR="001529CE" w:rsidRPr="004C6E77" w14:paraId="367CD07D"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center"/>
          </w:tcPr>
          <w:p w14:paraId="47983D84" w14:textId="77777777" w:rsidR="001529CE" w:rsidRDefault="001529CE" w:rsidP="007B10BD">
            <w:pPr>
              <w:spacing w:before="0" w:after="0" w:line="240" w:lineRule="auto"/>
              <w:jc w:val="center"/>
              <w:rPr>
                <w:rFonts w:ascii="Calibri" w:hAnsi="Calibri" w:cs="Calibri"/>
                <w:color w:val="000000"/>
                <w:sz w:val="22"/>
                <w:szCs w:val="22"/>
                <w:lang w:eastAsia="en-GB"/>
              </w:rPr>
            </w:pPr>
            <w:r w:rsidRPr="00285391">
              <w:rPr>
                <w:rFonts w:cs="Arial"/>
                <w:b/>
                <w:bCs/>
                <w:color w:val="FFFFFF" w:themeColor="background1"/>
                <w:sz w:val="20"/>
                <w:szCs w:val="20"/>
                <w:lang w:eastAsia="en-GB"/>
              </w:rPr>
              <w:t xml:space="preserve">Modelled </w:t>
            </w:r>
            <w:r>
              <w:rPr>
                <w:rFonts w:cs="Arial"/>
                <w:b/>
                <w:bCs/>
                <w:color w:val="FFFFFF" w:themeColor="background1"/>
                <w:sz w:val="20"/>
                <w:szCs w:val="20"/>
                <w:lang w:eastAsia="en-GB"/>
              </w:rPr>
              <w:t>PM</w:t>
            </w:r>
            <w:r w:rsidRPr="001B21A6">
              <w:rPr>
                <w:rFonts w:cs="Arial"/>
                <w:b/>
                <w:bCs/>
                <w:color w:val="FFFFFF" w:themeColor="background1"/>
                <w:sz w:val="20"/>
                <w:szCs w:val="20"/>
                <w:vertAlign w:val="subscript"/>
                <w:lang w:eastAsia="en-GB"/>
              </w:rPr>
              <w:t>10</w:t>
            </w:r>
            <w:r w:rsidRPr="00285391">
              <w:rPr>
                <w:rFonts w:cs="Arial"/>
                <w:b/>
                <w:bCs/>
                <w:color w:val="FFFFFF" w:themeColor="background1"/>
                <w:sz w:val="20"/>
                <w:szCs w:val="20"/>
                <w:lang w:eastAsia="en-GB"/>
              </w:rPr>
              <w:t xml:space="preserve"> (µg/m</w:t>
            </w:r>
            <w:r w:rsidRPr="00285391">
              <w:rPr>
                <w:rFonts w:cs="Arial"/>
                <w:b/>
                <w:bCs/>
                <w:color w:val="FFFFFF" w:themeColor="background1"/>
                <w:sz w:val="20"/>
                <w:szCs w:val="20"/>
                <w:vertAlign w:val="superscript"/>
                <w:lang w:eastAsia="en-GB"/>
              </w:rPr>
              <w:t>3</w:t>
            </w:r>
            <w:r w:rsidRPr="00285391">
              <w:rPr>
                <w:rFonts w:cs="Arial"/>
                <w:b/>
                <w:bCs/>
                <w:color w:val="FFFFFF" w:themeColor="background1"/>
                <w:sz w:val="20"/>
                <w:szCs w:val="20"/>
                <w:lang w:eastAsia="en-GB"/>
              </w:rPr>
              <w:t>) by scenario</w:t>
            </w:r>
          </w:p>
        </w:tc>
      </w:tr>
      <w:tr w:rsidR="001529CE" w:rsidRPr="004C6E77" w14:paraId="10705B59"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6D571596"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(Individual)</w:t>
            </w:r>
          </w:p>
        </w:tc>
        <w:tc>
          <w:tcPr>
            <w:tcW w:w="1701" w:type="dxa"/>
            <w:tcBorders>
              <w:top w:val="nil"/>
              <w:left w:val="nil"/>
              <w:bottom w:val="nil"/>
              <w:right w:val="nil"/>
            </w:tcBorders>
            <w:shd w:val="clear" w:color="auto" w:fill="FFFFFF" w:themeFill="background1"/>
            <w:noWrap/>
            <w:vAlign w:val="center"/>
            <w:hideMark/>
          </w:tcPr>
          <w:p w14:paraId="40E414F4"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0904990E"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172F11A3" w14:textId="77777777" w:rsidTr="007B10BD">
        <w:trPr>
          <w:trHeight w:val="288"/>
        </w:trPr>
        <w:tc>
          <w:tcPr>
            <w:tcW w:w="5245" w:type="dxa"/>
            <w:tcBorders>
              <w:top w:val="nil"/>
              <w:left w:val="single" w:sz="8" w:space="0" w:color="auto"/>
              <w:bottom w:val="nil"/>
              <w:right w:val="nil"/>
            </w:tcBorders>
            <w:shd w:val="clear" w:color="000000" w:fill="A9D08E"/>
            <w:noWrap/>
            <w:vAlign w:val="center"/>
            <w:hideMark/>
          </w:tcPr>
          <w:p w14:paraId="416D0DB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18.40</w:t>
            </w:r>
          </w:p>
        </w:tc>
        <w:tc>
          <w:tcPr>
            <w:tcW w:w="1701" w:type="dxa"/>
            <w:tcBorders>
              <w:top w:val="nil"/>
              <w:left w:val="nil"/>
              <w:bottom w:val="nil"/>
              <w:right w:val="nil"/>
            </w:tcBorders>
            <w:shd w:val="clear" w:color="000000" w:fill="A9D08E"/>
            <w:noWrap/>
            <w:vAlign w:val="center"/>
            <w:hideMark/>
          </w:tcPr>
          <w:p w14:paraId="0FB4220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18.22</w:t>
            </w:r>
          </w:p>
        </w:tc>
        <w:tc>
          <w:tcPr>
            <w:tcW w:w="2126" w:type="dxa"/>
            <w:tcBorders>
              <w:top w:val="nil"/>
              <w:left w:val="nil"/>
              <w:bottom w:val="nil"/>
              <w:right w:val="single" w:sz="8" w:space="0" w:color="auto"/>
            </w:tcBorders>
            <w:shd w:val="clear" w:color="000000" w:fill="A9D08E"/>
            <w:noWrap/>
            <w:vAlign w:val="center"/>
            <w:hideMark/>
          </w:tcPr>
          <w:p w14:paraId="0C89A296"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18.19</w:t>
            </w:r>
          </w:p>
        </w:tc>
      </w:tr>
      <w:tr w:rsidR="001529CE" w:rsidRPr="004C6E77" w14:paraId="0BFB1EC5"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03C45616"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7D5CC7">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8CF687"/>
            <w:noWrap/>
            <w:vAlign w:val="bottom"/>
            <w:hideMark/>
          </w:tcPr>
          <w:p w14:paraId="1E27427E"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-0.19</w:t>
            </w:r>
          </w:p>
        </w:tc>
        <w:tc>
          <w:tcPr>
            <w:tcW w:w="2126" w:type="dxa"/>
            <w:tcBorders>
              <w:top w:val="single" w:sz="8" w:space="0" w:color="auto"/>
              <w:left w:val="nil"/>
              <w:bottom w:val="nil"/>
              <w:right w:val="single" w:sz="8" w:space="0" w:color="auto"/>
            </w:tcBorders>
            <w:shd w:val="clear" w:color="000000" w:fill="00FF00"/>
            <w:noWrap/>
            <w:vAlign w:val="bottom"/>
            <w:hideMark/>
          </w:tcPr>
          <w:p w14:paraId="632E8D99"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-0.21</w:t>
            </w:r>
          </w:p>
        </w:tc>
      </w:tr>
      <w:tr w:rsidR="001529CE" w:rsidRPr="004C6E77" w14:paraId="455FD363"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3BD82C8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8CF687"/>
            <w:noWrap/>
            <w:vAlign w:val="bottom"/>
            <w:hideMark/>
          </w:tcPr>
          <w:p w14:paraId="6F312363"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-1.0%</w:t>
            </w:r>
          </w:p>
        </w:tc>
        <w:tc>
          <w:tcPr>
            <w:tcW w:w="2126" w:type="dxa"/>
            <w:tcBorders>
              <w:top w:val="nil"/>
              <w:left w:val="nil"/>
              <w:bottom w:val="single" w:sz="8" w:space="0" w:color="auto"/>
              <w:right w:val="single" w:sz="8" w:space="0" w:color="auto"/>
            </w:tcBorders>
            <w:shd w:val="clear" w:color="000000" w:fill="00FF00"/>
            <w:noWrap/>
            <w:vAlign w:val="bottom"/>
            <w:hideMark/>
          </w:tcPr>
          <w:p w14:paraId="4B277FD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-1.1%</w:t>
            </w:r>
          </w:p>
        </w:tc>
      </w:tr>
    </w:tbl>
    <w:p w14:paraId="083D61F9" w14:textId="77777777" w:rsidR="001529CE" w:rsidRPr="004C6E77" w:rsidRDefault="001529CE" w:rsidP="00887760">
      <w:pPr>
        <w:pStyle w:val="Tables"/>
      </w:pPr>
      <w:bookmarkStart w:id="322" w:name="_Toc159264952"/>
      <w:bookmarkStart w:id="323" w:name="_Toc160123594"/>
      <w:bookmarkStart w:id="324" w:name="_Toc160123810"/>
      <w:bookmarkStart w:id="325" w:name="_Toc160128576"/>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9</w:t>
      </w:r>
      <w:r w:rsidR="000F4CA1">
        <w:rPr>
          <w:noProof/>
        </w:rPr>
        <w:fldChar w:fldCharType="end"/>
      </w:r>
      <w:r>
        <w:t xml:space="preserve"> - scenario modelling PM</w:t>
      </w:r>
      <w:r w:rsidRPr="00D73EE9">
        <w:rPr>
          <w:vertAlign w:val="subscript"/>
        </w:rPr>
        <w:t>10</w:t>
      </w:r>
      <w:r>
        <w:rPr>
          <w:vertAlign w:val="subscript"/>
        </w:rPr>
        <w:t xml:space="preserve"> </w:t>
      </w:r>
      <w:r>
        <w:t>concentrations for sites SLO29, SLO40, SLO26, SLO5 and SLH10 (east AQMA 4) (using AQMA 4 adjustment factor)</w:t>
      </w:r>
      <w:bookmarkEnd w:id="322"/>
      <w:bookmarkEnd w:id="323"/>
      <w:bookmarkEnd w:id="324"/>
      <w:bookmarkEnd w:id="325"/>
    </w:p>
    <w:tbl>
      <w:tblPr>
        <w:tblW w:w="9072" w:type="dxa"/>
        <w:tblInd w:w="-10" w:type="dxa"/>
        <w:tblLook w:val="04A0" w:firstRow="1" w:lastRow="0" w:firstColumn="1" w:lastColumn="0" w:noHBand="0" w:noVBand="1"/>
      </w:tblPr>
      <w:tblGrid>
        <w:gridCol w:w="5245"/>
        <w:gridCol w:w="1701"/>
        <w:gridCol w:w="2126"/>
      </w:tblGrid>
      <w:tr w:rsidR="001529CE" w:rsidRPr="004C6E77" w14:paraId="0FC16C54"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bottom"/>
          </w:tcPr>
          <w:p w14:paraId="35E43B3D" w14:textId="77777777" w:rsidR="001529CE" w:rsidRPr="001B21A6" w:rsidRDefault="001529CE" w:rsidP="007B10BD">
            <w:pPr>
              <w:spacing w:before="0" w:after="0" w:line="240" w:lineRule="auto"/>
              <w:jc w:val="center"/>
              <w:rPr>
                <w:rFonts w:ascii="Calibri" w:hAnsi="Calibri" w:cs="Calibri"/>
                <w:color w:val="FFFFFF" w:themeColor="background1"/>
                <w:sz w:val="22"/>
                <w:szCs w:val="22"/>
                <w:lang w:eastAsia="en-GB"/>
              </w:rPr>
            </w:pPr>
            <w:r w:rsidRPr="001B21A6">
              <w:rPr>
                <w:rFonts w:cs="Arial"/>
                <w:b/>
                <w:bCs/>
                <w:color w:val="FFFFFF" w:themeColor="background1"/>
                <w:sz w:val="20"/>
                <w:szCs w:val="20"/>
                <w:lang w:eastAsia="en-GB"/>
              </w:rPr>
              <w:t>Modelled PM</w:t>
            </w:r>
            <w:r w:rsidRPr="001B21A6">
              <w:rPr>
                <w:rFonts w:cs="Arial"/>
                <w:b/>
                <w:bCs/>
                <w:color w:val="FFFFFF" w:themeColor="background1"/>
                <w:sz w:val="20"/>
                <w:szCs w:val="20"/>
                <w:vertAlign w:val="subscript"/>
                <w:lang w:eastAsia="en-GB"/>
              </w:rPr>
              <w:t>10</w:t>
            </w:r>
            <w:r w:rsidRPr="001B21A6">
              <w:rPr>
                <w:rFonts w:cs="Arial"/>
                <w:b/>
                <w:bCs/>
                <w:color w:val="FFFFFF" w:themeColor="background1"/>
                <w:sz w:val="20"/>
                <w:szCs w:val="20"/>
                <w:lang w:eastAsia="en-GB"/>
              </w:rPr>
              <w:t xml:space="preserve"> (µg/m</w:t>
            </w:r>
            <w:r w:rsidRPr="001B21A6">
              <w:rPr>
                <w:rFonts w:cs="Arial"/>
                <w:b/>
                <w:bCs/>
                <w:color w:val="FFFFFF" w:themeColor="background1"/>
                <w:sz w:val="20"/>
                <w:szCs w:val="20"/>
                <w:vertAlign w:val="superscript"/>
                <w:lang w:eastAsia="en-GB"/>
              </w:rPr>
              <w:t>3</w:t>
            </w:r>
            <w:r w:rsidRPr="001B21A6">
              <w:rPr>
                <w:rFonts w:cs="Arial"/>
                <w:b/>
                <w:bCs/>
                <w:color w:val="FFFFFF" w:themeColor="background1"/>
                <w:sz w:val="20"/>
                <w:szCs w:val="20"/>
                <w:lang w:eastAsia="en-GB"/>
              </w:rPr>
              <w:t>) by scenario</w:t>
            </w:r>
          </w:p>
        </w:tc>
      </w:tr>
      <w:tr w:rsidR="001529CE" w:rsidRPr="004C6E77" w14:paraId="3471B974"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0A658BD7"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(Local)</w:t>
            </w:r>
          </w:p>
        </w:tc>
        <w:tc>
          <w:tcPr>
            <w:tcW w:w="1701" w:type="dxa"/>
            <w:tcBorders>
              <w:top w:val="nil"/>
              <w:left w:val="nil"/>
              <w:bottom w:val="nil"/>
              <w:right w:val="nil"/>
            </w:tcBorders>
            <w:shd w:val="clear" w:color="auto" w:fill="FFFFFF" w:themeFill="background1"/>
            <w:noWrap/>
            <w:vAlign w:val="center"/>
            <w:hideMark/>
          </w:tcPr>
          <w:p w14:paraId="74B268DB"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7B6D8AC6"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1E5164D1" w14:textId="77777777" w:rsidTr="007B10BD">
        <w:trPr>
          <w:trHeight w:val="288"/>
        </w:trPr>
        <w:tc>
          <w:tcPr>
            <w:tcW w:w="5245" w:type="dxa"/>
            <w:tcBorders>
              <w:top w:val="nil"/>
              <w:left w:val="single" w:sz="8" w:space="0" w:color="auto"/>
              <w:bottom w:val="nil"/>
              <w:right w:val="nil"/>
            </w:tcBorders>
            <w:shd w:val="clear" w:color="000000" w:fill="A9D08E"/>
            <w:noWrap/>
            <w:vAlign w:val="center"/>
            <w:hideMark/>
          </w:tcPr>
          <w:p w14:paraId="09E463CC"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18.64</w:t>
            </w:r>
          </w:p>
        </w:tc>
        <w:tc>
          <w:tcPr>
            <w:tcW w:w="1701" w:type="dxa"/>
            <w:tcBorders>
              <w:top w:val="nil"/>
              <w:left w:val="nil"/>
              <w:bottom w:val="nil"/>
              <w:right w:val="nil"/>
            </w:tcBorders>
            <w:shd w:val="clear" w:color="000000" w:fill="A9D08E"/>
            <w:noWrap/>
            <w:vAlign w:val="center"/>
            <w:hideMark/>
          </w:tcPr>
          <w:p w14:paraId="19D5359F"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18.43</w:t>
            </w:r>
          </w:p>
        </w:tc>
        <w:tc>
          <w:tcPr>
            <w:tcW w:w="2126" w:type="dxa"/>
            <w:tcBorders>
              <w:top w:val="nil"/>
              <w:left w:val="nil"/>
              <w:bottom w:val="nil"/>
              <w:right w:val="single" w:sz="8" w:space="0" w:color="auto"/>
            </w:tcBorders>
            <w:shd w:val="clear" w:color="000000" w:fill="A9D08E"/>
            <w:noWrap/>
            <w:vAlign w:val="center"/>
            <w:hideMark/>
          </w:tcPr>
          <w:p w14:paraId="2376C432"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18.41</w:t>
            </w:r>
          </w:p>
        </w:tc>
      </w:tr>
      <w:tr w:rsidR="001529CE" w:rsidRPr="004C6E77" w14:paraId="3E440488"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339577AC"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7D5CC7">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7EF77A"/>
            <w:noWrap/>
            <w:vAlign w:val="bottom"/>
            <w:hideMark/>
          </w:tcPr>
          <w:p w14:paraId="081CE1D9"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-0.20</w:t>
            </w:r>
          </w:p>
        </w:tc>
        <w:tc>
          <w:tcPr>
            <w:tcW w:w="2126" w:type="dxa"/>
            <w:tcBorders>
              <w:top w:val="single" w:sz="8" w:space="0" w:color="auto"/>
              <w:left w:val="nil"/>
              <w:bottom w:val="nil"/>
              <w:right w:val="single" w:sz="8" w:space="0" w:color="auto"/>
            </w:tcBorders>
            <w:shd w:val="clear" w:color="000000" w:fill="00FF00"/>
            <w:noWrap/>
            <w:vAlign w:val="bottom"/>
            <w:hideMark/>
          </w:tcPr>
          <w:p w14:paraId="5710E592"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-0.23</w:t>
            </w:r>
          </w:p>
        </w:tc>
      </w:tr>
      <w:tr w:rsidR="001529CE" w:rsidRPr="004C6E77" w14:paraId="530430DD"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526E9DDC"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7EF77A"/>
            <w:noWrap/>
            <w:vAlign w:val="bottom"/>
            <w:hideMark/>
          </w:tcPr>
          <w:p w14:paraId="78AAF38F"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-1.1%</w:t>
            </w:r>
          </w:p>
        </w:tc>
        <w:tc>
          <w:tcPr>
            <w:tcW w:w="2126" w:type="dxa"/>
            <w:tcBorders>
              <w:top w:val="nil"/>
              <w:left w:val="nil"/>
              <w:bottom w:val="single" w:sz="8" w:space="0" w:color="auto"/>
              <w:right w:val="single" w:sz="8" w:space="0" w:color="auto"/>
            </w:tcBorders>
            <w:shd w:val="clear" w:color="000000" w:fill="00FF00"/>
            <w:noWrap/>
            <w:vAlign w:val="bottom"/>
            <w:hideMark/>
          </w:tcPr>
          <w:p w14:paraId="514EB1B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Pr>
                <w:rFonts w:ascii="Calibri" w:hAnsi="Calibri" w:cs="Calibri"/>
                <w:color w:val="000000"/>
                <w:sz w:val="22"/>
                <w:szCs w:val="22"/>
              </w:rPr>
              <w:t>-1.2%</w:t>
            </w:r>
          </w:p>
        </w:tc>
      </w:tr>
    </w:tbl>
    <w:p w14:paraId="62D36C65" w14:textId="77777777" w:rsidR="001529CE" w:rsidRPr="004C6E77" w:rsidRDefault="001529CE" w:rsidP="00887760">
      <w:pPr>
        <w:pStyle w:val="Tables"/>
      </w:pPr>
      <w:bookmarkStart w:id="326" w:name="_Toc159264953"/>
      <w:bookmarkStart w:id="327" w:name="_Toc160123595"/>
      <w:bookmarkStart w:id="328" w:name="_Toc160123811"/>
      <w:bookmarkStart w:id="329" w:name="_Toc160128577"/>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10</w:t>
      </w:r>
      <w:r w:rsidR="000F4CA1">
        <w:rPr>
          <w:noProof/>
        </w:rPr>
        <w:fldChar w:fldCharType="end"/>
      </w:r>
      <w:r>
        <w:t xml:space="preserve"> – scenario modelling PM</w:t>
      </w:r>
      <w:r w:rsidRPr="004C6E77">
        <w:rPr>
          <w:vertAlign w:val="subscript"/>
        </w:rPr>
        <w:t>2.5</w:t>
      </w:r>
      <w:r>
        <w:t xml:space="preserve"> concentrations across Slough (using global adjustment factor)</w:t>
      </w:r>
      <w:bookmarkEnd w:id="326"/>
      <w:bookmarkEnd w:id="327"/>
      <w:bookmarkEnd w:id="328"/>
      <w:bookmarkEnd w:id="329"/>
    </w:p>
    <w:tbl>
      <w:tblPr>
        <w:tblW w:w="9072" w:type="dxa"/>
        <w:tblInd w:w="-10" w:type="dxa"/>
        <w:tblLook w:val="04A0" w:firstRow="1" w:lastRow="0" w:firstColumn="1" w:lastColumn="0" w:noHBand="0" w:noVBand="1"/>
      </w:tblPr>
      <w:tblGrid>
        <w:gridCol w:w="5245"/>
        <w:gridCol w:w="1701"/>
        <w:gridCol w:w="2126"/>
      </w:tblGrid>
      <w:tr w:rsidR="001529CE" w:rsidRPr="004C6E77" w14:paraId="5F3E81C4"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bottom"/>
          </w:tcPr>
          <w:p w14:paraId="63F23DEC" w14:textId="77777777" w:rsidR="001529CE" w:rsidRPr="001B21A6" w:rsidRDefault="001529CE" w:rsidP="007B10BD">
            <w:pPr>
              <w:spacing w:before="0" w:after="0" w:line="240" w:lineRule="auto"/>
              <w:jc w:val="center"/>
              <w:rPr>
                <w:rFonts w:ascii="Calibri" w:hAnsi="Calibri" w:cs="Calibri"/>
                <w:color w:val="FFFFFF" w:themeColor="background1"/>
                <w:sz w:val="22"/>
                <w:szCs w:val="22"/>
                <w:lang w:eastAsia="en-GB"/>
              </w:rPr>
            </w:pPr>
            <w:r w:rsidRPr="001B21A6">
              <w:rPr>
                <w:rFonts w:cs="Arial"/>
                <w:b/>
                <w:bCs/>
                <w:color w:val="FFFFFF" w:themeColor="background1"/>
                <w:sz w:val="20"/>
                <w:szCs w:val="20"/>
                <w:lang w:eastAsia="en-GB"/>
              </w:rPr>
              <w:t>Modelled PM</w:t>
            </w:r>
            <w:r w:rsidRPr="004328B5">
              <w:rPr>
                <w:rFonts w:cs="Arial"/>
                <w:b/>
                <w:bCs/>
                <w:color w:val="FFFFFF" w:themeColor="background1"/>
                <w:sz w:val="20"/>
                <w:szCs w:val="20"/>
                <w:vertAlign w:val="subscript"/>
                <w:lang w:eastAsia="en-GB"/>
              </w:rPr>
              <w:t>2.5</w:t>
            </w:r>
            <w:r w:rsidRPr="001B21A6">
              <w:rPr>
                <w:rFonts w:cs="Arial"/>
                <w:b/>
                <w:bCs/>
                <w:color w:val="FFFFFF" w:themeColor="background1"/>
                <w:sz w:val="20"/>
                <w:szCs w:val="20"/>
                <w:lang w:eastAsia="en-GB"/>
              </w:rPr>
              <w:t xml:space="preserve"> (µg/m</w:t>
            </w:r>
            <w:r w:rsidRPr="001B21A6">
              <w:rPr>
                <w:rFonts w:cs="Arial"/>
                <w:b/>
                <w:bCs/>
                <w:color w:val="FFFFFF" w:themeColor="background1"/>
                <w:sz w:val="20"/>
                <w:szCs w:val="20"/>
                <w:vertAlign w:val="superscript"/>
                <w:lang w:eastAsia="en-GB"/>
              </w:rPr>
              <w:t>3</w:t>
            </w:r>
            <w:r w:rsidRPr="001B21A6">
              <w:rPr>
                <w:rFonts w:cs="Arial"/>
                <w:b/>
                <w:bCs/>
                <w:color w:val="FFFFFF" w:themeColor="background1"/>
                <w:sz w:val="20"/>
                <w:szCs w:val="20"/>
                <w:lang w:eastAsia="en-GB"/>
              </w:rPr>
              <w:t>) by scenario</w:t>
            </w:r>
          </w:p>
        </w:tc>
      </w:tr>
      <w:tr w:rsidR="001529CE" w:rsidRPr="004C6E77" w14:paraId="1750FC41"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7C051FC8"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(Local)</w:t>
            </w:r>
          </w:p>
        </w:tc>
        <w:tc>
          <w:tcPr>
            <w:tcW w:w="1701" w:type="dxa"/>
            <w:tcBorders>
              <w:top w:val="nil"/>
              <w:left w:val="nil"/>
              <w:bottom w:val="nil"/>
              <w:right w:val="nil"/>
            </w:tcBorders>
            <w:shd w:val="clear" w:color="auto" w:fill="FFFFFF" w:themeFill="background1"/>
            <w:noWrap/>
            <w:vAlign w:val="center"/>
            <w:hideMark/>
          </w:tcPr>
          <w:p w14:paraId="6BA124DA"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200FC04D"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053F08AF" w14:textId="77777777" w:rsidTr="007B10BD">
        <w:trPr>
          <w:trHeight w:val="288"/>
        </w:trPr>
        <w:tc>
          <w:tcPr>
            <w:tcW w:w="5245" w:type="dxa"/>
            <w:tcBorders>
              <w:top w:val="nil"/>
              <w:left w:val="single" w:sz="8" w:space="0" w:color="auto"/>
              <w:bottom w:val="nil"/>
              <w:right w:val="nil"/>
            </w:tcBorders>
            <w:shd w:val="clear" w:color="000000" w:fill="A9D08E"/>
            <w:noWrap/>
            <w:vAlign w:val="bottom"/>
            <w:hideMark/>
          </w:tcPr>
          <w:p w14:paraId="18E9F885"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12.10</w:t>
            </w:r>
          </w:p>
        </w:tc>
        <w:tc>
          <w:tcPr>
            <w:tcW w:w="1701" w:type="dxa"/>
            <w:tcBorders>
              <w:top w:val="nil"/>
              <w:left w:val="nil"/>
              <w:bottom w:val="nil"/>
              <w:right w:val="nil"/>
            </w:tcBorders>
            <w:shd w:val="clear" w:color="000000" w:fill="A9D08E"/>
            <w:noWrap/>
            <w:vAlign w:val="bottom"/>
            <w:hideMark/>
          </w:tcPr>
          <w:p w14:paraId="62EFD4EA"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11.99</w:t>
            </w:r>
          </w:p>
        </w:tc>
        <w:tc>
          <w:tcPr>
            <w:tcW w:w="2126" w:type="dxa"/>
            <w:tcBorders>
              <w:top w:val="nil"/>
              <w:left w:val="nil"/>
              <w:bottom w:val="nil"/>
              <w:right w:val="single" w:sz="8" w:space="0" w:color="auto"/>
            </w:tcBorders>
            <w:shd w:val="clear" w:color="000000" w:fill="A9D08E"/>
            <w:noWrap/>
            <w:vAlign w:val="bottom"/>
            <w:hideMark/>
          </w:tcPr>
          <w:p w14:paraId="25C8039B"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11.95</w:t>
            </w:r>
          </w:p>
        </w:tc>
      </w:tr>
      <w:tr w:rsidR="001529CE" w:rsidRPr="004C6E77" w14:paraId="71FFD4FB"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5E3CDDF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7D5CC7">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7EF77A"/>
            <w:noWrap/>
            <w:vAlign w:val="bottom"/>
            <w:hideMark/>
          </w:tcPr>
          <w:p w14:paraId="601C3601"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-0.10</w:t>
            </w:r>
          </w:p>
        </w:tc>
        <w:tc>
          <w:tcPr>
            <w:tcW w:w="2126" w:type="dxa"/>
            <w:tcBorders>
              <w:top w:val="single" w:sz="8" w:space="0" w:color="auto"/>
              <w:left w:val="nil"/>
              <w:bottom w:val="nil"/>
              <w:right w:val="single" w:sz="8" w:space="0" w:color="auto"/>
            </w:tcBorders>
            <w:shd w:val="clear" w:color="000000" w:fill="00FF00"/>
            <w:noWrap/>
            <w:vAlign w:val="bottom"/>
            <w:hideMark/>
          </w:tcPr>
          <w:p w14:paraId="3550A612"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-0.14</w:t>
            </w:r>
          </w:p>
        </w:tc>
      </w:tr>
      <w:tr w:rsidR="001529CE" w:rsidRPr="004C6E77" w14:paraId="3705BFF9"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7E9A963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7EF77A"/>
            <w:noWrap/>
            <w:vAlign w:val="bottom"/>
            <w:hideMark/>
          </w:tcPr>
          <w:p w14:paraId="0B81D80F"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-0.8%</w:t>
            </w:r>
          </w:p>
        </w:tc>
        <w:tc>
          <w:tcPr>
            <w:tcW w:w="2126" w:type="dxa"/>
            <w:tcBorders>
              <w:top w:val="nil"/>
              <w:left w:val="nil"/>
              <w:bottom w:val="single" w:sz="8" w:space="0" w:color="auto"/>
              <w:right w:val="single" w:sz="8" w:space="0" w:color="auto"/>
            </w:tcBorders>
            <w:shd w:val="clear" w:color="000000" w:fill="00FF00"/>
            <w:noWrap/>
            <w:vAlign w:val="bottom"/>
            <w:hideMark/>
          </w:tcPr>
          <w:p w14:paraId="0F4A78B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w:t>
            </w:r>
          </w:p>
        </w:tc>
      </w:tr>
    </w:tbl>
    <w:p w14:paraId="72A295D6" w14:textId="16C96D63" w:rsidR="001529CE" w:rsidRPr="004C6E77" w:rsidRDefault="001529CE" w:rsidP="00887760">
      <w:pPr>
        <w:pStyle w:val="Tables"/>
      </w:pPr>
      <w:bookmarkStart w:id="330" w:name="_Toc159264954"/>
      <w:bookmarkStart w:id="331" w:name="_Toc160123596"/>
      <w:bookmarkStart w:id="332" w:name="_Toc160123812"/>
      <w:bookmarkStart w:id="333" w:name="_Toc160128578"/>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11</w:t>
      </w:r>
      <w:r w:rsidR="000F4CA1">
        <w:rPr>
          <w:noProof/>
        </w:rPr>
        <w:fldChar w:fldCharType="end"/>
      </w:r>
      <w:r>
        <w:t xml:space="preserve"> - scenario modelling PM</w:t>
      </w:r>
      <w:r w:rsidRPr="004C6E77">
        <w:rPr>
          <w:vertAlign w:val="subscript"/>
        </w:rPr>
        <w:t>2.5</w:t>
      </w:r>
      <w:r>
        <w:t xml:space="preserve"> concentrations across Slough (using individual adjustment factors)</w:t>
      </w:r>
      <w:bookmarkEnd w:id="330"/>
      <w:bookmarkEnd w:id="331"/>
      <w:bookmarkEnd w:id="332"/>
      <w:bookmarkEnd w:id="333"/>
    </w:p>
    <w:tbl>
      <w:tblPr>
        <w:tblW w:w="9072" w:type="dxa"/>
        <w:tblInd w:w="-10" w:type="dxa"/>
        <w:tblLook w:val="04A0" w:firstRow="1" w:lastRow="0" w:firstColumn="1" w:lastColumn="0" w:noHBand="0" w:noVBand="1"/>
      </w:tblPr>
      <w:tblGrid>
        <w:gridCol w:w="5245"/>
        <w:gridCol w:w="1701"/>
        <w:gridCol w:w="2126"/>
      </w:tblGrid>
      <w:tr w:rsidR="001529CE" w:rsidRPr="004C6E77" w14:paraId="5CD5C114"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bottom"/>
          </w:tcPr>
          <w:p w14:paraId="625B1F89" w14:textId="77777777" w:rsidR="001529CE" w:rsidRPr="001B21A6" w:rsidRDefault="001529CE" w:rsidP="007B10BD">
            <w:pPr>
              <w:spacing w:before="0" w:after="0" w:line="240" w:lineRule="auto"/>
              <w:jc w:val="center"/>
              <w:rPr>
                <w:rFonts w:ascii="Calibri" w:hAnsi="Calibri" w:cs="Calibri"/>
                <w:color w:val="FFFFFF" w:themeColor="background1"/>
                <w:sz w:val="22"/>
                <w:szCs w:val="22"/>
                <w:lang w:eastAsia="en-GB"/>
              </w:rPr>
            </w:pPr>
            <w:r w:rsidRPr="001B21A6">
              <w:rPr>
                <w:rFonts w:cs="Arial"/>
                <w:b/>
                <w:bCs/>
                <w:color w:val="FFFFFF" w:themeColor="background1"/>
                <w:sz w:val="20"/>
                <w:szCs w:val="20"/>
                <w:lang w:eastAsia="en-GB"/>
              </w:rPr>
              <w:t>Modelled PM</w:t>
            </w:r>
            <w:r w:rsidRPr="004328B5">
              <w:rPr>
                <w:rFonts w:cs="Arial"/>
                <w:b/>
                <w:bCs/>
                <w:color w:val="FFFFFF" w:themeColor="background1"/>
                <w:sz w:val="20"/>
                <w:szCs w:val="20"/>
                <w:vertAlign w:val="subscript"/>
                <w:lang w:eastAsia="en-GB"/>
              </w:rPr>
              <w:t>2.5</w:t>
            </w:r>
            <w:r w:rsidRPr="001B21A6">
              <w:rPr>
                <w:rFonts w:cs="Arial"/>
                <w:b/>
                <w:bCs/>
                <w:color w:val="FFFFFF" w:themeColor="background1"/>
                <w:sz w:val="20"/>
                <w:szCs w:val="20"/>
                <w:lang w:eastAsia="en-GB"/>
              </w:rPr>
              <w:t xml:space="preserve"> (µg/m</w:t>
            </w:r>
            <w:r w:rsidRPr="001B21A6">
              <w:rPr>
                <w:rFonts w:cs="Arial"/>
                <w:b/>
                <w:bCs/>
                <w:color w:val="FFFFFF" w:themeColor="background1"/>
                <w:sz w:val="20"/>
                <w:szCs w:val="20"/>
                <w:vertAlign w:val="superscript"/>
                <w:lang w:eastAsia="en-GB"/>
              </w:rPr>
              <w:t>3</w:t>
            </w:r>
            <w:r w:rsidRPr="001B21A6">
              <w:rPr>
                <w:rFonts w:cs="Arial"/>
                <w:b/>
                <w:bCs/>
                <w:color w:val="FFFFFF" w:themeColor="background1"/>
                <w:sz w:val="20"/>
                <w:szCs w:val="20"/>
                <w:lang w:eastAsia="en-GB"/>
              </w:rPr>
              <w:t>) by scenario</w:t>
            </w:r>
          </w:p>
        </w:tc>
      </w:tr>
      <w:tr w:rsidR="001529CE" w:rsidRPr="004C6E77" w14:paraId="383A2647"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0F5D1534"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(Local)</w:t>
            </w:r>
          </w:p>
        </w:tc>
        <w:tc>
          <w:tcPr>
            <w:tcW w:w="1701" w:type="dxa"/>
            <w:tcBorders>
              <w:top w:val="nil"/>
              <w:left w:val="nil"/>
              <w:bottom w:val="nil"/>
              <w:right w:val="nil"/>
            </w:tcBorders>
            <w:shd w:val="clear" w:color="auto" w:fill="FFFFFF" w:themeFill="background1"/>
            <w:noWrap/>
            <w:vAlign w:val="center"/>
            <w:hideMark/>
          </w:tcPr>
          <w:p w14:paraId="010325D0"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70CE5FB2"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5AA09523" w14:textId="77777777" w:rsidTr="007B10BD">
        <w:trPr>
          <w:trHeight w:val="288"/>
        </w:trPr>
        <w:tc>
          <w:tcPr>
            <w:tcW w:w="5245" w:type="dxa"/>
            <w:tcBorders>
              <w:top w:val="nil"/>
              <w:left w:val="single" w:sz="8" w:space="0" w:color="auto"/>
              <w:bottom w:val="nil"/>
              <w:right w:val="nil"/>
            </w:tcBorders>
            <w:shd w:val="clear" w:color="000000" w:fill="A9D08E"/>
            <w:noWrap/>
            <w:vAlign w:val="bottom"/>
            <w:hideMark/>
          </w:tcPr>
          <w:p w14:paraId="29DB457D"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12.33</w:t>
            </w:r>
          </w:p>
        </w:tc>
        <w:tc>
          <w:tcPr>
            <w:tcW w:w="1701" w:type="dxa"/>
            <w:tcBorders>
              <w:top w:val="nil"/>
              <w:left w:val="nil"/>
              <w:bottom w:val="nil"/>
              <w:right w:val="nil"/>
            </w:tcBorders>
            <w:shd w:val="clear" w:color="000000" w:fill="A9D08E"/>
            <w:noWrap/>
            <w:vAlign w:val="bottom"/>
            <w:hideMark/>
          </w:tcPr>
          <w:p w14:paraId="5C05A220"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12.20</w:t>
            </w:r>
          </w:p>
        </w:tc>
        <w:tc>
          <w:tcPr>
            <w:tcW w:w="2126" w:type="dxa"/>
            <w:tcBorders>
              <w:top w:val="nil"/>
              <w:left w:val="nil"/>
              <w:bottom w:val="nil"/>
              <w:right w:val="single" w:sz="8" w:space="0" w:color="auto"/>
            </w:tcBorders>
            <w:shd w:val="clear" w:color="000000" w:fill="A9D08E"/>
            <w:noWrap/>
            <w:vAlign w:val="bottom"/>
            <w:hideMark/>
          </w:tcPr>
          <w:p w14:paraId="5F299E0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12.15</w:t>
            </w:r>
          </w:p>
        </w:tc>
      </w:tr>
      <w:tr w:rsidR="001529CE" w:rsidRPr="004C6E77" w14:paraId="2D3EFC01"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5D863FB2"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7D5CC7">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7EF77A"/>
            <w:noWrap/>
            <w:vAlign w:val="bottom"/>
            <w:hideMark/>
          </w:tcPr>
          <w:p w14:paraId="024683A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-0.12</w:t>
            </w:r>
          </w:p>
        </w:tc>
        <w:tc>
          <w:tcPr>
            <w:tcW w:w="2126" w:type="dxa"/>
            <w:tcBorders>
              <w:top w:val="single" w:sz="8" w:space="0" w:color="auto"/>
              <w:left w:val="nil"/>
              <w:bottom w:val="nil"/>
              <w:right w:val="single" w:sz="8" w:space="0" w:color="auto"/>
            </w:tcBorders>
            <w:shd w:val="clear" w:color="000000" w:fill="00FF00"/>
            <w:noWrap/>
            <w:vAlign w:val="bottom"/>
            <w:hideMark/>
          </w:tcPr>
          <w:p w14:paraId="66357E66"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-0.18</w:t>
            </w:r>
          </w:p>
        </w:tc>
      </w:tr>
      <w:tr w:rsidR="001529CE" w:rsidRPr="004C6E77" w14:paraId="763F49FF"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645680E3"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7EF77A"/>
            <w:noWrap/>
            <w:vAlign w:val="bottom"/>
            <w:hideMark/>
          </w:tcPr>
          <w:p w14:paraId="659B6C1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-1.0%</w:t>
            </w:r>
          </w:p>
        </w:tc>
        <w:tc>
          <w:tcPr>
            <w:tcW w:w="2126" w:type="dxa"/>
            <w:tcBorders>
              <w:top w:val="nil"/>
              <w:left w:val="nil"/>
              <w:bottom w:val="single" w:sz="8" w:space="0" w:color="auto"/>
              <w:right w:val="single" w:sz="8" w:space="0" w:color="auto"/>
            </w:tcBorders>
            <w:shd w:val="clear" w:color="000000" w:fill="00FF00"/>
            <w:noWrap/>
            <w:vAlign w:val="bottom"/>
            <w:hideMark/>
          </w:tcPr>
          <w:p w14:paraId="168E9037"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-1.5%</w:t>
            </w:r>
          </w:p>
        </w:tc>
      </w:tr>
    </w:tbl>
    <w:p w14:paraId="7506A86E" w14:textId="77777777" w:rsidR="001529CE" w:rsidRPr="004C6E77" w:rsidRDefault="001529CE" w:rsidP="00887760">
      <w:pPr>
        <w:pStyle w:val="Tables"/>
      </w:pPr>
      <w:bookmarkStart w:id="334" w:name="_Toc159264955"/>
      <w:bookmarkStart w:id="335" w:name="_Toc160123597"/>
      <w:bookmarkStart w:id="336" w:name="_Toc160123813"/>
      <w:bookmarkStart w:id="337" w:name="_Toc160128579"/>
      <w:r>
        <w:lastRenderedPageBreak/>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12</w:t>
      </w:r>
      <w:r w:rsidR="000F4CA1">
        <w:rPr>
          <w:noProof/>
        </w:rPr>
        <w:fldChar w:fldCharType="end"/>
      </w:r>
      <w:r>
        <w:t xml:space="preserve"> - scenario modelling PM</w:t>
      </w:r>
      <w:r w:rsidRPr="004C6E77">
        <w:rPr>
          <w:vertAlign w:val="subscript"/>
        </w:rPr>
        <w:t>2.5</w:t>
      </w:r>
      <w:r>
        <w:t xml:space="preserve"> concentrations for sites SLO29, SLO40, SLO26, SLO5 and SLH10 (east AQMA 4) (using AQMA 4 adjustment factor)</w:t>
      </w:r>
      <w:bookmarkEnd w:id="334"/>
      <w:bookmarkEnd w:id="335"/>
      <w:bookmarkEnd w:id="336"/>
      <w:bookmarkEnd w:id="337"/>
    </w:p>
    <w:tbl>
      <w:tblPr>
        <w:tblW w:w="9072" w:type="dxa"/>
        <w:tblInd w:w="-10" w:type="dxa"/>
        <w:tblLook w:val="04A0" w:firstRow="1" w:lastRow="0" w:firstColumn="1" w:lastColumn="0" w:noHBand="0" w:noVBand="1"/>
      </w:tblPr>
      <w:tblGrid>
        <w:gridCol w:w="5245"/>
        <w:gridCol w:w="1701"/>
        <w:gridCol w:w="2126"/>
      </w:tblGrid>
      <w:tr w:rsidR="001529CE" w:rsidRPr="004C6E77" w14:paraId="77F7A213" w14:textId="77777777" w:rsidTr="007B10BD">
        <w:trPr>
          <w:trHeight w:val="288"/>
        </w:trPr>
        <w:tc>
          <w:tcPr>
            <w:tcW w:w="9072" w:type="dxa"/>
            <w:gridSpan w:val="3"/>
            <w:tcBorders>
              <w:top w:val="nil"/>
              <w:left w:val="single" w:sz="8" w:space="0" w:color="auto"/>
              <w:bottom w:val="nil"/>
              <w:right w:val="single" w:sz="8" w:space="0" w:color="auto"/>
            </w:tcBorders>
            <w:shd w:val="clear" w:color="auto" w:fill="008938"/>
            <w:noWrap/>
            <w:vAlign w:val="bottom"/>
          </w:tcPr>
          <w:p w14:paraId="1B787A46" w14:textId="77777777" w:rsidR="001529CE" w:rsidRPr="001B21A6" w:rsidRDefault="001529CE" w:rsidP="007B10BD">
            <w:pPr>
              <w:spacing w:before="0" w:after="0" w:line="240" w:lineRule="auto"/>
              <w:jc w:val="center"/>
              <w:rPr>
                <w:rFonts w:ascii="Calibri" w:hAnsi="Calibri" w:cs="Calibri"/>
                <w:color w:val="FFFFFF" w:themeColor="background1"/>
                <w:sz w:val="22"/>
                <w:szCs w:val="22"/>
                <w:lang w:eastAsia="en-GB"/>
              </w:rPr>
            </w:pPr>
            <w:r w:rsidRPr="001B21A6">
              <w:rPr>
                <w:rFonts w:cs="Arial"/>
                <w:b/>
                <w:bCs/>
                <w:color w:val="FFFFFF" w:themeColor="background1"/>
                <w:sz w:val="20"/>
                <w:szCs w:val="20"/>
                <w:lang w:eastAsia="en-GB"/>
              </w:rPr>
              <w:t>Modelled PM</w:t>
            </w:r>
            <w:r w:rsidRPr="004328B5">
              <w:rPr>
                <w:rFonts w:cs="Arial"/>
                <w:b/>
                <w:bCs/>
                <w:color w:val="FFFFFF" w:themeColor="background1"/>
                <w:sz w:val="20"/>
                <w:szCs w:val="20"/>
                <w:vertAlign w:val="subscript"/>
                <w:lang w:eastAsia="en-GB"/>
              </w:rPr>
              <w:t>2.5</w:t>
            </w:r>
            <w:r w:rsidRPr="001B21A6">
              <w:rPr>
                <w:rFonts w:cs="Arial"/>
                <w:b/>
                <w:bCs/>
                <w:color w:val="FFFFFF" w:themeColor="background1"/>
                <w:sz w:val="20"/>
                <w:szCs w:val="20"/>
                <w:lang w:eastAsia="en-GB"/>
              </w:rPr>
              <w:t xml:space="preserve"> (µg/m</w:t>
            </w:r>
            <w:r w:rsidRPr="001B21A6">
              <w:rPr>
                <w:rFonts w:cs="Arial"/>
                <w:b/>
                <w:bCs/>
                <w:color w:val="FFFFFF" w:themeColor="background1"/>
                <w:sz w:val="20"/>
                <w:szCs w:val="20"/>
                <w:vertAlign w:val="superscript"/>
                <w:lang w:eastAsia="en-GB"/>
              </w:rPr>
              <w:t>3</w:t>
            </w:r>
            <w:r w:rsidRPr="001B21A6">
              <w:rPr>
                <w:rFonts w:cs="Arial"/>
                <w:b/>
                <w:bCs/>
                <w:color w:val="FFFFFF" w:themeColor="background1"/>
                <w:sz w:val="20"/>
                <w:szCs w:val="20"/>
                <w:lang w:eastAsia="en-GB"/>
              </w:rPr>
              <w:t>) by scenario</w:t>
            </w:r>
          </w:p>
        </w:tc>
      </w:tr>
      <w:tr w:rsidR="001529CE" w:rsidRPr="004C6E77" w14:paraId="59FF3342" w14:textId="77777777" w:rsidTr="007B10BD">
        <w:trPr>
          <w:trHeight w:val="288"/>
        </w:trPr>
        <w:tc>
          <w:tcPr>
            <w:tcW w:w="5245" w:type="dxa"/>
            <w:tcBorders>
              <w:top w:val="nil"/>
              <w:left w:val="single" w:sz="8" w:space="0" w:color="auto"/>
              <w:bottom w:val="nil"/>
              <w:right w:val="nil"/>
            </w:tcBorders>
            <w:shd w:val="clear" w:color="auto" w:fill="FFFFFF" w:themeFill="background1"/>
            <w:noWrap/>
            <w:vAlign w:val="center"/>
            <w:hideMark/>
          </w:tcPr>
          <w:p w14:paraId="72119A27" w14:textId="77777777" w:rsidR="001529CE" w:rsidRPr="001B21A6" w:rsidRDefault="001529CE" w:rsidP="007B10BD">
            <w:pPr>
              <w:spacing w:before="0" w:after="0" w:line="240" w:lineRule="auto"/>
              <w:jc w:val="right"/>
              <w:rPr>
                <w:rFonts w:ascii="Calibri" w:hAnsi="Calibri" w:cs="Calibri"/>
                <w:sz w:val="22"/>
                <w:szCs w:val="22"/>
                <w:lang w:eastAsia="en-GB"/>
              </w:rPr>
            </w:pPr>
            <w:r w:rsidRPr="001B21A6">
              <w:rPr>
                <w:rFonts w:ascii="Calibri" w:hAnsi="Calibri" w:cs="Calibri"/>
                <w:sz w:val="22"/>
                <w:szCs w:val="22"/>
                <w:lang w:eastAsia="en-GB"/>
              </w:rPr>
              <w:t>Baseline (Local)</w:t>
            </w:r>
          </w:p>
        </w:tc>
        <w:tc>
          <w:tcPr>
            <w:tcW w:w="1701" w:type="dxa"/>
            <w:tcBorders>
              <w:top w:val="nil"/>
              <w:left w:val="nil"/>
              <w:bottom w:val="nil"/>
              <w:right w:val="nil"/>
            </w:tcBorders>
            <w:shd w:val="clear" w:color="auto" w:fill="FFFFFF" w:themeFill="background1"/>
            <w:noWrap/>
            <w:vAlign w:val="center"/>
            <w:hideMark/>
          </w:tcPr>
          <w:p w14:paraId="2853AFB3"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#1c</w:t>
            </w:r>
          </w:p>
        </w:tc>
        <w:tc>
          <w:tcPr>
            <w:tcW w:w="2126" w:type="dxa"/>
            <w:tcBorders>
              <w:top w:val="nil"/>
              <w:left w:val="nil"/>
              <w:bottom w:val="nil"/>
              <w:right w:val="single" w:sz="8" w:space="0" w:color="auto"/>
            </w:tcBorders>
            <w:shd w:val="clear" w:color="auto" w:fill="FFFFFF" w:themeFill="background1"/>
            <w:noWrap/>
            <w:vAlign w:val="center"/>
            <w:hideMark/>
          </w:tcPr>
          <w:p w14:paraId="2D881E4D" w14:textId="77777777" w:rsidR="001529CE" w:rsidRPr="001B21A6" w:rsidRDefault="001529CE" w:rsidP="007B10BD">
            <w:pPr>
              <w:spacing w:before="0" w:after="0" w:line="240" w:lineRule="auto"/>
              <w:jc w:val="center"/>
              <w:rPr>
                <w:rFonts w:ascii="Calibri" w:hAnsi="Calibri" w:cs="Calibri"/>
                <w:sz w:val="22"/>
                <w:szCs w:val="22"/>
                <w:lang w:eastAsia="en-GB"/>
              </w:rPr>
            </w:pPr>
            <w:r w:rsidRPr="001B21A6">
              <w:rPr>
                <w:rFonts w:ascii="Calibri" w:hAnsi="Calibri" w:cs="Calibri"/>
                <w:sz w:val="22"/>
                <w:szCs w:val="22"/>
                <w:lang w:eastAsia="en-GB"/>
              </w:rPr>
              <w:t>#5</w:t>
            </w:r>
          </w:p>
        </w:tc>
      </w:tr>
      <w:tr w:rsidR="001529CE" w:rsidRPr="004C6E77" w14:paraId="27550785" w14:textId="77777777" w:rsidTr="007B10BD">
        <w:trPr>
          <w:trHeight w:val="288"/>
        </w:trPr>
        <w:tc>
          <w:tcPr>
            <w:tcW w:w="5245" w:type="dxa"/>
            <w:tcBorders>
              <w:top w:val="nil"/>
              <w:left w:val="single" w:sz="8" w:space="0" w:color="auto"/>
              <w:bottom w:val="nil"/>
              <w:right w:val="nil"/>
            </w:tcBorders>
            <w:shd w:val="clear" w:color="000000" w:fill="A9D08E"/>
            <w:noWrap/>
            <w:vAlign w:val="center"/>
            <w:hideMark/>
          </w:tcPr>
          <w:p w14:paraId="2E5E492A"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12.47</w:t>
            </w:r>
          </w:p>
        </w:tc>
        <w:tc>
          <w:tcPr>
            <w:tcW w:w="1701" w:type="dxa"/>
            <w:tcBorders>
              <w:top w:val="nil"/>
              <w:left w:val="nil"/>
              <w:bottom w:val="nil"/>
              <w:right w:val="nil"/>
            </w:tcBorders>
            <w:shd w:val="clear" w:color="000000" w:fill="A9D08E"/>
            <w:noWrap/>
            <w:vAlign w:val="bottom"/>
            <w:hideMark/>
          </w:tcPr>
          <w:p w14:paraId="72299018"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12.33</w:t>
            </w:r>
          </w:p>
        </w:tc>
        <w:tc>
          <w:tcPr>
            <w:tcW w:w="2126" w:type="dxa"/>
            <w:tcBorders>
              <w:top w:val="nil"/>
              <w:left w:val="nil"/>
              <w:bottom w:val="nil"/>
              <w:right w:val="single" w:sz="8" w:space="0" w:color="auto"/>
            </w:tcBorders>
            <w:shd w:val="clear" w:color="000000" w:fill="A9D08E"/>
            <w:noWrap/>
            <w:vAlign w:val="bottom"/>
            <w:hideMark/>
          </w:tcPr>
          <w:p w14:paraId="3F89DFA1"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12.28</w:t>
            </w:r>
          </w:p>
        </w:tc>
      </w:tr>
      <w:tr w:rsidR="001529CE" w:rsidRPr="004C6E77" w14:paraId="28965676" w14:textId="77777777" w:rsidTr="007B10BD">
        <w:trPr>
          <w:trHeight w:val="288"/>
        </w:trPr>
        <w:tc>
          <w:tcPr>
            <w:tcW w:w="5245" w:type="dxa"/>
            <w:tcBorders>
              <w:top w:val="single" w:sz="8" w:space="0" w:color="auto"/>
              <w:left w:val="single" w:sz="8" w:space="0" w:color="auto"/>
              <w:bottom w:val="nil"/>
              <w:right w:val="nil"/>
            </w:tcBorders>
            <w:shd w:val="clear" w:color="auto" w:fill="008938"/>
            <w:noWrap/>
            <w:vAlign w:val="bottom"/>
          </w:tcPr>
          <w:p w14:paraId="040E3F9A"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(µg/m</w:t>
            </w:r>
            <w:r w:rsidRPr="007D5CC7">
              <w:rPr>
                <w:rFonts w:ascii="Calibri" w:hAnsi="Calibri" w:cs="Calibri"/>
                <w:b/>
                <w:bCs/>
                <w:color w:val="FFFFFF" w:themeColor="background1"/>
                <w:sz w:val="22"/>
                <w:szCs w:val="22"/>
                <w:vertAlign w:val="superscript"/>
                <w:lang w:eastAsia="en-GB"/>
              </w:rPr>
              <w:t>3</w:t>
            </w:r>
            <w:r w:rsidRPr="001B21A6">
              <w:rPr>
                <w:rFonts w:ascii="Calibri" w:hAnsi="Calibri" w:cs="Calibri"/>
                <w:b/>
                <w:bCs/>
                <w:color w:val="FFFFFF" w:themeColor="background1"/>
                <w:sz w:val="22"/>
                <w:szCs w:val="22"/>
                <w:lang w:eastAsia="en-GB"/>
              </w:rPr>
              <w:t>)</w:t>
            </w:r>
          </w:p>
        </w:tc>
        <w:tc>
          <w:tcPr>
            <w:tcW w:w="1701" w:type="dxa"/>
            <w:tcBorders>
              <w:top w:val="single" w:sz="8" w:space="0" w:color="auto"/>
              <w:left w:val="nil"/>
              <w:bottom w:val="nil"/>
              <w:right w:val="nil"/>
            </w:tcBorders>
            <w:shd w:val="clear" w:color="000000" w:fill="7EF77A"/>
            <w:noWrap/>
            <w:vAlign w:val="bottom"/>
            <w:hideMark/>
          </w:tcPr>
          <w:p w14:paraId="31AAB8F5"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-0.14</w:t>
            </w:r>
          </w:p>
        </w:tc>
        <w:tc>
          <w:tcPr>
            <w:tcW w:w="2126" w:type="dxa"/>
            <w:tcBorders>
              <w:top w:val="single" w:sz="8" w:space="0" w:color="auto"/>
              <w:left w:val="nil"/>
              <w:bottom w:val="nil"/>
              <w:right w:val="single" w:sz="8" w:space="0" w:color="auto"/>
            </w:tcBorders>
            <w:shd w:val="clear" w:color="000000" w:fill="00FF00"/>
            <w:noWrap/>
            <w:vAlign w:val="bottom"/>
            <w:hideMark/>
          </w:tcPr>
          <w:p w14:paraId="7D8669D0"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-0.19</w:t>
            </w:r>
          </w:p>
        </w:tc>
      </w:tr>
      <w:tr w:rsidR="001529CE" w:rsidRPr="004C6E77" w14:paraId="13175AF7" w14:textId="77777777" w:rsidTr="007B10BD">
        <w:trPr>
          <w:trHeight w:val="288"/>
        </w:trPr>
        <w:tc>
          <w:tcPr>
            <w:tcW w:w="5245" w:type="dxa"/>
            <w:tcBorders>
              <w:top w:val="nil"/>
              <w:left w:val="single" w:sz="8" w:space="0" w:color="auto"/>
              <w:bottom w:val="single" w:sz="8" w:space="0" w:color="auto"/>
              <w:right w:val="nil"/>
            </w:tcBorders>
            <w:shd w:val="clear" w:color="auto" w:fill="008938"/>
            <w:noWrap/>
            <w:vAlign w:val="bottom"/>
          </w:tcPr>
          <w:p w14:paraId="2A7FB71F"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1B21A6">
              <w:rPr>
                <w:rFonts w:ascii="Calibri" w:hAnsi="Calibri" w:cs="Calibri"/>
                <w:b/>
                <w:bCs/>
                <w:color w:val="FFFFFF" w:themeColor="background1"/>
                <w:sz w:val="22"/>
                <w:szCs w:val="22"/>
                <w:lang w:eastAsia="en-GB"/>
              </w:rPr>
              <w:t>Change from Baseline (%)</w:t>
            </w:r>
          </w:p>
        </w:tc>
        <w:tc>
          <w:tcPr>
            <w:tcW w:w="1701" w:type="dxa"/>
            <w:tcBorders>
              <w:top w:val="nil"/>
              <w:left w:val="nil"/>
              <w:bottom w:val="single" w:sz="8" w:space="0" w:color="auto"/>
              <w:right w:val="nil"/>
            </w:tcBorders>
            <w:shd w:val="clear" w:color="000000" w:fill="7EF77A"/>
            <w:noWrap/>
            <w:vAlign w:val="bottom"/>
            <w:hideMark/>
          </w:tcPr>
          <w:p w14:paraId="00A0FA54"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-1.1%</w:t>
            </w:r>
          </w:p>
        </w:tc>
        <w:tc>
          <w:tcPr>
            <w:tcW w:w="2126" w:type="dxa"/>
            <w:tcBorders>
              <w:top w:val="nil"/>
              <w:left w:val="nil"/>
              <w:bottom w:val="single" w:sz="8" w:space="0" w:color="auto"/>
              <w:right w:val="single" w:sz="8" w:space="0" w:color="auto"/>
            </w:tcBorders>
            <w:shd w:val="clear" w:color="000000" w:fill="00FF00"/>
            <w:noWrap/>
            <w:vAlign w:val="bottom"/>
            <w:hideMark/>
          </w:tcPr>
          <w:p w14:paraId="3AB028BB" w14:textId="77777777" w:rsidR="001529CE" w:rsidRPr="004C6E77" w:rsidRDefault="001529CE" w:rsidP="007B10BD">
            <w:pPr>
              <w:spacing w:before="0" w:after="0" w:line="240" w:lineRule="auto"/>
              <w:jc w:val="right"/>
              <w:rPr>
                <w:rFonts w:ascii="Calibri" w:hAnsi="Calibri" w:cs="Calibri"/>
                <w:color w:val="000000"/>
                <w:sz w:val="22"/>
                <w:szCs w:val="22"/>
                <w:lang w:eastAsia="en-GB"/>
              </w:rPr>
            </w:pPr>
            <w:r w:rsidRPr="004C6E77">
              <w:rPr>
                <w:rFonts w:ascii="Calibri" w:hAnsi="Calibri" w:cs="Calibri"/>
                <w:color w:val="000000"/>
                <w:sz w:val="22"/>
                <w:szCs w:val="22"/>
                <w:lang w:eastAsia="en-GB"/>
              </w:rPr>
              <w:t>-1.5%</w:t>
            </w:r>
          </w:p>
        </w:tc>
      </w:tr>
    </w:tbl>
    <w:p w14:paraId="02096A2F" w14:textId="77777777" w:rsidR="001529CE" w:rsidRPr="00CA756A" w:rsidRDefault="001529CE" w:rsidP="0025036F">
      <w:pPr>
        <w:pStyle w:val="Heading2"/>
        <w:numPr>
          <w:ilvl w:val="1"/>
          <w:numId w:val="75"/>
        </w:numPr>
      </w:pPr>
      <w:bookmarkStart w:id="338" w:name="_Toc159264934"/>
      <w:bookmarkStart w:id="339" w:name="_Toc160129611"/>
      <w:r>
        <w:t>Scenario model results – CO</w:t>
      </w:r>
      <w:r w:rsidRPr="00C41398">
        <w:rPr>
          <w:vertAlign w:val="subscript"/>
        </w:rPr>
        <w:t>2</w:t>
      </w:r>
      <w:bookmarkEnd w:id="338"/>
      <w:bookmarkEnd w:id="339"/>
    </w:p>
    <w:p w14:paraId="3E3B463F" w14:textId="77777777" w:rsidR="001529CE" w:rsidRDefault="001529CE" w:rsidP="001529CE">
      <w:r>
        <w:t>The scenario modelling also includes a comparison in total carbon dioxide (CO</w:t>
      </w:r>
      <w:r w:rsidRPr="006C3EC9">
        <w:rPr>
          <w:vertAlign w:val="subscript"/>
        </w:rPr>
        <w:t>2</w:t>
      </w:r>
      <w:r>
        <w:t>) emissions across Slough in the baseline 2022 scenario, Scenario #1 and Scenario #5.</w:t>
      </w:r>
    </w:p>
    <w:p w14:paraId="181CDB47" w14:textId="2939870A" w:rsidR="001529CE" w:rsidRDefault="001529CE" w:rsidP="001529CE">
      <w:r>
        <w:t>Table 4-13 presents the total modelled CO</w:t>
      </w:r>
      <w:r w:rsidRPr="006C3EC9">
        <w:rPr>
          <w:vertAlign w:val="subscript"/>
        </w:rPr>
        <w:t>2</w:t>
      </w:r>
      <w:r>
        <w:rPr>
          <w:vertAlign w:val="subscript"/>
        </w:rPr>
        <w:t xml:space="preserve"> </w:t>
      </w:r>
      <w:r>
        <w:t>emissions from road vehicles in 2022 within the Slough model domain (Appendix C.2.2). Total modelled CO</w:t>
      </w:r>
      <w:r w:rsidRPr="0083249E">
        <w:rPr>
          <w:vertAlign w:val="subscript"/>
        </w:rPr>
        <w:t>2</w:t>
      </w:r>
      <w:r>
        <w:t xml:space="preserve"> emissions were calculated using the EFT (v11.0), and considers emissions from road vehicles only.</w:t>
      </w:r>
      <w:r w:rsidR="00957B9F">
        <w:t xml:space="preserve"> Table 4-13</w:t>
      </w:r>
      <w:r>
        <w:t xml:space="preserve"> shows a decrease of 18.7% total CO</w:t>
      </w:r>
      <w:r w:rsidRPr="001313AA">
        <w:rPr>
          <w:vertAlign w:val="subscript"/>
        </w:rPr>
        <w:t>2</w:t>
      </w:r>
      <w:r>
        <w:t xml:space="preserve"> emissions as a result of implementing all measures, 12.6% of which comes from modal shift to active travel and transition to ZEV passenger cars. Tables 4-14 and 4-15 show the split of contributions from light vehicles and heavy vehicles.</w:t>
      </w:r>
    </w:p>
    <w:p w14:paraId="2614EE11" w14:textId="77777777" w:rsidR="001529CE" w:rsidRPr="004C6E77" w:rsidRDefault="001529CE" w:rsidP="00887760">
      <w:pPr>
        <w:pStyle w:val="Tables"/>
      </w:pPr>
      <w:bookmarkStart w:id="340" w:name="_Toc159264956"/>
      <w:bookmarkStart w:id="341" w:name="_Toc160123598"/>
      <w:bookmarkStart w:id="342" w:name="_Toc160123814"/>
      <w:bookmarkStart w:id="343" w:name="_Toc160128580"/>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13</w:t>
      </w:r>
      <w:r w:rsidR="000F4CA1">
        <w:rPr>
          <w:noProof/>
        </w:rPr>
        <w:fldChar w:fldCharType="end"/>
      </w:r>
      <w:r>
        <w:t xml:space="preserve"> - scenario modelling CO</w:t>
      </w:r>
      <w:r w:rsidRPr="001313AA">
        <w:rPr>
          <w:vertAlign w:val="subscript"/>
        </w:rPr>
        <w:t>2</w:t>
      </w:r>
      <w:r>
        <w:t xml:space="preserve"> emissions for all vehicles</w:t>
      </w:r>
      <w:bookmarkEnd w:id="340"/>
      <w:bookmarkEnd w:id="341"/>
      <w:bookmarkEnd w:id="342"/>
      <w:bookmarkEnd w:id="343"/>
    </w:p>
    <w:tbl>
      <w:tblPr>
        <w:tblW w:w="9065" w:type="dxa"/>
        <w:tblLook w:val="04A0" w:firstRow="1" w:lastRow="0" w:firstColumn="1" w:lastColumn="0" w:noHBand="0" w:noVBand="1"/>
      </w:tblPr>
      <w:tblGrid>
        <w:gridCol w:w="2698"/>
        <w:gridCol w:w="1980"/>
        <w:gridCol w:w="2268"/>
        <w:gridCol w:w="2119"/>
      </w:tblGrid>
      <w:tr w:rsidR="001529CE" w:rsidRPr="006C3EC9" w14:paraId="04CC3479" w14:textId="77777777" w:rsidTr="007B10BD">
        <w:trPr>
          <w:trHeight w:val="288"/>
        </w:trPr>
        <w:tc>
          <w:tcPr>
            <w:tcW w:w="2698" w:type="dxa"/>
            <w:tcBorders>
              <w:top w:val="nil"/>
              <w:left w:val="nil"/>
              <w:bottom w:val="nil"/>
              <w:right w:val="nil"/>
            </w:tcBorders>
            <w:shd w:val="clear" w:color="auto" w:fill="auto"/>
            <w:noWrap/>
            <w:vAlign w:val="bottom"/>
            <w:hideMark/>
          </w:tcPr>
          <w:p w14:paraId="0BFDC04B" w14:textId="77777777" w:rsidR="001529CE" w:rsidRPr="006C3EC9" w:rsidRDefault="001529CE" w:rsidP="007B10BD">
            <w:pPr>
              <w:spacing w:before="0" w:after="0" w:line="240" w:lineRule="auto"/>
              <w:rPr>
                <w:rFonts w:ascii="Times New Roman" w:hAnsi="Times New Roman"/>
                <w:sz w:val="20"/>
                <w:szCs w:val="20"/>
                <w:lang w:eastAsia="en-GB"/>
              </w:rPr>
            </w:pPr>
          </w:p>
        </w:tc>
        <w:tc>
          <w:tcPr>
            <w:tcW w:w="6367" w:type="dxa"/>
            <w:gridSpan w:val="3"/>
            <w:tcBorders>
              <w:top w:val="single" w:sz="4" w:space="0" w:color="auto"/>
              <w:left w:val="single" w:sz="4" w:space="0" w:color="auto"/>
              <w:bottom w:val="single" w:sz="4" w:space="0" w:color="auto"/>
              <w:right w:val="single" w:sz="4" w:space="0" w:color="000000"/>
            </w:tcBorders>
            <w:shd w:val="clear" w:color="auto" w:fill="008938"/>
            <w:noWrap/>
            <w:vAlign w:val="bottom"/>
            <w:hideMark/>
          </w:tcPr>
          <w:p w14:paraId="20C6C6FA" w14:textId="77777777" w:rsidR="001529CE" w:rsidRPr="006C3EC9" w:rsidRDefault="001529CE" w:rsidP="007B10BD">
            <w:pPr>
              <w:spacing w:before="0" w:after="0" w:line="240" w:lineRule="auto"/>
              <w:jc w:val="center"/>
              <w:rPr>
                <w:rFonts w:ascii="Calibri" w:hAnsi="Calibri" w:cs="Calibri"/>
                <w:color w:val="000000"/>
                <w:sz w:val="22"/>
                <w:szCs w:val="22"/>
                <w:lang w:eastAsia="en-GB"/>
              </w:rPr>
            </w:pPr>
            <w:r w:rsidRPr="006C3EC9">
              <w:rPr>
                <w:rFonts w:ascii="Calibri" w:hAnsi="Calibri" w:cs="Calibri"/>
                <w:color w:val="FFFFFF" w:themeColor="background1"/>
                <w:sz w:val="22"/>
                <w:szCs w:val="22"/>
                <w:lang w:eastAsia="en-GB"/>
              </w:rPr>
              <w:t>All Vehicles (Annual Emissions (kilotonnes/yr))</w:t>
            </w:r>
          </w:p>
        </w:tc>
      </w:tr>
      <w:tr w:rsidR="001529CE" w:rsidRPr="006C3EC9" w14:paraId="5600882F" w14:textId="77777777" w:rsidTr="007B10BD">
        <w:trPr>
          <w:trHeight w:val="288"/>
        </w:trPr>
        <w:tc>
          <w:tcPr>
            <w:tcW w:w="2698" w:type="dxa"/>
            <w:tcBorders>
              <w:top w:val="single" w:sz="4" w:space="0" w:color="auto"/>
              <w:left w:val="single" w:sz="4" w:space="0" w:color="auto"/>
              <w:bottom w:val="single" w:sz="4" w:space="0" w:color="9BC2E6"/>
              <w:right w:val="nil"/>
            </w:tcBorders>
            <w:shd w:val="clear" w:color="auto" w:fill="008938"/>
            <w:noWrap/>
            <w:vAlign w:val="bottom"/>
            <w:hideMark/>
          </w:tcPr>
          <w:p w14:paraId="2905BCA8"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Pr>
                <w:rFonts w:ascii="Calibri" w:hAnsi="Calibri" w:cs="Calibri"/>
                <w:b/>
                <w:bCs/>
                <w:color w:val="FFFFFF"/>
                <w:sz w:val="22"/>
                <w:szCs w:val="22"/>
                <w:lang w:eastAsia="en-GB"/>
              </w:rPr>
              <w:t>Scenario</w:t>
            </w:r>
          </w:p>
        </w:tc>
        <w:tc>
          <w:tcPr>
            <w:tcW w:w="1980" w:type="dxa"/>
            <w:tcBorders>
              <w:top w:val="nil"/>
              <w:left w:val="single" w:sz="4" w:space="0" w:color="auto"/>
              <w:bottom w:val="single" w:sz="4" w:space="0" w:color="9BC2E6"/>
              <w:right w:val="nil"/>
            </w:tcBorders>
            <w:shd w:val="clear" w:color="auto" w:fill="auto"/>
            <w:noWrap/>
            <w:vAlign w:val="bottom"/>
            <w:hideMark/>
          </w:tcPr>
          <w:p w14:paraId="5C23436F"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Baseline</w:t>
            </w:r>
          </w:p>
        </w:tc>
        <w:tc>
          <w:tcPr>
            <w:tcW w:w="2268" w:type="dxa"/>
            <w:tcBorders>
              <w:top w:val="nil"/>
              <w:left w:val="nil"/>
              <w:bottom w:val="single" w:sz="4" w:space="0" w:color="9BC2E6"/>
              <w:right w:val="nil"/>
            </w:tcBorders>
            <w:shd w:val="clear" w:color="auto" w:fill="auto"/>
            <w:noWrap/>
            <w:vAlign w:val="bottom"/>
            <w:hideMark/>
          </w:tcPr>
          <w:p w14:paraId="4FDEE153"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#1c</w:t>
            </w:r>
          </w:p>
        </w:tc>
        <w:tc>
          <w:tcPr>
            <w:tcW w:w="2119" w:type="dxa"/>
            <w:tcBorders>
              <w:top w:val="nil"/>
              <w:left w:val="nil"/>
              <w:bottom w:val="single" w:sz="4" w:space="0" w:color="9BC2E6"/>
              <w:right w:val="single" w:sz="4" w:space="0" w:color="auto"/>
            </w:tcBorders>
            <w:shd w:val="clear" w:color="auto" w:fill="auto"/>
            <w:noWrap/>
            <w:vAlign w:val="bottom"/>
            <w:hideMark/>
          </w:tcPr>
          <w:p w14:paraId="34770B7D"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#5</w:t>
            </w:r>
          </w:p>
        </w:tc>
      </w:tr>
      <w:tr w:rsidR="001529CE" w:rsidRPr="006C3EC9" w14:paraId="63F42051" w14:textId="77777777" w:rsidTr="007B10BD">
        <w:trPr>
          <w:trHeight w:val="288"/>
        </w:trPr>
        <w:tc>
          <w:tcPr>
            <w:tcW w:w="2698" w:type="dxa"/>
            <w:tcBorders>
              <w:top w:val="nil"/>
              <w:left w:val="single" w:sz="4" w:space="0" w:color="auto"/>
              <w:bottom w:val="single" w:sz="4" w:space="0" w:color="9BC2E6"/>
              <w:right w:val="nil"/>
            </w:tcBorders>
            <w:shd w:val="clear" w:color="auto" w:fill="008938"/>
            <w:noWrap/>
            <w:vAlign w:val="bottom"/>
            <w:hideMark/>
          </w:tcPr>
          <w:p w14:paraId="6D7561BE"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sidRPr="006C3EC9">
              <w:rPr>
                <w:rFonts w:ascii="Calibri" w:hAnsi="Calibri" w:cs="Calibri"/>
                <w:b/>
                <w:bCs/>
                <w:color w:val="FFFFFF"/>
                <w:sz w:val="22"/>
                <w:szCs w:val="22"/>
                <w:lang w:eastAsia="en-GB"/>
              </w:rPr>
              <w:t>Total</w:t>
            </w:r>
            <w:r>
              <w:rPr>
                <w:rFonts w:ascii="Calibri" w:hAnsi="Calibri" w:cs="Calibri"/>
                <w:b/>
                <w:bCs/>
                <w:color w:val="FFFFFF"/>
                <w:sz w:val="22"/>
                <w:szCs w:val="22"/>
                <w:lang w:eastAsia="en-GB"/>
              </w:rPr>
              <w:t xml:space="preserve"> (kt/year)</w:t>
            </w:r>
          </w:p>
        </w:tc>
        <w:tc>
          <w:tcPr>
            <w:tcW w:w="1980" w:type="dxa"/>
            <w:tcBorders>
              <w:top w:val="nil"/>
              <w:left w:val="single" w:sz="4" w:space="0" w:color="auto"/>
              <w:bottom w:val="nil"/>
              <w:right w:val="nil"/>
            </w:tcBorders>
            <w:shd w:val="clear" w:color="auto" w:fill="auto"/>
            <w:noWrap/>
            <w:vAlign w:val="bottom"/>
            <w:hideMark/>
          </w:tcPr>
          <w:p w14:paraId="4B339ABA"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906.6</w:t>
            </w:r>
          </w:p>
        </w:tc>
        <w:tc>
          <w:tcPr>
            <w:tcW w:w="2268" w:type="dxa"/>
            <w:tcBorders>
              <w:top w:val="nil"/>
              <w:left w:val="nil"/>
              <w:bottom w:val="nil"/>
              <w:right w:val="nil"/>
            </w:tcBorders>
            <w:shd w:val="clear" w:color="auto" w:fill="auto"/>
            <w:noWrap/>
            <w:vAlign w:val="bottom"/>
            <w:hideMark/>
          </w:tcPr>
          <w:p w14:paraId="15C3B035"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805.06</w:t>
            </w:r>
          </w:p>
        </w:tc>
        <w:tc>
          <w:tcPr>
            <w:tcW w:w="2119" w:type="dxa"/>
            <w:tcBorders>
              <w:top w:val="nil"/>
              <w:left w:val="nil"/>
              <w:bottom w:val="nil"/>
              <w:right w:val="single" w:sz="4" w:space="0" w:color="auto"/>
            </w:tcBorders>
            <w:shd w:val="clear" w:color="auto" w:fill="auto"/>
            <w:noWrap/>
            <w:vAlign w:val="bottom"/>
            <w:hideMark/>
          </w:tcPr>
          <w:p w14:paraId="0F4BA48B"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764</w:t>
            </w:r>
          </w:p>
        </w:tc>
      </w:tr>
      <w:tr w:rsidR="001529CE" w:rsidRPr="006C3EC9" w14:paraId="45F11F62" w14:textId="77777777" w:rsidTr="007B10BD">
        <w:trPr>
          <w:trHeight w:val="288"/>
        </w:trPr>
        <w:tc>
          <w:tcPr>
            <w:tcW w:w="4678" w:type="dxa"/>
            <w:gridSpan w:val="2"/>
            <w:tcBorders>
              <w:top w:val="nil"/>
              <w:left w:val="single" w:sz="4" w:space="0" w:color="auto"/>
              <w:bottom w:val="nil"/>
              <w:right w:val="nil"/>
            </w:tcBorders>
            <w:shd w:val="clear" w:color="auto" w:fill="008938"/>
            <w:noWrap/>
            <w:vAlign w:val="bottom"/>
            <w:hideMark/>
          </w:tcPr>
          <w:p w14:paraId="2788A9A1"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(kt)</w:t>
            </w:r>
          </w:p>
        </w:tc>
        <w:tc>
          <w:tcPr>
            <w:tcW w:w="2268" w:type="dxa"/>
            <w:tcBorders>
              <w:top w:val="nil"/>
              <w:left w:val="nil"/>
              <w:bottom w:val="nil"/>
              <w:right w:val="nil"/>
            </w:tcBorders>
            <w:shd w:val="clear" w:color="000000" w:fill="8FCFA1"/>
            <w:noWrap/>
            <w:vAlign w:val="bottom"/>
            <w:hideMark/>
          </w:tcPr>
          <w:p w14:paraId="40E05609"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-102</w:t>
            </w:r>
          </w:p>
        </w:tc>
        <w:tc>
          <w:tcPr>
            <w:tcW w:w="2119" w:type="dxa"/>
            <w:tcBorders>
              <w:top w:val="nil"/>
              <w:left w:val="nil"/>
              <w:bottom w:val="nil"/>
              <w:right w:val="single" w:sz="4" w:space="0" w:color="auto"/>
            </w:tcBorders>
            <w:shd w:val="clear" w:color="000000" w:fill="63BE7B"/>
            <w:noWrap/>
            <w:vAlign w:val="bottom"/>
            <w:hideMark/>
          </w:tcPr>
          <w:p w14:paraId="79517B38"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-143</w:t>
            </w:r>
          </w:p>
        </w:tc>
      </w:tr>
      <w:tr w:rsidR="001529CE" w:rsidRPr="006C3EC9" w14:paraId="2B13D480" w14:textId="77777777" w:rsidTr="007B10BD">
        <w:trPr>
          <w:trHeight w:val="288"/>
        </w:trPr>
        <w:tc>
          <w:tcPr>
            <w:tcW w:w="4678" w:type="dxa"/>
            <w:gridSpan w:val="2"/>
            <w:tcBorders>
              <w:top w:val="single" w:sz="4" w:space="0" w:color="9BC2E6"/>
              <w:left w:val="single" w:sz="4" w:space="0" w:color="auto"/>
              <w:bottom w:val="single" w:sz="4" w:space="0" w:color="auto"/>
              <w:right w:val="nil"/>
            </w:tcBorders>
            <w:shd w:val="clear" w:color="auto" w:fill="008938"/>
            <w:noWrap/>
            <w:vAlign w:val="bottom"/>
            <w:hideMark/>
          </w:tcPr>
          <w:p w14:paraId="4E4DDF2C"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w:t>
            </w:r>
          </w:p>
        </w:tc>
        <w:tc>
          <w:tcPr>
            <w:tcW w:w="2268" w:type="dxa"/>
            <w:tcBorders>
              <w:top w:val="nil"/>
              <w:left w:val="nil"/>
              <w:bottom w:val="single" w:sz="4" w:space="0" w:color="auto"/>
              <w:right w:val="nil"/>
            </w:tcBorders>
            <w:shd w:val="clear" w:color="000000" w:fill="A6D9B4"/>
            <w:noWrap/>
            <w:vAlign w:val="bottom"/>
            <w:hideMark/>
          </w:tcPr>
          <w:p w14:paraId="1C777C65"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-12.6%</w:t>
            </w:r>
          </w:p>
        </w:tc>
        <w:tc>
          <w:tcPr>
            <w:tcW w:w="2119" w:type="dxa"/>
            <w:tcBorders>
              <w:top w:val="nil"/>
              <w:left w:val="nil"/>
              <w:bottom w:val="single" w:sz="4" w:space="0" w:color="auto"/>
              <w:right w:val="single" w:sz="4" w:space="0" w:color="auto"/>
            </w:tcBorders>
            <w:shd w:val="clear" w:color="000000" w:fill="7CC891"/>
            <w:noWrap/>
            <w:vAlign w:val="bottom"/>
            <w:hideMark/>
          </w:tcPr>
          <w:p w14:paraId="2EEBE743"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-18.7%</w:t>
            </w:r>
          </w:p>
        </w:tc>
      </w:tr>
    </w:tbl>
    <w:p w14:paraId="32CC0034" w14:textId="77777777" w:rsidR="001529CE" w:rsidRDefault="001529CE" w:rsidP="00887760">
      <w:pPr>
        <w:pStyle w:val="Tables"/>
      </w:pPr>
      <w:bookmarkStart w:id="344" w:name="_Toc159264957"/>
      <w:bookmarkStart w:id="345" w:name="_Toc160123599"/>
      <w:bookmarkStart w:id="346" w:name="_Toc160123815"/>
      <w:bookmarkStart w:id="347" w:name="_Toc160128581"/>
      <w:r>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14</w:t>
      </w:r>
      <w:r w:rsidR="000F4CA1">
        <w:rPr>
          <w:noProof/>
        </w:rPr>
        <w:fldChar w:fldCharType="end"/>
      </w:r>
      <w:r>
        <w:t xml:space="preserve"> - scenario modelling CO</w:t>
      </w:r>
      <w:r w:rsidRPr="001313AA">
        <w:rPr>
          <w:vertAlign w:val="subscript"/>
        </w:rPr>
        <w:t>2</w:t>
      </w:r>
      <w:r>
        <w:t xml:space="preserve"> emissions for light vehicles (cars, taxis and HGVs)</w:t>
      </w:r>
      <w:bookmarkEnd w:id="344"/>
      <w:bookmarkEnd w:id="345"/>
      <w:bookmarkEnd w:id="346"/>
      <w:bookmarkEnd w:id="347"/>
    </w:p>
    <w:tbl>
      <w:tblPr>
        <w:tblW w:w="9065" w:type="dxa"/>
        <w:tblLook w:val="04A0" w:firstRow="1" w:lastRow="0" w:firstColumn="1" w:lastColumn="0" w:noHBand="0" w:noVBand="1"/>
      </w:tblPr>
      <w:tblGrid>
        <w:gridCol w:w="2698"/>
        <w:gridCol w:w="1980"/>
        <w:gridCol w:w="2268"/>
        <w:gridCol w:w="2119"/>
      </w:tblGrid>
      <w:tr w:rsidR="001529CE" w:rsidRPr="006C3EC9" w14:paraId="6737B073" w14:textId="77777777" w:rsidTr="007B10BD">
        <w:trPr>
          <w:trHeight w:val="288"/>
        </w:trPr>
        <w:tc>
          <w:tcPr>
            <w:tcW w:w="2698" w:type="dxa"/>
            <w:tcBorders>
              <w:top w:val="nil"/>
              <w:left w:val="nil"/>
              <w:bottom w:val="nil"/>
              <w:right w:val="nil"/>
            </w:tcBorders>
            <w:shd w:val="clear" w:color="auto" w:fill="auto"/>
            <w:noWrap/>
            <w:vAlign w:val="bottom"/>
            <w:hideMark/>
          </w:tcPr>
          <w:p w14:paraId="57308C3A" w14:textId="77777777" w:rsidR="001529CE" w:rsidRPr="006C3EC9" w:rsidRDefault="001529CE" w:rsidP="007B10BD">
            <w:pPr>
              <w:spacing w:before="0" w:after="0" w:line="240" w:lineRule="auto"/>
              <w:rPr>
                <w:rFonts w:ascii="Times New Roman" w:hAnsi="Times New Roman"/>
                <w:sz w:val="20"/>
                <w:szCs w:val="20"/>
                <w:lang w:eastAsia="en-GB"/>
              </w:rPr>
            </w:pPr>
          </w:p>
        </w:tc>
        <w:tc>
          <w:tcPr>
            <w:tcW w:w="6367" w:type="dxa"/>
            <w:gridSpan w:val="3"/>
            <w:tcBorders>
              <w:top w:val="single" w:sz="4" w:space="0" w:color="auto"/>
              <w:left w:val="single" w:sz="4" w:space="0" w:color="auto"/>
              <w:bottom w:val="single" w:sz="4" w:space="0" w:color="auto"/>
              <w:right w:val="single" w:sz="4" w:space="0" w:color="000000"/>
            </w:tcBorders>
            <w:shd w:val="clear" w:color="auto" w:fill="008938"/>
            <w:noWrap/>
            <w:vAlign w:val="bottom"/>
            <w:hideMark/>
          </w:tcPr>
          <w:p w14:paraId="7C8075E4" w14:textId="77777777" w:rsidR="001529CE" w:rsidRPr="006C3EC9" w:rsidRDefault="001529CE" w:rsidP="007B10BD">
            <w:pPr>
              <w:spacing w:before="0" w:after="0" w:line="240" w:lineRule="auto"/>
              <w:jc w:val="center"/>
              <w:rPr>
                <w:rFonts w:ascii="Calibri" w:hAnsi="Calibri" w:cs="Calibri"/>
                <w:color w:val="000000"/>
                <w:sz w:val="22"/>
                <w:szCs w:val="22"/>
                <w:lang w:eastAsia="en-GB"/>
              </w:rPr>
            </w:pPr>
            <w:r>
              <w:rPr>
                <w:rFonts w:ascii="Calibri" w:hAnsi="Calibri" w:cs="Calibri"/>
                <w:color w:val="FFFFFF" w:themeColor="background1"/>
                <w:sz w:val="22"/>
                <w:szCs w:val="22"/>
                <w:lang w:eastAsia="en-GB"/>
              </w:rPr>
              <w:t>Light Vehicles</w:t>
            </w:r>
            <w:r w:rsidRPr="006C3EC9">
              <w:rPr>
                <w:rFonts w:ascii="Calibri" w:hAnsi="Calibri" w:cs="Calibri"/>
                <w:color w:val="FFFFFF" w:themeColor="background1"/>
                <w:sz w:val="22"/>
                <w:szCs w:val="22"/>
                <w:lang w:eastAsia="en-GB"/>
              </w:rPr>
              <w:t xml:space="preserve"> (Annual Emissions (kilotonnes/yr))</w:t>
            </w:r>
          </w:p>
        </w:tc>
      </w:tr>
      <w:tr w:rsidR="001529CE" w:rsidRPr="006C3EC9" w14:paraId="007F32A2" w14:textId="77777777" w:rsidTr="007B10BD">
        <w:trPr>
          <w:trHeight w:val="288"/>
        </w:trPr>
        <w:tc>
          <w:tcPr>
            <w:tcW w:w="2698" w:type="dxa"/>
            <w:tcBorders>
              <w:top w:val="single" w:sz="4" w:space="0" w:color="auto"/>
              <w:left w:val="single" w:sz="4" w:space="0" w:color="auto"/>
              <w:bottom w:val="single" w:sz="4" w:space="0" w:color="9BC2E6"/>
              <w:right w:val="nil"/>
            </w:tcBorders>
            <w:shd w:val="clear" w:color="auto" w:fill="008938"/>
            <w:noWrap/>
            <w:vAlign w:val="bottom"/>
            <w:hideMark/>
          </w:tcPr>
          <w:p w14:paraId="5E791919"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Pr>
                <w:rFonts w:ascii="Calibri" w:hAnsi="Calibri" w:cs="Calibri"/>
                <w:b/>
                <w:bCs/>
                <w:color w:val="FFFFFF"/>
                <w:sz w:val="22"/>
                <w:szCs w:val="22"/>
                <w:lang w:eastAsia="en-GB"/>
              </w:rPr>
              <w:t>Scenario</w:t>
            </w:r>
          </w:p>
        </w:tc>
        <w:tc>
          <w:tcPr>
            <w:tcW w:w="1980" w:type="dxa"/>
            <w:tcBorders>
              <w:top w:val="nil"/>
              <w:left w:val="single" w:sz="4" w:space="0" w:color="auto"/>
              <w:bottom w:val="single" w:sz="4" w:space="0" w:color="9BC2E6"/>
              <w:right w:val="nil"/>
            </w:tcBorders>
            <w:shd w:val="clear" w:color="auto" w:fill="auto"/>
            <w:noWrap/>
            <w:vAlign w:val="bottom"/>
            <w:hideMark/>
          </w:tcPr>
          <w:p w14:paraId="66C4AE72"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Baseline</w:t>
            </w:r>
          </w:p>
        </w:tc>
        <w:tc>
          <w:tcPr>
            <w:tcW w:w="2268" w:type="dxa"/>
            <w:tcBorders>
              <w:top w:val="nil"/>
              <w:left w:val="nil"/>
              <w:bottom w:val="single" w:sz="4" w:space="0" w:color="9BC2E6"/>
              <w:right w:val="nil"/>
            </w:tcBorders>
            <w:shd w:val="clear" w:color="auto" w:fill="auto"/>
            <w:noWrap/>
            <w:vAlign w:val="bottom"/>
            <w:hideMark/>
          </w:tcPr>
          <w:p w14:paraId="22652781"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#1c</w:t>
            </w:r>
          </w:p>
        </w:tc>
        <w:tc>
          <w:tcPr>
            <w:tcW w:w="2119" w:type="dxa"/>
            <w:tcBorders>
              <w:top w:val="nil"/>
              <w:left w:val="nil"/>
              <w:bottom w:val="single" w:sz="4" w:space="0" w:color="9BC2E6"/>
              <w:right w:val="single" w:sz="4" w:space="0" w:color="auto"/>
            </w:tcBorders>
            <w:shd w:val="clear" w:color="auto" w:fill="auto"/>
            <w:noWrap/>
            <w:vAlign w:val="bottom"/>
            <w:hideMark/>
          </w:tcPr>
          <w:p w14:paraId="1DA93C68"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#5</w:t>
            </w:r>
          </w:p>
        </w:tc>
      </w:tr>
      <w:tr w:rsidR="001529CE" w:rsidRPr="006C3EC9" w14:paraId="574A0CAF" w14:textId="77777777" w:rsidTr="007B10BD">
        <w:trPr>
          <w:trHeight w:val="288"/>
        </w:trPr>
        <w:tc>
          <w:tcPr>
            <w:tcW w:w="2698" w:type="dxa"/>
            <w:tcBorders>
              <w:top w:val="nil"/>
              <w:left w:val="single" w:sz="4" w:space="0" w:color="auto"/>
              <w:bottom w:val="single" w:sz="4" w:space="0" w:color="9BC2E6"/>
              <w:right w:val="nil"/>
            </w:tcBorders>
            <w:shd w:val="clear" w:color="auto" w:fill="008938"/>
            <w:noWrap/>
            <w:vAlign w:val="bottom"/>
            <w:hideMark/>
          </w:tcPr>
          <w:p w14:paraId="2AC623F4"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sidRPr="006C3EC9">
              <w:rPr>
                <w:rFonts w:ascii="Calibri" w:hAnsi="Calibri" w:cs="Calibri"/>
                <w:b/>
                <w:bCs/>
                <w:color w:val="FFFFFF"/>
                <w:sz w:val="22"/>
                <w:szCs w:val="22"/>
                <w:lang w:eastAsia="en-GB"/>
              </w:rPr>
              <w:t>Total</w:t>
            </w:r>
            <w:r>
              <w:rPr>
                <w:rFonts w:ascii="Calibri" w:hAnsi="Calibri" w:cs="Calibri"/>
                <w:b/>
                <w:bCs/>
                <w:color w:val="FFFFFF"/>
                <w:sz w:val="22"/>
                <w:szCs w:val="22"/>
                <w:lang w:eastAsia="en-GB"/>
              </w:rPr>
              <w:t xml:space="preserve"> (kt/year)</w:t>
            </w:r>
          </w:p>
        </w:tc>
        <w:tc>
          <w:tcPr>
            <w:tcW w:w="1980" w:type="dxa"/>
            <w:tcBorders>
              <w:top w:val="nil"/>
              <w:left w:val="single" w:sz="4" w:space="0" w:color="auto"/>
              <w:bottom w:val="nil"/>
              <w:right w:val="nil"/>
            </w:tcBorders>
            <w:shd w:val="clear" w:color="auto" w:fill="auto"/>
            <w:noWrap/>
            <w:vAlign w:val="bottom"/>
            <w:hideMark/>
          </w:tcPr>
          <w:p w14:paraId="0E5E1CD7"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665.6</w:t>
            </w:r>
          </w:p>
        </w:tc>
        <w:tc>
          <w:tcPr>
            <w:tcW w:w="2268" w:type="dxa"/>
            <w:tcBorders>
              <w:top w:val="nil"/>
              <w:left w:val="nil"/>
              <w:bottom w:val="nil"/>
              <w:right w:val="nil"/>
            </w:tcBorders>
            <w:shd w:val="clear" w:color="auto" w:fill="auto"/>
            <w:noWrap/>
            <w:vAlign w:val="bottom"/>
            <w:hideMark/>
          </w:tcPr>
          <w:p w14:paraId="4B8510E0"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564.2</w:t>
            </w:r>
          </w:p>
        </w:tc>
        <w:tc>
          <w:tcPr>
            <w:tcW w:w="2119" w:type="dxa"/>
            <w:tcBorders>
              <w:top w:val="nil"/>
              <w:left w:val="nil"/>
              <w:bottom w:val="nil"/>
              <w:right w:val="single" w:sz="4" w:space="0" w:color="auto"/>
            </w:tcBorders>
            <w:shd w:val="clear" w:color="auto" w:fill="auto"/>
            <w:noWrap/>
            <w:vAlign w:val="bottom"/>
            <w:hideMark/>
          </w:tcPr>
          <w:p w14:paraId="4AE53C60"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543.4</w:t>
            </w:r>
          </w:p>
        </w:tc>
      </w:tr>
      <w:tr w:rsidR="001529CE" w:rsidRPr="006C3EC9" w14:paraId="26F3A3BC" w14:textId="77777777" w:rsidTr="007B10BD">
        <w:trPr>
          <w:trHeight w:val="288"/>
        </w:trPr>
        <w:tc>
          <w:tcPr>
            <w:tcW w:w="4678" w:type="dxa"/>
            <w:gridSpan w:val="2"/>
            <w:tcBorders>
              <w:top w:val="nil"/>
              <w:left w:val="single" w:sz="4" w:space="0" w:color="auto"/>
              <w:bottom w:val="nil"/>
              <w:right w:val="nil"/>
            </w:tcBorders>
            <w:shd w:val="clear" w:color="auto" w:fill="008938"/>
            <w:noWrap/>
            <w:vAlign w:val="bottom"/>
            <w:hideMark/>
          </w:tcPr>
          <w:p w14:paraId="4ED57F4C"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(kt)</w:t>
            </w:r>
          </w:p>
        </w:tc>
        <w:tc>
          <w:tcPr>
            <w:tcW w:w="2268" w:type="dxa"/>
            <w:tcBorders>
              <w:top w:val="nil"/>
              <w:left w:val="nil"/>
              <w:bottom w:val="nil"/>
              <w:right w:val="nil"/>
            </w:tcBorders>
            <w:shd w:val="clear" w:color="000000" w:fill="8FCFA1"/>
            <w:noWrap/>
            <w:vAlign w:val="bottom"/>
            <w:hideMark/>
          </w:tcPr>
          <w:p w14:paraId="6F816BC3"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-10</w:t>
            </w:r>
            <w:r>
              <w:rPr>
                <w:rFonts w:ascii="Calibri" w:hAnsi="Calibri" w:cs="Calibri"/>
                <w:color w:val="000000"/>
                <w:sz w:val="22"/>
                <w:szCs w:val="22"/>
                <w:lang w:eastAsia="en-GB"/>
              </w:rPr>
              <w:t>1</w:t>
            </w:r>
          </w:p>
        </w:tc>
        <w:tc>
          <w:tcPr>
            <w:tcW w:w="2119" w:type="dxa"/>
            <w:tcBorders>
              <w:top w:val="nil"/>
              <w:left w:val="nil"/>
              <w:bottom w:val="nil"/>
              <w:right w:val="single" w:sz="4" w:space="0" w:color="auto"/>
            </w:tcBorders>
            <w:shd w:val="clear" w:color="000000" w:fill="63BE7B"/>
            <w:noWrap/>
            <w:vAlign w:val="bottom"/>
            <w:hideMark/>
          </w:tcPr>
          <w:p w14:paraId="530FF9EC"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w:t>
            </w:r>
            <w:r>
              <w:rPr>
                <w:rFonts w:ascii="Calibri" w:hAnsi="Calibri" w:cs="Calibri"/>
                <w:color w:val="000000"/>
                <w:sz w:val="22"/>
                <w:szCs w:val="22"/>
                <w:lang w:eastAsia="en-GB"/>
              </w:rPr>
              <w:t>22</w:t>
            </w:r>
          </w:p>
        </w:tc>
      </w:tr>
      <w:tr w:rsidR="001529CE" w:rsidRPr="006C3EC9" w14:paraId="0D72F20B" w14:textId="77777777" w:rsidTr="007B10BD">
        <w:trPr>
          <w:trHeight w:val="288"/>
        </w:trPr>
        <w:tc>
          <w:tcPr>
            <w:tcW w:w="4678" w:type="dxa"/>
            <w:gridSpan w:val="2"/>
            <w:tcBorders>
              <w:top w:val="single" w:sz="4" w:space="0" w:color="9BC2E6"/>
              <w:left w:val="single" w:sz="4" w:space="0" w:color="auto"/>
              <w:bottom w:val="single" w:sz="4" w:space="0" w:color="auto"/>
              <w:right w:val="nil"/>
            </w:tcBorders>
            <w:shd w:val="clear" w:color="auto" w:fill="008938"/>
            <w:noWrap/>
            <w:vAlign w:val="bottom"/>
            <w:hideMark/>
          </w:tcPr>
          <w:p w14:paraId="6BDD2455"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w:t>
            </w:r>
          </w:p>
        </w:tc>
        <w:tc>
          <w:tcPr>
            <w:tcW w:w="2268" w:type="dxa"/>
            <w:tcBorders>
              <w:top w:val="nil"/>
              <w:left w:val="nil"/>
              <w:bottom w:val="single" w:sz="4" w:space="0" w:color="auto"/>
              <w:right w:val="nil"/>
            </w:tcBorders>
            <w:shd w:val="clear" w:color="000000" w:fill="A6D9B4"/>
            <w:noWrap/>
            <w:vAlign w:val="bottom"/>
            <w:hideMark/>
          </w:tcPr>
          <w:p w14:paraId="1DC7C432"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-1</w:t>
            </w:r>
            <w:r>
              <w:rPr>
                <w:rFonts w:ascii="Calibri" w:hAnsi="Calibri" w:cs="Calibri"/>
                <w:color w:val="000000"/>
                <w:sz w:val="22"/>
                <w:szCs w:val="22"/>
                <w:lang w:eastAsia="en-GB"/>
              </w:rPr>
              <w:t>8</w:t>
            </w:r>
            <w:r w:rsidRPr="006C3EC9">
              <w:rPr>
                <w:rFonts w:ascii="Calibri" w:hAnsi="Calibri" w:cs="Calibri"/>
                <w:color w:val="000000"/>
                <w:sz w:val="22"/>
                <w:szCs w:val="22"/>
                <w:lang w:eastAsia="en-GB"/>
              </w:rPr>
              <w:t>.</w:t>
            </w:r>
            <w:r>
              <w:rPr>
                <w:rFonts w:ascii="Calibri" w:hAnsi="Calibri" w:cs="Calibri"/>
                <w:color w:val="000000"/>
                <w:sz w:val="22"/>
                <w:szCs w:val="22"/>
                <w:lang w:eastAsia="en-GB"/>
              </w:rPr>
              <w:t>0</w:t>
            </w:r>
            <w:r w:rsidRPr="006C3EC9">
              <w:rPr>
                <w:rFonts w:ascii="Calibri" w:hAnsi="Calibri" w:cs="Calibri"/>
                <w:color w:val="000000"/>
                <w:sz w:val="22"/>
                <w:szCs w:val="22"/>
                <w:lang w:eastAsia="en-GB"/>
              </w:rPr>
              <w:t>%</w:t>
            </w:r>
          </w:p>
        </w:tc>
        <w:tc>
          <w:tcPr>
            <w:tcW w:w="2119" w:type="dxa"/>
            <w:tcBorders>
              <w:top w:val="nil"/>
              <w:left w:val="nil"/>
              <w:bottom w:val="single" w:sz="4" w:space="0" w:color="auto"/>
              <w:right w:val="single" w:sz="4" w:space="0" w:color="auto"/>
            </w:tcBorders>
            <w:shd w:val="clear" w:color="000000" w:fill="7CC891"/>
            <w:noWrap/>
            <w:vAlign w:val="bottom"/>
            <w:hideMark/>
          </w:tcPr>
          <w:p w14:paraId="13BE7A9F"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w:t>
            </w:r>
            <w:r>
              <w:rPr>
                <w:rFonts w:ascii="Calibri" w:hAnsi="Calibri" w:cs="Calibri"/>
                <w:color w:val="000000"/>
                <w:sz w:val="22"/>
                <w:szCs w:val="22"/>
                <w:lang w:eastAsia="en-GB"/>
              </w:rPr>
              <w:t>22.5</w:t>
            </w:r>
            <w:r w:rsidRPr="006C3EC9">
              <w:rPr>
                <w:rFonts w:ascii="Calibri" w:hAnsi="Calibri" w:cs="Calibri"/>
                <w:color w:val="000000"/>
                <w:sz w:val="22"/>
                <w:szCs w:val="22"/>
                <w:lang w:eastAsia="en-GB"/>
              </w:rPr>
              <w:t>%</w:t>
            </w:r>
          </w:p>
        </w:tc>
      </w:tr>
    </w:tbl>
    <w:p w14:paraId="0DBC4007" w14:textId="77777777" w:rsidR="001529CE" w:rsidRDefault="001529CE" w:rsidP="00887760">
      <w:pPr>
        <w:pStyle w:val="Tables"/>
      </w:pPr>
      <w:bookmarkStart w:id="348" w:name="_Toc159264958"/>
      <w:bookmarkStart w:id="349" w:name="_Toc160123600"/>
      <w:bookmarkStart w:id="350" w:name="_Toc160123816"/>
      <w:bookmarkStart w:id="351" w:name="_Toc160128582"/>
      <w:r>
        <w:lastRenderedPageBreak/>
        <w:t xml:space="preserve">Table </w:t>
      </w:r>
      <w:r w:rsidR="000F4CA1">
        <w:fldChar w:fldCharType="begin"/>
      </w:r>
      <w:r w:rsidR="000F4CA1">
        <w:instrText xml:space="preserve"> STYLEREF 1 \s </w:instrText>
      </w:r>
      <w:r w:rsidR="000F4CA1">
        <w:fldChar w:fldCharType="separate"/>
      </w:r>
      <w:r>
        <w:rPr>
          <w:noProof/>
        </w:rPr>
        <w:t>4</w:t>
      </w:r>
      <w:r w:rsidR="000F4CA1">
        <w:rPr>
          <w:noProof/>
        </w:rPr>
        <w:fldChar w:fldCharType="end"/>
      </w:r>
      <w:r>
        <w:noBreakHyphen/>
      </w:r>
      <w:r w:rsidR="000F4CA1">
        <w:fldChar w:fldCharType="begin"/>
      </w:r>
      <w:r w:rsidR="000F4CA1">
        <w:instrText xml:space="preserve"> SEQ Table \* ARABIC \s 1 </w:instrText>
      </w:r>
      <w:r w:rsidR="000F4CA1">
        <w:fldChar w:fldCharType="separate"/>
      </w:r>
      <w:r>
        <w:rPr>
          <w:noProof/>
        </w:rPr>
        <w:t>15</w:t>
      </w:r>
      <w:r w:rsidR="000F4CA1">
        <w:rPr>
          <w:noProof/>
        </w:rPr>
        <w:fldChar w:fldCharType="end"/>
      </w:r>
      <w:r>
        <w:t xml:space="preserve"> - scenario modelling CO</w:t>
      </w:r>
      <w:r w:rsidRPr="001313AA">
        <w:rPr>
          <w:vertAlign w:val="subscript"/>
        </w:rPr>
        <w:t>2</w:t>
      </w:r>
      <w:r>
        <w:t xml:space="preserve"> emissions for heavy vehicles (HGVs and buses)</w:t>
      </w:r>
      <w:bookmarkEnd w:id="348"/>
      <w:bookmarkEnd w:id="349"/>
      <w:bookmarkEnd w:id="350"/>
      <w:bookmarkEnd w:id="351"/>
    </w:p>
    <w:tbl>
      <w:tblPr>
        <w:tblW w:w="9065" w:type="dxa"/>
        <w:tblLook w:val="04A0" w:firstRow="1" w:lastRow="0" w:firstColumn="1" w:lastColumn="0" w:noHBand="0" w:noVBand="1"/>
      </w:tblPr>
      <w:tblGrid>
        <w:gridCol w:w="2698"/>
        <w:gridCol w:w="1980"/>
        <w:gridCol w:w="2268"/>
        <w:gridCol w:w="2119"/>
      </w:tblGrid>
      <w:tr w:rsidR="001529CE" w:rsidRPr="006C3EC9" w14:paraId="6095ABA2" w14:textId="77777777" w:rsidTr="007B10BD">
        <w:trPr>
          <w:trHeight w:val="288"/>
        </w:trPr>
        <w:tc>
          <w:tcPr>
            <w:tcW w:w="2698" w:type="dxa"/>
            <w:tcBorders>
              <w:top w:val="nil"/>
              <w:left w:val="nil"/>
              <w:bottom w:val="nil"/>
              <w:right w:val="nil"/>
            </w:tcBorders>
            <w:shd w:val="clear" w:color="auto" w:fill="auto"/>
            <w:noWrap/>
            <w:vAlign w:val="bottom"/>
            <w:hideMark/>
          </w:tcPr>
          <w:p w14:paraId="09F11095" w14:textId="77777777" w:rsidR="001529CE" w:rsidRPr="006C3EC9" w:rsidRDefault="001529CE" w:rsidP="007B10BD">
            <w:pPr>
              <w:spacing w:before="0" w:after="0" w:line="240" w:lineRule="auto"/>
              <w:rPr>
                <w:rFonts w:ascii="Times New Roman" w:hAnsi="Times New Roman"/>
                <w:sz w:val="20"/>
                <w:szCs w:val="20"/>
                <w:lang w:eastAsia="en-GB"/>
              </w:rPr>
            </w:pPr>
          </w:p>
        </w:tc>
        <w:tc>
          <w:tcPr>
            <w:tcW w:w="6367" w:type="dxa"/>
            <w:gridSpan w:val="3"/>
            <w:tcBorders>
              <w:top w:val="single" w:sz="4" w:space="0" w:color="auto"/>
              <w:left w:val="single" w:sz="4" w:space="0" w:color="auto"/>
              <w:bottom w:val="single" w:sz="4" w:space="0" w:color="auto"/>
              <w:right w:val="single" w:sz="4" w:space="0" w:color="000000"/>
            </w:tcBorders>
            <w:shd w:val="clear" w:color="auto" w:fill="008938"/>
            <w:noWrap/>
            <w:vAlign w:val="bottom"/>
            <w:hideMark/>
          </w:tcPr>
          <w:p w14:paraId="0015D4E9" w14:textId="77777777" w:rsidR="001529CE" w:rsidRPr="006C3EC9" w:rsidRDefault="001529CE" w:rsidP="007B10BD">
            <w:pPr>
              <w:spacing w:before="0" w:after="0" w:line="240" w:lineRule="auto"/>
              <w:jc w:val="center"/>
              <w:rPr>
                <w:rFonts w:ascii="Calibri" w:hAnsi="Calibri" w:cs="Calibri"/>
                <w:color w:val="000000"/>
                <w:sz w:val="22"/>
                <w:szCs w:val="22"/>
                <w:lang w:eastAsia="en-GB"/>
              </w:rPr>
            </w:pPr>
            <w:r>
              <w:rPr>
                <w:rFonts w:ascii="Calibri" w:hAnsi="Calibri" w:cs="Calibri"/>
                <w:color w:val="FFFFFF" w:themeColor="background1"/>
                <w:sz w:val="22"/>
                <w:szCs w:val="22"/>
                <w:lang w:eastAsia="en-GB"/>
              </w:rPr>
              <w:t>Heavy vehicles</w:t>
            </w:r>
            <w:r w:rsidRPr="006C3EC9">
              <w:rPr>
                <w:rFonts w:ascii="Calibri" w:hAnsi="Calibri" w:cs="Calibri"/>
                <w:color w:val="FFFFFF" w:themeColor="background1"/>
                <w:sz w:val="22"/>
                <w:szCs w:val="22"/>
                <w:lang w:eastAsia="en-GB"/>
              </w:rPr>
              <w:t xml:space="preserve"> (Annual Emissions (kilotonnes/yr))</w:t>
            </w:r>
          </w:p>
        </w:tc>
      </w:tr>
      <w:tr w:rsidR="001529CE" w:rsidRPr="006C3EC9" w14:paraId="7E0005B9" w14:textId="77777777" w:rsidTr="007B10BD">
        <w:trPr>
          <w:trHeight w:val="288"/>
        </w:trPr>
        <w:tc>
          <w:tcPr>
            <w:tcW w:w="2698" w:type="dxa"/>
            <w:tcBorders>
              <w:top w:val="single" w:sz="4" w:space="0" w:color="auto"/>
              <w:left w:val="single" w:sz="4" w:space="0" w:color="auto"/>
              <w:bottom w:val="single" w:sz="4" w:space="0" w:color="9BC2E6"/>
              <w:right w:val="nil"/>
            </w:tcBorders>
            <w:shd w:val="clear" w:color="auto" w:fill="008938"/>
            <w:noWrap/>
            <w:vAlign w:val="bottom"/>
            <w:hideMark/>
          </w:tcPr>
          <w:p w14:paraId="68E66082"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Pr>
                <w:rFonts w:ascii="Calibri" w:hAnsi="Calibri" w:cs="Calibri"/>
                <w:b/>
                <w:bCs/>
                <w:color w:val="FFFFFF"/>
                <w:sz w:val="22"/>
                <w:szCs w:val="22"/>
                <w:lang w:eastAsia="en-GB"/>
              </w:rPr>
              <w:t>Scenario</w:t>
            </w:r>
          </w:p>
        </w:tc>
        <w:tc>
          <w:tcPr>
            <w:tcW w:w="1980" w:type="dxa"/>
            <w:tcBorders>
              <w:top w:val="nil"/>
              <w:left w:val="single" w:sz="4" w:space="0" w:color="auto"/>
              <w:bottom w:val="single" w:sz="4" w:space="0" w:color="9BC2E6"/>
              <w:right w:val="nil"/>
            </w:tcBorders>
            <w:shd w:val="clear" w:color="auto" w:fill="auto"/>
            <w:noWrap/>
            <w:vAlign w:val="bottom"/>
            <w:hideMark/>
          </w:tcPr>
          <w:p w14:paraId="69114FF6"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Baseline</w:t>
            </w:r>
          </w:p>
        </w:tc>
        <w:tc>
          <w:tcPr>
            <w:tcW w:w="2268" w:type="dxa"/>
            <w:tcBorders>
              <w:top w:val="nil"/>
              <w:left w:val="nil"/>
              <w:bottom w:val="single" w:sz="4" w:space="0" w:color="9BC2E6"/>
              <w:right w:val="nil"/>
            </w:tcBorders>
            <w:shd w:val="clear" w:color="auto" w:fill="auto"/>
            <w:noWrap/>
            <w:vAlign w:val="bottom"/>
            <w:hideMark/>
          </w:tcPr>
          <w:p w14:paraId="5835906B"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#1c</w:t>
            </w:r>
          </w:p>
        </w:tc>
        <w:tc>
          <w:tcPr>
            <w:tcW w:w="2119" w:type="dxa"/>
            <w:tcBorders>
              <w:top w:val="nil"/>
              <w:left w:val="nil"/>
              <w:bottom w:val="single" w:sz="4" w:space="0" w:color="9BC2E6"/>
              <w:right w:val="single" w:sz="4" w:space="0" w:color="auto"/>
            </w:tcBorders>
            <w:shd w:val="clear" w:color="auto" w:fill="auto"/>
            <w:noWrap/>
            <w:vAlign w:val="bottom"/>
            <w:hideMark/>
          </w:tcPr>
          <w:p w14:paraId="19F242F9" w14:textId="77777777" w:rsidR="001529CE" w:rsidRPr="006C3EC9" w:rsidRDefault="001529CE" w:rsidP="007B10BD">
            <w:pPr>
              <w:spacing w:before="0" w:after="0" w:line="240" w:lineRule="auto"/>
              <w:jc w:val="center"/>
              <w:rPr>
                <w:rFonts w:ascii="Calibri" w:hAnsi="Calibri" w:cs="Calibri"/>
                <w:b/>
                <w:bCs/>
                <w:sz w:val="22"/>
                <w:szCs w:val="22"/>
                <w:lang w:eastAsia="en-GB"/>
              </w:rPr>
            </w:pPr>
            <w:r w:rsidRPr="006C3EC9">
              <w:rPr>
                <w:rFonts w:ascii="Calibri" w:hAnsi="Calibri" w:cs="Calibri"/>
                <w:b/>
                <w:bCs/>
                <w:sz w:val="22"/>
                <w:szCs w:val="22"/>
                <w:lang w:eastAsia="en-GB"/>
              </w:rPr>
              <w:t>#5</w:t>
            </w:r>
          </w:p>
        </w:tc>
      </w:tr>
      <w:tr w:rsidR="001529CE" w:rsidRPr="006C3EC9" w14:paraId="396B5DF1" w14:textId="77777777" w:rsidTr="007B10BD">
        <w:trPr>
          <w:trHeight w:val="288"/>
        </w:trPr>
        <w:tc>
          <w:tcPr>
            <w:tcW w:w="2698" w:type="dxa"/>
            <w:tcBorders>
              <w:top w:val="nil"/>
              <w:left w:val="single" w:sz="4" w:space="0" w:color="auto"/>
              <w:bottom w:val="single" w:sz="4" w:space="0" w:color="9BC2E6"/>
              <w:right w:val="nil"/>
            </w:tcBorders>
            <w:shd w:val="clear" w:color="auto" w:fill="008938"/>
            <w:noWrap/>
            <w:vAlign w:val="bottom"/>
            <w:hideMark/>
          </w:tcPr>
          <w:p w14:paraId="61E87E0B" w14:textId="77777777" w:rsidR="001529CE" w:rsidRPr="006C3EC9" w:rsidRDefault="001529CE" w:rsidP="007B10BD">
            <w:pPr>
              <w:spacing w:before="0" w:after="0" w:line="240" w:lineRule="auto"/>
              <w:jc w:val="right"/>
              <w:rPr>
                <w:rFonts w:ascii="Calibri" w:hAnsi="Calibri" w:cs="Calibri"/>
                <w:b/>
                <w:bCs/>
                <w:color w:val="FFFFFF"/>
                <w:sz w:val="22"/>
                <w:szCs w:val="22"/>
                <w:lang w:eastAsia="en-GB"/>
              </w:rPr>
            </w:pPr>
            <w:r w:rsidRPr="006C3EC9">
              <w:rPr>
                <w:rFonts w:ascii="Calibri" w:hAnsi="Calibri" w:cs="Calibri"/>
                <w:b/>
                <w:bCs/>
                <w:color w:val="FFFFFF"/>
                <w:sz w:val="22"/>
                <w:szCs w:val="22"/>
                <w:lang w:eastAsia="en-GB"/>
              </w:rPr>
              <w:t>Total</w:t>
            </w:r>
            <w:r>
              <w:rPr>
                <w:rFonts w:ascii="Calibri" w:hAnsi="Calibri" w:cs="Calibri"/>
                <w:b/>
                <w:bCs/>
                <w:color w:val="FFFFFF"/>
                <w:sz w:val="22"/>
                <w:szCs w:val="22"/>
                <w:lang w:eastAsia="en-GB"/>
              </w:rPr>
              <w:t xml:space="preserve"> (kt/year)</w:t>
            </w:r>
          </w:p>
        </w:tc>
        <w:tc>
          <w:tcPr>
            <w:tcW w:w="1980" w:type="dxa"/>
            <w:tcBorders>
              <w:top w:val="nil"/>
              <w:left w:val="single" w:sz="4" w:space="0" w:color="auto"/>
              <w:bottom w:val="nil"/>
              <w:right w:val="nil"/>
            </w:tcBorders>
            <w:shd w:val="clear" w:color="auto" w:fill="auto"/>
            <w:noWrap/>
            <w:vAlign w:val="bottom"/>
            <w:hideMark/>
          </w:tcPr>
          <w:p w14:paraId="2F38654E"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240.9</w:t>
            </w:r>
          </w:p>
        </w:tc>
        <w:tc>
          <w:tcPr>
            <w:tcW w:w="2268" w:type="dxa"/>
            <w:tcBorders>
              <w:top w:val="nil"/>
              <w:left w:val="nil"/>
              <w:bottom w:val="nil"/>
              <w:right w:val="nil"/>
            </w:tcBorders>
            <w:shd w:val="clear" w:color="auto" w:fill="auto"/>
            <w:noWrap/>
            <w:vAlign w:val="bottom"/>
            <w:hideMark/>
          </w:tcPr>
          <w:p w14:paraId="21933E19"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240.9</w:t>
            </w:r>
          </w:p>
        </w:tc>
        <w:tc>
          <w:tcPr>
            <w:tcW w:w="2119" w:type="dxa"/>
            <w:tcBorders>
              <w:top w:val="nil"/>
              <w:left w:val="nil"/>
              <w:bottom w:val="nil"/>
              <w:right w:val="single" w:sz="4" w:space="0" w:color="auto"/>
            </w:tcBorders>
            <w:shd w:val="clear" w:color="auto" w:fill="auto"/>
            <w:noWrap/>
            <w:vAlign w:val="bottom"/>
            <w:hideMark/>
          </w:tcPr>
          <w:p w14:paraId="28C219FA"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220.2</w:t>
            </w:r>
          </w:p>
        </w:tc>
      </w:tr>
      <w:tr w:rsidR="001529CE" w:rsidRPr="006C3EC9" w14:paraId="6DD2A5BD" w14:textId="77777777" w:rsidTr="007B10BD">
        <w:trPr>
          <w:trHeight w:val="288"/>
        </w:trPr>
        <w:tc>
          <w:tcPr>
            <w:tcW w:w="4678" w:type="dxa"/>
            <w:gridSpan w:val="2"/>
            <w:tcBorders>
              <w:top w:val="nil"/>
              <w:left w:val="single" w:sz="4" w:space="0" w:color="auto"/>
              <w:bottom w:val="nil"/>
              <w:right w:val="nil"/>
            </w:tcBorders>
            <w:shd w:val="clear" w:color="auto" w:fill="008938"/>
            <w:noWrap/>
            <w:vAlign w:val="bottom"/>
            <w:hideMark/>
          </w:tcPr>
          <w:p w14:paraId="66FFC363"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(kt)</w:t>
            </w:r>
          </w:p>
        </w:tc>
        <w:tc>
          <w:tcPr>
            <w:tcW w:w="2268" w:type="dxa"/>
            <w:tcBorders>
              <w:top w:val="nil"/>
              <w:left w:val="nil"/>
              <w:bottom w:val="nil"/>
              <w:right w:val="nil"/>
            </w:tcBorders>
            <w:shd w:val="clear" w:color="auto" w:fill="auto"/>
            <w:noWrap/>
            <w:vAlign w:val="bottom"/>
            <w:hideMark/>
          </w:tcPr>
          <w:p w14:paraId="7CF788D3"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0</w:t>
            </w:r>
          </w:p>
        </w:tc>
        <w:tc>
          <w:tcPr>
            <w:tcW w:w="2119" w:type="dxa"/>
            <w:tcBorders>
              <w:top w:val="nil"/>
              <w:left w:val="nil"/>
              <w:bottom w:val="nil"/>
              <w:right w:val="single" w:sz="4" w:space="0" w:color="auto"/>
            </w:tcBorders>
            <w:shd w:val="clear" w:color="auto" w:fill="E5F3EB"/>
            <w:noWrap/>
            <w:vAlign w:val="bottom"/>
            <w:hideMark/>
          </w:tcPr>
          <w:p w14:paraId="3F48FB04"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w:t>
            </w:r>
            <w:r>
              <w:rPr>
                <w:rFonts w:ascii="Calibri" w:hAnsi="Calibri" w:cs="Calibri"/>
                <w:color w:val="000000"/>
                <w:sz w:val="22"/>
                <w:szCs w:val="22"/>
                <w:lang w:eastAsia="en-GB"/>
              </w:rPr>
              <w:t>21</w:t>
            </w:r>
          </w:p>
        </w:tc>
      </w:tr>
      <w:tr w:rsidR="001529CE" w:rsidRPr="006C3EC9" w14:paraId="305DAE0E" w14:textId="77777777" w:rsidTr="007B10BD">
        <w:trPr>
          <w:trHeight w:val="288"/>
        </w:trPr>
        <w:tc>
          <w:tcPr>
            <w:tcW w:w="4678" w:type="dxa"/>
            <w:gridSpan w:val="2"/>
            <w:tcBorders>
              <w:top w:val="single" w:sz="4" w:space="0" w:color="9BC2E6"/>
              <w:left w:val="single" w:sz="4" w:space="0" w:color="auto"/>
              <w:bottom w:val="single" w:sz="4" w:space="0" w:color="auto"/>
              <w:right w:val="nil"/>
            </w:tcBorders>
            <w:shd w:val="clear" w:color="auto" w:fill="008938"/>
            <w:noWrap/>
            <w:vAlign w:val="bottom"/>
            <w:hideMark/>
          </w:tcPr>
          <w:p w14:paraId="452D22F8"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b/>
                <w:bCs/>
                <w:color w:val="FFFFFF"/>
                <w:sz w:val="22"/>
                <w:szCs w:val="22"/>
                <w:lang w:eastAsia="en-GB"/>
              </w:rPr>
              <w:t>Change from baseline (%)</w:t>
            </w:r>
          </w:p>
        </w:tc>
        <w:tc>
          <w:tcPr>
            <w:tcW w:w="2268" w:type="dxa"/>
            <w:tcBorders>
              <w:top w:val="nil"/>
              <w:left w:val="nil"/>
              <w:bottom w:val="single" w:sz="4" w:space="0" w:color="auto"/>
              <w:right w:val="nil"/>
            </w:tcBorders>
            <w:shd w:val="clear" w:color="auto" w:fill="auto"/>
            <w:noWrap/>
            <w:vAlign w:val="bottom"/>
            <w:hideMark/>
          </w:tcPr>
          <w:p w14:paraId="6FA35FBA"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0.0%</w:t>
            </w:r>
          </w:p>
        </w:tc>
        <w:tc>
          <w:tcPr>
            <w:tcW w:w="2119" w:type="dxa"/>
            <w:tcBorders>
              <w:top w:val="nil"/>
              <w:left w:val="nil"/>
              <w:bottom w:val="single" w:sz="4" w:space="0" w:color="auto"/>
              <w:right w:val="single" w:sz="4" w:space="0" w:color="auto"/>
            </w:tcBorders>
            <w:shd w:val="clear" w:color="auto" w:fill="BBE1C7"/>
            <w:noWrap/>
            <w:vAlign w:val="bottom"/>
            <w:hideMark/>
          </w:tcPr>
          <w:p w14:paraId="699C6864" w14:textId="77777777" w:rsidR="001529CE" w:rsidRPr="006C3EC9" w:rsidRDefault="001529CE" w:rsidP="007B10BD">
            <w:pPr>
              <w:spacing w:before="0" w:after="0" w:line="240" w:lineRule="auto"/>
              <w:jc w:val="right"/>
              <w:rPr>
                <w:rFonts w:ascii="Calibri" w:hAnsi="Calibri" w:cs="Calibri"/>
                <w:color w:val="000000"/>
                <w:sz w:val="22"/>
                <w:szCs w:val="22"/>
                <w:lang w:eastAsia="en-GB"/>
              </w:rPr>
            </w:pPr>
            <w:r w:rsidRPr="006C3EC9">
              <w:rPr>
                <w:rFonts w:ascii="Calibri" w:hAnsi="Calibri" w:cs="Calibri"/>
                <w:color w:val="000000"/>
                <w:sz w:val="22"/>
                <w:szCs w:val="22"/>
                <w:lang w:eastAsia="en-GB"/>
              </w:rPr>
              <w:t>-</w:t>
            </w:r>
            <w:r>
              <w:rPr>
                <w:rFonts w:ascii="Calibri" w:hAnsi="Calibri" w:cs="Calibri"/>
                <w:color w:val="000000"/>
                <w:sz w:val="22"/>
                <w:szCs w:val="22"/>
                <w:lang w:eastAsia="en-GB"/>
              </w:rPr>
              <w:t>9.4</w:t>
            </w:r>
            <w:r w:rsidRPr="006C3EC9">
              <w:rPr>
                <w:rFonts w:ascii="Calibri" w:hAnsi="Calibri" w:cs="Calibri"/>
                <w:color w:val="000000"/>
                <w:sz w:val="22"/>
                <w:szCs w:val="22"/>
                <w:lang w:eastAsia="en-GB"/>
              </w:rPr>
              <w:t>%</w:t>
            </w:r>
          </w:p>
        </w:tc>
      </w:tr>
    </w:tbl>
    <w:p w14:paraId="14EB0DE1" w14:textId="77777777" w:rsidR="001529CE" w:rsidRDefault="001529CE" w:rsidP="001529CE">
      <w:pPr>
        <w:spacing w:before="0" w:after="0" w:line="240" w:lineRule="auto"/>
      </w:pPr>
    </w:p>
    <w:p w14:paraId="18802C75" w14:textId="3D385C57" w:rsidR="001529CE" w:rsidRDefault="001529CE" w:rsidP="001529CE">
      <w:pPr>
        <w:rPr>
          <w:b/>
          <w:bCs/>
          <w:color w:val="008938"/>
          <w:kern w:val="32"/>
          <w:sz w:val="40"/>
          <w:szCs w:val="32"/>
        </w:rPr>
      </w:pPr>
      <w:r>
        <w:br w:type="page"/>
      </w:r>
    </w:p>
    <w:p w14:paraId="48E5A93D" w14:textId="77777777" w:rsidR="00BB19E2" w:rsidRDefault="00BB19E2" w:rsidP="00F77171">
      <w:pPr>
        <w:pStyle w:val="Heading1"/>
      </w:pPr>
      <w:bookmarkStart w:id="352" w:name="_Toc160129612"/>
      <w:r w:rsidRPr="00FB523F">
        <w:lastRenderedPageBreak/>
        <w:t xml:space="preserve">Appendix </w:t>
      </w:r>
      <w:r>
        <w:t>E:</w:t>
      </w:r>
      <w:r w:rsidRPr="00FB523F">
        <w:t xml:space="preserve"> </w:t>
      </w:r>
      <w:r>
        <w:t>Evidence Base</w:t>
      </w:r>
      <w:bookmarkEnd w:id="352"/>
      <w:r>
        <w:t xml:space="preserve"> </w:t>
      </w:r>
    </w:p>
    <w:p w14:paraId="2D9A585C" w14:textId="77777777" w:rsidR="00BB19E2" w:rsidRPr="00C41398" w:rsidRDefault="00BB19E2" w:rsidP="00F77171">
      <w:pPr>
        <w:pStyle w:val="Heading1"/>
      </w:pPr>
      <w:bookmarkStart w:id="353" w:name="_Toc139028067"/>
      <w:bookmarkStart w:id="354" w:name="_Toc160129613"/>
      <w:r w:rsidRPr="00C41398">
        <w:t xml:space="preserve">E.1 </w:t>
      </w:r>
      <w:bookmarkEnd w:id="353"/>
      <w:r w:rsidRPr="00C41398">
        <w:t>Local Policy Review</w:t>
      </w:r>
      <w:bookmarkEnd w:id="354"/>
    </w:p>
    <w:p w14:paraId="153C9B0A" w14:textId="725D4B7C" w:rsidR="00BB19E2" w:rsidRDefault="00BB19E2" w:rsidP="00BB19E2">
      <w:pPr>
        <w:spacing w:line="276" w:lineRule="auto"/>
      </w:pPr>
      <w:r w:rsidRPr="00E879B8">
        <w:t xml:space="preserve">This review considers all of Slough’s current and emerging plans, policies and strategies, </w:t>
      </w:r>
      <w:r w:rsidR="00DC7B5A">
        <w:t>and how the AQAP will support the aims and objectives within them</w:t>
      </w:r>
      <w:r w:rsidRPr="00E879B8">
        <w:t xml:space="preserve">. </w:t>
      </w:r>
      <w:r>
        <w:t xml:space="preserve">This </w:t>
      </w:r>
      <w:r w:rsidR="00DC7B5A">
        <w:t xml:space="preserve">also </w:t>
      </w:r>
      <w:r>
        <w:t xml:space="preserve">ensures that the AQAP accurately reflects the work that the Council is undertaking or is planning to undertake which </w:t>
      </w:r>
      <w:r w:rsidR="00957B9F">
        <w:t xml:space="preserve">has an influence on </w:t>
      </w:r>
      <w:r>
        <w:t xml:space="preserve">air quality. </w:t>
      </w:r>
    </w:p>
    <w:p w14:paraId="51148B66" w14:textId="77777777" w:rsidR="00BB19E2" w:rsidRPr="00E879B8" w:rsidRDefault="00BB19E2" w:rsidP="00BB19E2">
      <w:pPr>
        <w:spacing w:line="276" w:lineRule="auto"/>
        <w:rPr>
          <w:rFonts w:cs="Arial"/>
        </w:rPr>
      </w:pPr>
      <w:r w:rsidRPr="00E879B8">
        <w:t>Many strategies are being redrafted since implementation of the Section 114 notice, however it is likely that key themes are likely to persist. Any fundamental changes to Slough’s recovery and corporate direction will be highlighted in future ASRs.</w:t>
      </w:r>
      <w:r w:rsidRPr="00E879B8">
        <w:rPr>
          <w:rFonts w:cs="Arial"/>
        </w:rPr>
        <w:t xml:space="preserve"> </w:t>
      </w:r>
    </w:p>
    <w:p w14:paraId="1C34ADCF" w14:textId="38B28FD5" w:rsidR="00BB19E2" w:rsidRPr="00BB19E2" w:rsidRDefault="00BB19E2" w:rsidP="00BB19E2">
      <w:pPr>
        <w:pStyle w:val="Heading2"/>
        <w:numPr>
          <w:ilvl w:val="0"/>
          <w:numId w:val="0"/>
        </w:numPr>
        <w:spacing w:line="276" w:lineRule="auto"/>
        <w:ind w:left="570" w:hanging="567"/>
      </w:pPr>
      <w:bookmarkStart w:id="355" w:name="_Toc160129614"/>
      <w:r w:rsidRPr="00BB19E2">
        <w:t>1 Council Aspirations and Vision</w:t>
      </w:r>
      <w:bookmarkEnd w:id="355"/>
      <w:r w:rsidRPr="00BB19E2">
        <w:t xml:space="preserve"> </w:t>
      </w:r>
    </w:p>
    <w:p w14:paraId="2BFCAB4D" w14:textId="77777777" w:rsidR="00BB19E2" w:rsidRPr="00A90583" w:rsidRDefault="00BB19E2" w:rsidP="00BB19E2">
      <w:pPr>
        <w:pStyle w:val="Heading3"/>
        <w:numPr>
          <w:ilvl w:val="0"/>
          <w:numId w:val="0"/>
        </w:numPr>
        <w:ind w:left="570" w:hanging="567"/>
        <w:rPr>
          <w:rStyle w:val="Hyperlink"/>
        </w:rPr>
      </w:pPr>
      <w:bookmarkStart w:id="356" w:name="_Toc160030112"/>
      <w:bookmarkStart w:id="357" w:name="_Toc160129615"/>
      <w:r>
        <w:t xml:space="preserve">1.1 </w:t>
      </w:r>
      <w:hyperlink r:id="rId38" w:history="1">
        <w:r w:rsidRPr="00BB19E2">
          <w:t>The</w:t>
        </w:r>
      </w:hyperlink>
      <w:r w:rsidRPr="00BB19E2">
        <w:t xml:space="preserve"> Corporate Plan (2023-2027)</w:t>
      </w:r>
      <w:bookmarkEnd w:id="356"/>
      <w:bookmarkEnd w:id="357"/>
      <w:r w:rsidRPr="00BB19E2">
        <w:t xml:space="preserve"> </w:t>
      </w:r>
    </w:p>
    <w:p w14:paraId="17447F4B" w14:textId="497CD21F" w:rsidR="00BB19E2" w:rsidRDefault="00BB19E2" w:rsidP="00BB19E2">
      <w:pPr>
        <w:spacing w:after="0" w:line="276" w:lineRule="auto"/>
      </w:pPr>
      <w:r w:rsidRPr="00A90583">
        <w:t>The Corporate Plan</w:t>
      </w:r>
      <w:r w:rsidRPr="00A90583">
        <w:rPr>
          <w:vertAlign w:val="superscript"/>
        </w:rPr>
        <w:footnoteReference w:id="29"/>
      </w:r>
      <w:r w:rsidRPr="00A90583">
        <w:t xml:space="preserve"> sets out Slough Borough Council’s vision for the </w:t>
      </w:r>
      <w:r>
        <w:t>Co</w:t>
      </w:r>
      <w:r w:rsidRPr="00A90583">
        <w:t xml:space="preserve">uncil and what will be delivered in the borough, setting out the </w:t>
      </w:r>
      <w:r>
        <w:t>C</w:t>
      </w:r>
      <w:r w:rsidRPr="00A90583">
        <w:t xml:space="preserve">ouncil’s strategic priorities from 2023 to 2027. As illustrated in Section </w:t>
      </w:r>
      <w:r w:rsidR="00E34B3D">
        <w:t>3.2</w:t>
      </w:r>
      <w:r w:rsidRPr="00A90583">
        <w:t xml:space="preserve">, Slough has a poor healthy life expectancy compared to neighbouring boroughs, therefore the Corporate Plan seeks to address this by improving the health outcomes of those who live in Slough, focusing on children. </w:t>
      </w:r>
    </w:p>
    <w:p w14:paraId="39D41D50" w14:textId="77777777" w:rsidR="00BB19E2" w:rsidRPr="00A90583" w:rsidRDefault="00BB19E2" w:rsidP="00BB19E2">
      <w:pPr>
        <w:spacing w:before="0" w:after="0" w:line="276" w:lineRule="auto"/>
      </w:pPr>
    </w:p>
    <w:p w14:paraId="19756154" w14:textId="77777777" w:rsidR="00BB19E2" w:rsidRPr="00A90583" w:rsidRDefault="00BB19E2" w:rsidP="00BB19E2">
      <w:pPr>
        <w:pStyle w:val="Style1"/>
        <w:spacing w:before="0" w:after="0" w:line="276" w:lineRule="auto"/>
      </w:pPr>
      <w:r w:rsidRPr="00A90583">
        <w:t xml:space="preserve">The approach of the Corporate Plan is to be resident focused, providing financial sustainability, enabling residents and communities to live well independently, strengthening partnerships and building trust.  </w:t>
      </w:r>
    </w:p>
    <w:p w14:paraId="47239022" w14:textId="77777777" w:rsidR="00BB19E2" w:rsidRDefault="00BB19E2" w:rsidP="00BB19E2">
      <w:pPr>
        <w:spacing w:before="0" w:after="0" w:line="276" w:lineRule="auto"/>
      </w:pPr>
    </w:p>
    <w:p w14:paraId="3A5D402B" w14:textId="77777777" w:rsidR="00BB19E2" w:rsidRPr="00A90583" w:rsidRDefault="00BB19E2" w:rsidP="00BB19E2">
      <w:pPr>
        <w:spacing w:line="276" w:lineRule="auto"/>
      </w:pPr>
      <w:r w:rsidRPr="00A90583">
        <w:t>The three strategic priorities of the Corporate Plan are as follows:</w:t>
      </w:r>
    </w:p>
    <w:p w14:paraId="267386F7" w14:textId="77777777" w:rsidR="00BB19E2" w:rsidRPr="00A90583" w:rsidRDefault="00BB19E2" w:rsidP="0025036F">
      <w:pPr>
        <w:pStyle w:val="ListParagraph"/>
        <w:numPr>
          <w:ilvl w:val="0"/>
          <w:numId w:val="38"/>
        </w:numPr>
        <w:spacing w:before="0" w:after="160" w:line="276" w:lineRule="auto"/>
        <w:contextualSpacing/>
      </w:pPr>
      <w:r w:rsidRPr="00A90583">
        <w:t xml:space="preserve">A borough for children and young people to thrive. </w:t>
      </w:r>
    </w:p>
    <w:p w14:paraId="390D874D" w14:textId="77777777" w:rsidR="00BB19E2" w:rsidRPr="00A90583" w:rsidRDefault="00BB19E2" w:rsidP="0025036F">
      <w:pPr>
        <w:pStyle w:val="ListParagraph"/>
        <w:numPr>
          <w:ilvl w:val="0"/>
          <w:numId w:val="38"/>
        </w:numPr>
        <w:spacing w:before="0" w:after="160" w:line="276" w:lineRule="auto"/>
        <w:contextualSpacing/>
      </w:pPr>
      <w:r w:rsidRPr="00A90583">
        <w:t xml:space="preserve">A town where residents can live healthier, safer and more independent lives. </w:t>
      </w:r>
    </w:p>
    <w:p w14:paraId="570C5915" w14:textId="77777777" w:rsidR="00BB19E2" w:rsidRDefault="00BB19E2" w:rsidP="0025036F">
      <w:pPr>
        <w:pStyle w:val="ListParagraph"/>
        <w:numPr>
          <w:ilvl w:val="0"/>
          <w:numId w:val="38"/>
        </w:numPr>
        <w:spacing w:before="0" w:after="0" w:line="276" w:lineRule="auto"/>
        <w:contextualSpacing/>
      </w:pPr>
      <w:r w:rsidRPr="00A90583">
        <w:t>A cleaner, healthier and more prosperous Slough</w:t>
      </w:r>
      <w:r>
        <w:t>.</w:t>
      </w:r>
    </w:p>
    <w:p w14:paraId="0FC258BE" w14:textId="77777777" w:rsidR="00BB19E2" w:rsidRDefault="00BB19E2" w:rsidP="00BB19E2">
      <w:pPr>
        <w:spacing w:before="0" w:after="0" w:line="276" w:lineRule="auto"/>
      </w:pPr>
    </w:p>
    <w:p w14:paraId="18FB0ADD" w14:textId="31D10DFF" w:rsidR="00BB19E2" w:rsidRDefault="00BB19E2" w:rsidP="00BB19E2">
      <w:pPr>
        <w:spacing w:after="0" w:line="276" w:lineRule="auto"/>
      </w:pPr>
      <w:r w:rsidRPr="00607254">
        <w:t xml:space="preserve">The latter priority refers specifically to environmental improvement, focusing on improving air quality, promoting active travel and sustainable forms of transport, and </w:t>
      </w:r>
      <w:r w:rsidRPr="00607254">
        <w:lastRenderedPageBreak/>
        <w:t xml:space="preserve">taking action to prevent or minimise the impact of climate change. Inclusion of this priority therefore directly supports the AQAP. </w:t>
      </w:r>
    </w:p>
    <w:p w14:paraId="71DC7D80" w14:textId="77777777" w:rsidR="00BB19E2" w:rsidRPr="00607254" w:rsidRDefault="00BB19E2" w:rsidP="00BB19E2">
      <w:pPr>
        <w:pStyle w:val="Heading3"/>
        <w:numPr>
          <w:ilvl w:val="0"/>
          <w:numId w:val="0"/>
        </w:numPr>
        <w:ind w:left="570" w:hanging="567"/>
      </w:pPr>
      <w:bookmarkStart w:id="359" w:name="_Toc160030113"/>
      <w:bookmarkStart w:id="360" w:name="_Toc160129616"/>
      <w:r>
        <w:t xml:space="preserve">1.2 </w:t>
      </w:r>
      <w:r w:rsidRPr="00E879B8">
        <w:t>Inclusive Growth Strategy (2020-2025)</w:t>
      </w:r>
      <w:bookmarkEnd w:id="359"/>
      <w:bookmarkEnd w:id="360"/>
      <w:r w:rsidRPr="00E879B8">
        <w:t xml:space="preserve"> </w:t>
      </w:r>
    </w:p>
    <w:p w14:paraId="32C780B3" w14:textId="77777777" w:rsidR="00BB19E2" w:rsidRPr="00607254" w:rsidRDefault="00BB19E2" w:rsidP="00BB19E2">
      <w:pPr>
        <w:spacing w:line="276" w:lineRule="auto"/>
        <w:rPr>
          <w:rFonts w:cs="Arial"/>
        </w:rPr>
      </w:pPr>
      <w:r w:rsidRPr="00607254">
        <w:rPr>
          <w:rFonts w:cs="Arial"/>
        </w:rPr>
        <w:t>The Inclusive Growth Strategy</w:t>
      </w:r>
      <w:r w:rsidRPr="00607254">
        <w:rPr>
          <w:rStyle w:val="FootnoteReference"/>
          <w:rFonts w:cs="Arial"/>
        </w:rPr>
        <w:footnoteReference w:id="30"/>
      </w:r>
      <w:r w:rsidRPr="00607254">
        <w:rPr>
          <w:rFonts w:cs="Arial"/>
        </w:rPr>
        <w:t xml:space="preserve"> sets the strategic direction for the borough, focusing on well-paid and sustainable employment, a first-class education and skills system, and a great living and working environment. The strategy also has a focus on sustainable growth as a factor to delivering success. </w:t>
      </w:r>
    </w:p>
    <w:p w14:paraId="2AA12DC4" w14:textId="77777777" w:rsidR="00BB19E2" w:rsidRPr="00607254" w:rsidRDefault="00BB19E2" w:rsidP="00BB19E2">
      <w:pPr>
        <w:spacing w:line="276" w:lineRule="auto"/>
        <w:rPr>
          <w:rFonts w:cs="Arial"/>
        </w:rPr>
      </w:pPr>
      <w:r w:rsidRPr="00607254">
        <w:rPr>
          <w:rFonts w:cs="Arial"/>
        </w:rPr>
        <w:t>To deliver Slough’s vision, six strategic priorities have been defined, each with specific actions:</w:t>
      </w:r>
    </w:p>
    <w:p w14:paraId="046590C6"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Creating secure and productive jobs</w:t>
      </w:r>
    </w:p>
    <w:p w14:paraId="476FA3DE"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A skills system working for all</w:t>
      </w:r>
    </w:p>
    <w:p w14:paraId="20EE4E5F"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Regeneration &amp; infrastructure unlocking growth</w:t>
      </w:r>
    </w:p>
    <w:p w14:paraId="71415A5E"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 xml:space="preserve">Enterprise &amp; scale-up ecosystem </w:t>
      </w:r>
    </w:p>
    <w:p w14:paraId="7334A967"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 xml:space="preserve">Inclusive &amp; sustainable neighbourhoods </w:t>
      </w:r>
    </w:p>
    <w:p w14:paraId="4653CBEE" w14:textId="77777777" w:rsidR="00BB19E2" w:rsidRPr="00607254" w:rsidRDefault="00BB19E2" w:rsidP="0025036F">
      <w:pPr>
        <w:pStyle w:val="ListParagraph"/>
        <w:numPr>
          <w:ilvl w:val="0"/>
          <w:numId w:val="34"/>
        </w:numPr>
        <w:spacing w:before="0" w:after="160" w:line="276" w:lineRule="auto"/>
        <w:contextualSpacing/>
        <w:rPr>
          <w:rFonts w:cs="Arial"/>
        </w:rPr>
      </w:pPr>
      <w:r w:rsidRPr="00607254">
        <w:rPr>
          <w:rFonts w:cs="Arial"/>
        </w:rPr>
        <w:t xml:space="preserve">Connecting &amp; celebrating Slough </w:t>
      </w:r>
    </w:p>
    <w:p w14:paraId="17C33883" w14:textId="77777777" w:rsidR="00BB19E2" w:rsidRPr="00607254" w:rsidRDefault="00BB19E2" w:rsidP="00BB19E2">
      <w:pPr>
        <w:spacing w:line="276" w:lineRule="auto"/>
        <w:rPr>
          <w:rFonts w:cs="Arial"/>
        </w:rPr>
      </w:pPr>
      <w:r w:rsidRPr="00607254">
        <w:rPr>
          <w:rFonts w:cs="Arial"/>
        </w:rPr>
        <w:t xml:space="preserve">Priority 3 has a series of actions which relate to the regeneration and transformation of the town, with a specific action focusing on new transport solutions to alleviate traffic hotspots (Action 3.6), which in turn would result in improved air quality. </w:t>
      </w:r>
    </w:p>
    <w:p w14:paraId="375BC545" w14:textId="77777777" w:rsidR="00BB19E2" w:rsidRPr="00607254" w:rsidRDefault="00BB19E2" w:rsidP="00BB19E2">
      <w:pPr>
        <w:spacing w:line="276" w:lineRule="auto"/>
        <w:rPr>
          <w:rFonts w:cs="Arial"/>
        </w:rPr>
      </w:pPr>
      <w:r w:rsidRPr="00607254">
        <w:rPr>
          <w:rFonts w:cs="Arial"/>
        </w:rPr>
        <w:t>Priority 5 aims to provide neighbourhoods where safety, integration and environmental sustainability is paramount. Although there are no actions regarding air quality specifically, action 5.1 (effective place making) can result in air quality improvements, which supports action 5.2 (prioritising wellbeing) by improving health outcomes. The AQAP will align with the Inclusive Growth Strategy by addressing these actions.</w:t>
      </w:r>
    </w:p>
    <w:p w14:paraId="131B96E9" w14:textId="1B8E8BC2" w:rsidR="00BB19E2" w:rsidRPr="00607254" w:rsidRDefault="00BB19E2" w:rsidP="00BB19E2">
      <w:pPr>
        <w:spacing w:after="0" w:line="276" w:lineRule="auto"/>
        <w:rPr>
          <w:rFonts w:cs="Arial"/>
        </w:rPr>
      </w:pPr>
      <w:r w:rsidRPr="00607254">
        <w:rPr>
          <w:rFonts w:cs="Arial"/>
        </w:rPr>
        <w:t xml:space="preserve">It should be noted however that a new Economic Development Strategy is currently being developed and is due for initial consultation in </w:t>
      </w:r>
      <w:r w:rsidRPr="001F53F7">
        <w:rPr>
          <w:rFonts w:cs="Arial"/>
        </w:rPr>
        <w:t>March 2024</w:t>
      </w:r>
      <w:r w:rsidRPr="00607254">
        <w:rPr>
          <w:rFonts w:cs="Arial"/>
        </w:rPr>
        <w:t xml:space="preserve">. Any new concepts that arise from this Strategy will be incorporated into the action plan prior </w:t>
      </w:r>
      <w:r w:rsidR="00957B9F">
        <w:rPr>
          <w:rFonts w:cs="Arial"/>
        </w:rPr>
        <w:t xml:space="preserve">to submission to Defra mid </w:t>
      </w:r>
      <w:r w:rsidRPr="00607254">
        <w:rPr>
          <w:rFonts w:cs="Arial"/>
        </w:rPr>
        <w:t xml:space="preserve">2024. </w:t>
      </w:r>
    </w:p>
    <w:p w14:paraId="2479166D" w14:textId="77777777" w:rsidR="00BB19E2" w:rsidRDefault="00BB19E2" w:rsidP="00BB19E2">
      <w:pPr>
        <w:pStyle w:val="Heading3"/>
        <w:numPr>
          <w:ilvl w:val="0"/>
          <w:numId w:val="0"/>
        </w:numPr>
        <w:ind w:left="570" w:hanging="567"/>
      </w:pPr>
      <w:bookmarkStart w:id="362" w:name="_Toc160030114"/>
      <w:bookmarkStart w:id="363" w:name="_Toc160129617"/>
      <w:r w:rsidRPr="00E879B8">
        <w:lastRenderedPageBreak/>
        <w:t>1.3 2040 Vision</w:t>
      </w:r>
      <w:bookmarkEnd w:id="362"/>
      <w:bookmarkEnd w:id="363"/>
      <w:r w:rsidRPr="00E879B8">
        <w:t xml:space="preserve"> </w:t>
      </w:r>
    </w:p>
    <w:p w14:paraId="516830CB" w14:textId="4694615A" w:rsidR="00BB19E2" w:rsidRPr="00C11BA1" w:rsidRDefault="00BB19E2" w:rsidP="00BB19E2">
      <w:pPr>
        <w:spacing w:after="0" w:line="276" w:lineRule="auto"/>
        <w:rPr>
          <w:rFonts w:cs="Arial"/>
        </w:rPr>
      </w:pPr>
      <w:bookmarkStart w:id="364" w:name="_Hlk69473358"/>
      <w:r w:rsidRPr="00C11BA1">
        <w:rPr>
          <w:rFonts w:cs="Arial"/>
        </w:rPr>
        <w:t>The Slough 2040 Vision</w:t>
      </w:r>
      <w:r w:rsidRPr="00C11BA1">
        <w:rPr>
          <w:vertAlign w:val="superscript"/>
        </w:rPr>
        <w:footnoteReference w:id="31"/>
      </w:r>
      <w:r w:rsidRPr="00C11BA1">
        <w:rPr>
          <w:rFonts w:cs="Arial"/>
        </w:rPr>
        <w:t xml:space="preserve"> outlines the ambition for the town as a whole, shared by the Council and its partner organisations. The vision is that “Slough will be a vibrant, thriving and innovative town, where people are supported to live happy and fulfilled lives. People will feel safe and valued in their local communities, and proud to call Slough home”. </w:t>
      </w:r>
    </w:p>
    <w:p w14:paraId="2524CCF7" w14:textId="77777777" w:rsidR="00BB19E2" w:rsidRPr="00C11BA1" w:rsidRDefault="00BB19E2" w:rsidP="00BB19E2">
      <w:pPr>
        <w:spacing w:after="0" w:line="276" w:lineRule="auto"/>
        <w:rPr>
          <w:rFonts w:cs="Arial"/>
        </w:rPr>
      </w:pPr>
      <w:r w:rsidRPr="00C11BA1">
        <w:rPr>
          <w:rFonts w:cs="Arial"/>
        </w:rPr>
        <w:t xml:space="preserve">The shared ambitions of organisations working in partnership include: </w:t>
      </w:r>
    </w:p>
    <w:p w14:paraId="0FD7E4D1"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having a vibrant town centre, brimming with diverse and exciting culture</w:t>
      </w:r>
    </w:p>
    <w:p w14:paraId="6871EB88"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having attractive, green neighbourhoods, which bring people together</w:t>
      </w:r>
    </w:p>
    <w:p w14:paraId="7565B6CA"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being a globally connected town, with a transport system which prioritises public and active transport</w:t>
      </w:r>
    </w:p>
    <w:p w14:paraId="5A226349"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being a carbon-neutral and sustainable town</w:t>
      </w:r>
    </w:p>
    <w:p w14:paraId="7447C3C1"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having a strong, globally renowned economy, which supports its people to prosper and live well</w:t>
      </w:r>
    </w:p>
    <w:p w14:paraId="002DB3F6"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being a place of lifelong learning and aspiration for all</w:t>
      </w:r>
    </w:p>
    <w:p w14:paraId="745D86C2"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being a healthy town, where people are supported to live empowered lives</w:t>
      </w:r>
    </w:p>
    <w:p w14:paraId="4307A8A1" w14:textId="77777777" w:rsidR="00BB19E2" w:rsidRPr="00C11BA1" w:rsidRDefault="00BB19E2" w:rsidP="0025036F">
      <w:pPr>
        <w:numPr>
          <w:ilvl w:val="0"/>
          <w:numId w:val="37"/>
        </w:numPr>
        <w:shd w:val="clear" w:color="auto" w:fill="FFFFFF"/>
        <w:spacing w:before="100" w:beforeAutospacing="1" w:after="100" w:afterAutospacing="1" w:line="276" w:lineRule="auto"/>
        <w:ind w:left="375"/>
        <w:rPr>
          <w:rFonts w:cs="Arial"/>
        </w:rPr>
      </w:pPr>
      <w:r w:rsidRPr="00C11BA1">
        <w:rPr>
          <w:rFonts w:cs="Arial"/>
        </w:rPr>
        <w:t>having a strong, diverse community where differences are celebrated, and everyone feels safe.</w:t>
      </w:r>
    </w:p>
    <w:p w14:paraId="13DA6BC3" w14:textId="27CB7E3C" w:rsidR="00BB19E2" w:rsidRPr="00E879B8" w:rsidRDefault="00BB19E2" w:rsidP="00BB19E2">
      <w:pPr>
        <w:spacing w:line="276" w:lineRule="auto"/>
        <w:rPr>
          <w:rFonts w:cs="Arial"/>
        </w:rPr>
      </w:pPr>
      <w:bookmarkStart w:id="365" w:name="_Hlk69473437"/>
      <w:bookmarkEnd w:id="364"/>
      <w:r w:rsidRPr="00C11BA1">
        <w:rPr>
          <w:rFonts w:cs="Arial"/>
        </w:rPr>
        <w:t xml:space="preserve">Community engagement on the 2040 Vision was undertaken from July to October 2020 and received over 350 survey responses. </w:t>
      </w:r>
      <w:bookmarkEnd w:id="365"/>
      <w:r w:rsidRPr="00C11BA1">
        <w:rPr>
          <w:rFonts w:cs="Arial"/>
        </w:rPr>
        <w:t>A full review of the feedback has been presented i</w:t>
      </w:r>
      <w:r w:rsidRPr="001F53F7">
        <w:rPr>
          <w:rFonts w:cs="Arial"/>
        </w:rPr>
        <w:t xml:space="preserve">n Appendix </w:t>
      </w:r>
      <w:r w:rsidR="00E34B3D" w:rsidRPr="001F53F7">
        <w:rPr>
          <w:rFonts w:cs="Arial"/>
        </w:rPr>
        <w:t>E</w:t>
      </w:r>
      <w:r w:rsidR="00E34B3D">
        <w:rPr>
          <w:rFonts w:cs="Arial"/>
        </w:rPr>
        <w:t>.2</w:t>
      </w:r>
      <w:r w:rsidRPr="00C11BA1">
        <w:rPr>
          <w:rFonts w:cs="Arial"/>
        </w:rPr>
        <w:t xml:space="preserve"> and forms part of the evidence base for the AQAP, to enable the plan to support these objectives.</w:t>
      </w:r>
    </w:p>
    <w:p w14:paraId="5E7CB83C" w14:textId="7E4C2ABA" w:rsidR="00BB19E2" w:rsidRPr="00BB19E2" w:rsidRDefault="00BB19E2" w:rsidP="00BB19E2">
      <w:pPr>
        <w:pStyle w:val="Heading2"/>
        <w:numPr>
          <w:ilvl w:val="0"/>
          <w:numId w:val="0"/>
        </w:numPr>
        <w:spacing w:line="276" w:lineRule="auto"/>
        <w:ind w:left="570" w:hanging="567"/>
      </w:pPr>
      <w:bookmarkStart w:id="366" w:name="_Toc160129618"/>
      <w:r w:rsidRPr="00BB19E2">
        <w:t xml:space="preserve">2. Departmental </w:t>
      </w:r>
      <w:r w:rsidR="00EF0C21">
        <w:t>Plans and Strategies</w:t>
      </w:r>
      <w:bookmarkEnd w:id="366"/>
      <w:r w:rsidR="00EF0C21">
        <w:t xml:space="preserve"> </w:t>
      </w:r>
      <w:r w:rsidRPr="00BB19E2">
        <w:t xml:space="preserve"> </w:t>
      </w:r>
    </w:p>
    <w:p w14:paraId="5ADA6BAA" w14:textId="2CCBB735" w:rsidR="00BB19E2" w:rsidRDefault="00BB19E2" w:rsidP="00BB19E2">
      <w:pPr>
        <w:pStyle w:val="Heading3"/>
        <w:numPr>
          <w:ilvl w:val="0"/>
          <w:numId w:val="0"/>
        </w:numPr>
        <w:ind w:left="570" w:hanging="567"/>
      </w:pPr>
      <w:bookmarkStart w:id="367" w:name="_Toc160129619"/>
      <w:r>
        <w:t xml:space="preserve">2.1 Air quality </w:t>
      </w:r>
      <w:r w:rsidR="00EF0C21">
        <w:t>plans and strategies</w:t>
      </w:r>
      <w:bookmarkEnd w:id="367"/>
      <w:r w:rsidR="00EF0C21">
        <w:t xml:space="preserve"> </w:t>
      </w:r>
    </w:p>
    <w:p w14:paraId="23F0F705" w14:textId="3A40967F" w:rsidR="00BB19E2" w:rsidRPr="00C41398" w:rsidRDefault="00BB19E2" w:rsidP="00C41398">
      <w:pPr>
        <w:rPr>
          <w:b/>
          <w:bCs/>
          <w:color w:val="008938"/>
        </w:rPr>
      </w:pPr>
      <w:r w:rsidRPr="00C41398">
        <w:rPr>
          <w:b/>
          <w:bCs/>
          <w:color w:val="008938"/>
        </w:rPr>
        <w:t>AQMA 1 &amp; 2</w:t>
      </w:r>
    </w:p>
    <w:p w14:paraId="5A59AE36" w14:textId="4F9EE70F" w:rsidR="00BB19E2" w:rsidRPr="009759E1" w:rsidRDefault="00BB19E2" w:rsidP="00BB19E2">
      <w:pPr>
        <w:autoSpaceDE w:val="0"/>
        <w:autoSpaceDN w:val="0"/>
        <w:adjustRightInd w:val="0"/>
        <w:spacing w:after="0" w:line="276" w:lineRule="auto"/>
        <w:rPr>
          <w:rFonts w:cs="Arial"/>
        </w:rPr>
      </w:pPr>
      <w:r w:rsidRPr="009759E1">
        <w:rPr>
          <w:rFonts w:cs="Arial"/>
        </w:rPr>
        <w:t>Slough’s first AQAP</w:t>
      </w:r>
      <w:r w:rsidRPr="009759E1">
        <w:rPr>
          <w:vertAlign w:val="superscript"/>
        </w:rPr>
        <w:footnoteReference w:id="32"/>
      </w:r>
      <w:r w:rsidRPr="009759E1">
        <w:rPr>
          <w:rFonts w:cs="Arial"/>
        </w:rPr>
        <w:t xml:space="preserve"> was produced in 2005 in response to the declaration of two AQMAs, one for the M4 corridor across Slough’s southern boundary</w:t>
      </w:r>
      <w:r w:rsidR="00DC7B5A">
        <w:rPr>
          <w:rFonts w:cs="Arial"/>
        </w:rPr>
        <w:t xml:space="preserve"> (AQMA 1)</w:t>
      </w:r>
      <w:r w:rsidRPr="009759E1">
        <w:rPr>
          <w:rFonts w:cs="Arial"/>
        </w:rPr>
        <w:t>, and the second for the A4 at Brands Hill</w:t>
      </w:r>
      <w:r w:rsidR="00DC7B5A">
        <w:rPr>
          <w:rFonts w:cs="Arial"/>
        </w:rPr>
        <w:t xml:space="preserve"> (AQMA 2)</w:t>
      </w:r>
      <w:r w:rsidRPr="009759E1">
        <w:rPr>
          <w:rFonts w:cs="Arial"/>
        </w:rPr>
        <w:t>. These were declared as such due to exceedance of the NO</w:t>
      </w:r>
      <w:r w:rsidRPr="009759E1">
        <w:rPr>
          <w:rFonts w:cs="Arial"/>
          <w:vertAlign w:val="subscript"/>
        </w:rPr>
        <w:t>2</w:t>
      </w:r>
      <w:r w:rsidRPr="009759E1">
        <w:rPr>
          <w:rFonts w:cs="Arial"/>
        </w:rPr>
        <w:t xml:space="preserve"> air quality objective, originating primarily from road traffic </w:t>
      </w:r>
      <w:r w:rsidR="00DC7B5A">
        <w:rPr>
          <w:rFonts w:cs="Arial"/>
        </w:rPr>
        <w:t xml:space="preserve">emissions </w:t>
      </w:r>
      <w:r w:rsidRPr="009759E1">
        <w:rPr>
          <w:rFonts w:cs="Arial"/>
        </w:rPr>
        <w:t>(</w:t>
      </w:r>
      <w:r w:rsidR="00DC7B5A">
        <w:rPr>
          <w:rFonts w:cs="Arial"/>
        </w:rPr>
        <w:t xml:space="preserve">contributing </w:t>
      </w:r>
      <w:r w:rsidRPr="009759E1">
        <w:rPr>
          <w:rFonts w:cs="Arial"/>
        </w:rPr>
        <w:t xml:space="preserve">37-74%), with contributions from HGVs reaching 33% on local roads. </w:t>
      </w:r>
    </w:p>
    <w:p w14:paraId="3D7D3C96" w14:textId="77777777" w:rsidR="00BB19E2" w:rsidRPr="009759E1" w:rsidRDefault="00BB19E2" w:rsidP="00BB19E2">
      <w:pPr>
        <w:autoSpaceDE w:val="0"/>
        <w:autoSpaceDN w:val="0"/>
        <w:adjustRightInd w:val="0"/>
        <w:spacing w:line="276" w:lineRule="auto"/>
        <w:rPr>
          <w:rFonts w:cs="Arial"/>
        </w:rPr>
      </w:pPr>
      <w:r w:rsidRPr="009759E1">
        <w:rPr>
          <w:rFonts w:cs="Arial"/>
        </w:rPr>
        <w:t xml:space="preserve">The measures described within AQAP 1 &amp; 2 can be divided into three areas: </w:t>
      </w:r>
    </w:p>
    <w:p w14:paraId="088A20B6" w14:textId="77777777" w:rsidR="00BB19E2" w:rsidRPr="009759E1" w:rsidRDefault="00BB19E2" w:rsidP="0025036F">
      <w:pPr>
        <w:pStyle w:val="ListParagraph"/>
        <w:numPr>
          <w:ilvl w:val="0"/>
          <w:numId w:val="32"/>
        </w:numPr>
        <w:autoSpaceDE w:val="0"/>
        <w:autoSpaceDN w:val="0"/>
        <w:adjustRightInd w:val="0"/>
        <w:spacing w:before="0" w:after="0" w:line="276" w:lineRule="auto"/>
        <w:contextualSpacing/>
        <w:rPr>
          <w:rFonts w:cs="Arial"/>
        </w:rPr>
      </w:pPr>
      <w:r w:rsidRPr="009759E1">
        <w:rPr>
          <w:rFonts w:cs="Arial"/>
        </w:rPr>
        <w:t xml:space="preserve">Actions to improve air quality across Slough, such as measures to reduce emissions, reduce traffic volumes and improvement traffic management and speeds </w:t>
      </w:r>
    </w:p>
    <w:p w14:paraId="36158DE8" w14:textId="77777777" w:rsidR="00BB19E2" w:rsidRPr="009759E1" w:rsidRDefault="00BB19E2" w:rsidP="0025036F">
      <w:pPr>
        <w:pStyle w:val="ListParagraph"/>
        <w:numPr>
          <w:ilvl w:val="0"/>
          <w:numId w:val="32"/>
        </w:numPr>
        <w:autoSpaceDE w:val="0"/>
        <w:autoSpaceDN w:val="0"/>
        <w:adjustRightInd w:val="0"/>
        <w:spacing w:before="0" w:after="0" w:line="276" w:lineRule="auto"/>
        <w:contextualSpacing/>
        <w:rPr>
          <w:rFonts w:cs="Arial"/>
        </w:rPr>
      </w:pPr>
      <w:r w:rsidRPr="009759E1">
        <w:rPr>
          <w:rFonts w:cs="Arial"/>
        </w:rPr>
        <w:t xml:space="preserve">Specific measures to tackle air quality in AQMA 2 (A4), such as partnership work </w:t>
      </w:r>
    </w:p>
    <w:p w14:paraId="1CAED647" w14:textId="07AA9D22" w:rsidR="00BB19E2" w:rsidRPr="00DC7B5A" w:rsidRDefault="00BB19E2" w:rsidP="00BB19E2">
      <w:pPr>
        <w:pStyle w:val="ListParagraph"/>
        <w:numPr>
          <w:ilvl w:val="0"/>
          <w:numId w:val="32"/>
        </w:numPr>
        <w:autoSpaceDE w:val="0"/>
        <w:autoSpaceDN w:val="0"/>
        <w:adjustRightInd w:val="0"/>
        <w:spacing w:before="0" w:after="0" w:line="276" w:lineRule="auto"/>
        <w:contextualSpacing/>
        <w:rPr>
          <w:rFonts w:cs="Arial"/>
        </w:rPr>
      </w:pPr>
      <w:r w:rsidRPr="009759E1">
        <w:rPr>
          <w:rFonts w:cs="Arial"/>
        </w:rPr>
        <w:t xml:space="preserve">Partnership work to tackle air quality in AQMA 1 (M4), with a separate action plan developed in collaboration with the Highways Agency (HA). </w:t>
      </w:r>
    </w:p>
    <w:p w14:paraId="7A5F1C02" w14:textId="77777777" w:rsidR="00BB19E2" w:rsidRPr="009759E1" w:rsidRDefault="00BB19E2" w:rsidP="00BB19E2">
      <w:pPr>
        <w:autoSpaceDE w:val="0"/>
        <w:autoSpaceDN w:val="0"/>
        <w:adjustRightInd w:val="0"/>
        <w:spacing w:line="276" w:lineRule="auto"/>
        <w:rPr>
          <w:rFonts w:cs="Arial"/>
        </w:rPr>
      </w:pPr>
      <w:r w:rsidRPr="009759E1">
        <w:rPr>
          <w:rFonts w:cs="Arial"/>
        </w:rPr>
        <w:t>The key themes of AQAP 1 &amp; 2 include:</w:t>
      </w:r>
    </w:p>
    <w:p w14:paraId="2DC27E1A"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Acceleration and uptake of new low emission technology</w:t>
      </w:r>
    </w:p>
    <w:p w14:paraId="196C6B36"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Campaigning and raising awareness of air quality  </w:t>
      </w:r>
    </w:p>
    <w:p w14:paraId="6F59C032"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Partnership and collaboration with neighbouring authorities, partners and organisations </w:t>
      </w:r>
    </w:p>
    <w:p w14:paraId="612F263D"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Incorporating air quality considerations into planning policy, supporting mitigation contributions </w:t>
      </w:r>
    </w:p>
    <w:p w14:paraId="68DAD789"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Strategies to reduce traffic volumes and congestion (freight, public transport, parking, traffic management) </w:t>
      </w:r>
    </w:p>
    <w:p w14:paraId="2E8B99C2"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Strategies to increase use of sustainable travel modes (walking and cycling)</w:t>
      </w:r>
    </w:p>
    <w:p w14:paraId="3C966C09" w14:textId="77777777" w:rsidR="00BB19E2" w:rsidRPr="009759E1" w:rsidRDefault="00BB19E2" w:rsidP="0025036F">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Travel planning for new developments, schools and businesses </w:t>
      </w:r>
    </w:p>
    <w:p w14:paraId="3FCA6986" w14:textId="038829D8" w:rsidR="00BB19E2" w:rsidRPr="00DC7B5A" w:rsidRDefault="00BB19E2" w:rsidP="00BB19E2">
      <w:pPr>
        <w:pStyle w:val="ListParagraph"/>
        <w:numPr>
          <w:ilvl w:val="0"/>
          <w:numId w:val="33"/>
        </w:numPr>
        <w:autoSpaceDE w:val="0"/>
        <w:autoSpaceDN w:val="0"/>
        <w:adjustRightInd w:val="0"/>
        <w:spacing w:before="0" w:after="0" w:line="276" w:lineRule="auto"/>
        <w:contextualSpacing/>
        <w:rPr>
          <w:rFonts w:cs="Arial"/>
        </w:rPr>
      </w:pPr>
      <w:r w:rsidRPr="009759E1">
        <w:rPr>
          <w:rFonts w:cs="Arial"/>
        </w:rPr>
        <w:t xml:space="preserve">Clean council fleet and staff travel planning </w:t>
      </w:r>
    </w:p>
    <w:p w14:paraId="2AA8E41B" w14:textId="19B9EF61" w:rsidR="00C41398" w:rsidRDefault="00BB19E2" w:rsidP="00DC7B5A">
      <w:pPr>
        <w:autoSpaceDE w:val="0"/>
        <w:autoSpaceDN w:val="0"/>
        <w:adjustRightInd w:val="0"/>
        <w:spacing w:after="0" w:line="276" w:lineRule="auto"/>
        <w:rPr>
          <w:rFonts w:cs="Arial"/>
        </w:rPr>
      </w:pPr>
      <w:r w:rsidRPr="009759E1">
        <w:rPr>
          <w:rFonts w:cs="Arial"/>
        </w:rPr>
        <w:t>Progress of the measures’ impact on air quality was to be monitored using air quality indicators including target NO</w:t>
      </w:r>
      <w:r w:rsidRPr="009759E1">
        <w:rPr>
          <w:rFonts w:cs="Arial"/>
          <w:vertAlign w:val="subscript"/>
        </w:rPr>
        <w:t>2</w:t>
      </w:r>
      <w:r w:rsidRPr="009759E1">
        <w:rPr>
          <w:rFonts w:cs="Arial"/>
        </w:rPr>
        <w:t xml:space="preserve"> levels, vehicle speeds and AADT data. The measures within AQAP 1 &amp; 2 have been taken into consideration in the development of the new AQAP. </w:t>
      </w:r>
    </w:p>
    <w:p w14:paraId="4AEE53ED" w14:textId="77777777" w:rsidR="00DC7B5A" w:rsidRPr="00DC7B5A" w:rsidRDefault="00DC7B5A" w:rsidP="00DC7B5A">
      <w:pPr>
        <w:autoSpaceDE w:val="0"/>
        <w:autoSpaceDN w:val="0"/>
        <w:adjustRightInd w:val="0"/>
        <w:spacing w:before="0" w:after="0" w:line="276" w:lineRule="auto"/>
        <w:rPr>
          <w:rFonts w:cs="Arial"/>
        </w:rPr>
      </w:pPr>
    </w:p>
    <w:p w14:paraId="0E8B5975" w14:textId="2D622EC4" w:rsidR="00BB19E2" w:rsidRPr="00C41398" w:rsidRDefault="00BB19E2" w:rsidP="00C41398">
      <w:pPr>
        <w:rPr>
          <w:b/>
          <w:bCs/>
          <w:color w:val="008938"/>
        </w:rPr>
      </w:pPr>
      <w:r w:rsidRPr="00C41398">
        <w:rPr>
          <w:b/>
          <w:bCs/>
          <w:color w:val="008938"/>
        </w:rPr>
        <w:t xml:space="preserve">AQMA 3 &amp; 4 </w:t>
      </w:r>
    </w:p>
    <w:p w14:paraId="12F39D7F" w14:textId="06DAA711" w:rsidR="00BB19E2" w:rsidRPr="009759E1" w:rsidRDefault="00BB19E2" w:rsidP="00BB19E2">
      <w:pPr>
        <w:pStyle w:val="Style1"/>
        <w:spacing w:before="0" w:after="0" w:line="276" w:lineRule="auto"/>
        <w:rPr>
          <w:rFonts w:eastAsiaTheme="minorHAnsi"/>
        </w:rPr>
      </w:pPr>
      <w:r w:rsidRPr="009759E1">
        <w:rPr>
          <w:rFonts w:eastAsiaTheme="minorHAnsi"/>
        </w:rPr>
        <w:t xml:space="preserve">In early 2011, the Council declared two additional AQMAs due to exceedances of the annual mean </w:t>
      </w:r>
      <w:r w:rsidR="00DC7B5A">
        <w:rPr>
          <w:rFonts w:eastAsiaTheme="minorHAnsi"/>
        </w:rPr>
        <w:t>AQO</w:t>
      </w:r>
      <w:r w:rsidRPr="009759E1">
        <w:rPr>
          <w:rFonts w:eastAsiaTheme="minorHAnsi"/>
        </w:rPr>
        <w:t xml:space="preserve"> for NO</w:t>
      </w:r>
      <w:r w:rsidRPr="009759E1">
        <w:rPr>
          <w:rFonts w:eastAsiaTheme="minorHAnsi"/>
          <w:vertAlign w:val="subscript"/>
        </w:rPr>
        <w:t>2</w:t>
      </w:r>
      <w:r w:rsidRPr="009759E1">
        <w:rPr>
          <w:rFonts w:eastAsiaTheme="minorHAnsi"/>
        </w:rPr>
        <w:t xml:space="preserve">. This covered Tuns Lane (AQMA 3) and the A4 Town Centre (AQMA 4). The principal cause of this exceedance was due to emissions from road traffic, with HGV emissions accounting for over half of the emissions. As such, a new AQAP was produced to address NOx emissions in both AQMA 3 and 4 in 2012. </w:t>
      </w:r>
    </w:p>
    <w:p w14:paraId="26EDC943" w14:textId="77777777" w:rsidR="00BB19E2" w:rsidRPr="009759E1" w:rsidRDefault="00BB19E2" w:rsidP="00DC7B5A">
      <w:pPr>
        <w:autoSpaceDE w:val="0"/>
        <w:autoSpaceDN w:val="0"/>
        <w:adjustRightInd w:val="0"/>
        <w:spacing w:before="0" w:after="0" w:line="276" w:lineRule="auto"/>
        <w:rPr>
          <w:rFonts w:cs="Arial"/>
        </w:rPr>
      </w:pPr>
    </w:p>
    <w:p w14:paraId="0B4EC4B1" w14:textId="77777777" w:rsidR="00BB19E2" w:rsidRPr="009759E1" w:rsidRDefault="00BB19E2" w:rsidP="00C41398">
      <w:pPr>
        <w:autoSpaceDE w:val="0"/>
        <w:autoSpaceDN w:val="0"/>
        <w:adjustRightInd w:val="0"/>
        <w:spacing w:before="0" w:after="0" w:line="276" w:lineRule="auto"/>
        <w:rPr>
          <w:rFonts w:cs="Arial"/>
        </w:rPr>
      </w:pPr>
      <w:r w:rsidRPr="009759E1">
        <w:rPr>
          <w:rFonts w:cs="Arial"/>
        </w:rPr>
        <w:t xml:space="preserve">The AQAP 3 &amp; 4 strongly aligns with LTP3 concepts, with measures focusing on sustainable land use planning to manage parking and ensure air quality is considered in the development process, better management of congestion and speed, promoting cleaner buses, taxis and commercial vehicles, and promoting less polluting travel. The measures presented within AQAP 3 &amp; 4 have been reviewed and considered in the new AQAP. </w:t>
      </w:r>
    </w:p>
    <w:p w14:paraId="3C261E72" w14:textId="77777777" w:rsidR="00C41398" w:rsidRDefault="00C41398" w:rsidP="00C41398">
      <w:pPr>
        <w:spacing w:before="0" w:after="0"/>
        <w:rPr>
          <w:b/>
          <w:bCs/>
          <w:color w:val="008938"/>
        </w:rPr>
      </w:pPr>
    </w:p>
    <w:p w14:paraId="104F273E" w14:textId="46D6DE97" w:rsidR="00BB19E2" w:rsidRPr="00C41398" w:rsidRDefault="00BB19E2" w:rsidP="00C41398">
      <w:pPr>
        <w:spacing w:before="0" w:after="0"/>
        <w:rPr>
          <w:b/>
          <w:bCs/>
          <w:color w:val="008938"/>
        </w:rPr>
      </w:pPr>
      <w:r w:rsidRPr="00C41398">
        <w:rPr>
          <w:b/>
          <w:bCs/>
          <w:color w:val="008938"/>
        </w:rPr>
        <w:t>Low Emission Strategy (2018-2025)</w:t>
      </w:r>
    </w:p>
    <w:p w14:paraId="47A126C0" w14:textId="0AD92AF5" w:rsidR="00BB19E2" w:rsidRPr="009759E1" w:rsidRDefault="00BB19E2" w:rsidP="00BB19E2">
      <w:pPr>
        <w:spacing w:line="276" w:lineRule="auto"/>
        <w:rPr>
          <w:rFonts w:cs="Arial"/>
        </w:rPr>
      </w:pPr>
      <w:r w:rsidRPr="009759E1">
        <w:rPr>
          <w:rFonts w:cs="Arial"/>
        </w:rPr>
        <w:t>The Low Emission Strategy 2018-2025 (LES)</w:t>
      </w:r>
      <w:r w:rsidRPr="009759E1">
        <w:rPr>
          <w:vertAlign w:val="superscript"/>
        </w:rPr>
        <w:footnoteReference w:id="33"/>
      </w:r>
      <w:r w:rsidRPr="009759E1">
        <w:rPr>
          <w:rFonts w:cs="Arial"/>
        </w:rPr>
        <w:t xml:space="preserve"> was taken to Cabinet on 17th September 2018 and subsequently adopted as a Council strategy on 27th September 2018</w:t>
      </w:r>
      <w:r w:rsidR="00DC7B5A">
        <w:rPr>
          <w:rFonts w:cs="Arial"/>
        </w:rPr>
        <w:t>.</w:t>
      </w:r>
      <w:r w:rsidRPr="009759E1">
        <w:rPr>
          <w:rFonts w:cs="Arial"/>
        </w:rPr>
        <w:t xml:space="preserve"> The wellbeing of those living in Slough are the highest priority and this is reflected in the measures detailed in the </w:t>
      </w:r>
      <w:r>
        <w:rPr>
          <w:rFonts w:cs="Arial"/>
        </w:rPr>
        <w:t>LES</w:t>
      </w:r>
      <w:r w:rsidRPr="009759E1">
        <w:rPr>
          <w:rFonts w:cs="Arial"/>
        </w:rPr>
        <w:t xml:space="preserve"> programme. </w:t>
      </w:r>
    </w:p>
    <w:p w14:paraId="0C587A8E" w14:textId="77777777" w:rsidR="00BB19E2" w:rsidRPr="009759E1" w:rsidRDefault="00BB19E2" w:rsidP="00BB19E2">
      <w:pPr>
        <w:spacing w:line="276" w:lineRule="auto"/>
        <w:rPr>
          <w:rFonts w:cs="Arial"/>
        </w:rPr>
      </w:pPr>
      <w:r w:rsidRPr="009759E1">
        <w:rPr>
          <w:rFonts w:cs="Arial"/>
        </w:rPr>
        <w:t xml:space="preserve">The principal outcomes of the strategy include: </w:t>
      </w:r>
    </w:p>
    <w:p w14:paraId="39625528"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Improving air quality within the whole </w:t>
      </w:r>
      <w:r>
        <w:rPr>
          <w:rFonts w:eastAsiaTheme="minorHAnsi" w:cs="Arial"/>
        </w:rPr>
        <w:t>b</w:t>
      </w:r>
      <w:r w:rsidRPr="009759E1">
        <w:rPr>
          <w:rFonts w:eastAsiaTheme="minorHAnsi" w:cs="Arial"/>
        </w:rPr>
        <w:t>orough.</w:t>
      </w:r>
    </w:p>
    <w:p w14:paraId="0C69A285"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Improving communication and raising awareness of vehicle emissions and their impact on air quality and health.</w:t>
      </w:r>
    </w:p>
    <w:p w14:paraId="4B8C8AA1"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Implementing electric public transport infrastructure (pubic ‘fast’ and ‘rapid’ electric charging points) to cater and allow for the acceleration of EVs in the </w:t>
      </w:r>
      <w:r>
        <w:rPr>
          <w:rFonts w:eastAsiaTheme="minorHAnsi" w:cs="Arial"/>
        </w:rPr>
        <w:t>b</w:t>
      </w:r>
      <w:r w:rsidRPr="009759E1">
        <w:rPr>
          <w:rFonts w:eastAsiaTheme="minorHAnsi" w:cs="Arial"/>
        </w:rPr>
        <w:t>orough.</w:t>
      </w:r>
    </w:p>
    <w:p w14:paraId="69AF12CF"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Implementing and enabling the operation of electric/ULEV taxis through changes to the </w:t>
      </w:r>
      <w:r>
        <w:rPr>
          <w:rFonts w:eastAsiaTheme="minorHAnsi" w:cs="Arial"/>
        </w:rPr>
        <w:t>li</w:t>
      </w:r>
      <w:r w:rsidRPr="009759E1">
        <w:rPr>
          <w:rFonts w:eastAsiaTheme="minorHAnsi" w:cs="Arial"/>
        </w:rPr>
        <w:t>censing emission standards and provision of dedicated EV taxi infrastructure.</w:t>
      </w:r>
    </w:p>
    <w:p w14:paraId="7C71849C"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Working with bus operators to upgrade the emission standards of their buses operating in the </w:t>
      </w:r>
      <w:r>
        <w:rPr>
          <w:rFonts w:eastAsiaTheme="minorHAnsi" w:cs="Arial"/>
        </w:rPr>
        <w:t>b</w:t>
      </w:r>
      <w:r w:rsidRPr="009759E1">
        <w:rPr>
          <w:rFonts w:eastAsiaTheme="minorHAnsi" w:cs="Arial"/>
        </w:rPr>
        <w:t>orough (including through retro-fitting) with a view to promoting and facilitating electric/hybrid/gas buses</w:t>
      </w:r>
      <w:r>
        <w:rPr>
          <w:rFonts w:eastAsiaTheme="minorHAnsi" w:cs="Arial"/>
        </w:rPr>
        <w:t>, t</w:t>
      </w:r>
      <w:r w:rsidRPr="009759E1">
        <w:rPr>
          <w:rFonts w:eastAsiaTheme="minorHAnsi" w:cs="Arial"/>
        </w:rPr>
        <w:t>hrough the provision of low emission infrastructure)</w:t>
      </w:r>
    </w:p>
    <w:p w14:paraId="29F946B7"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To implement and operate in partnership a dedicated town centre wide electric/ULEV car club for all residents to use, and to expand the car club to transport hubs (Burnham and Langley). </w:t>
      </w:r>
    </w:p>
    <w:p w14:paraId="5B1A9FA3"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Adopting planning policies for new developments to support sustainable transport (including restrictions on parking) and implementation of low emission technologies and vehicles standards (including on site EV charging, low emission NOx boilers and requiring the latest EURO standards for HDVs servicing new major commercial developments).</w:t>
      </w:r>
    </w:p>
    <w:p w14:paraId="276B2328"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 xml:space="preserve">Developing planning air quality and planning guidance to promote air quality mitigation at the design stage of new development and support wider air quality improvements through off-setting mitigation. </w:t>
      </w:r>
    </w:p>
    <w:p w14:paraId="5430816F"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Requiring developers to produce sustainable travel plans that are focused on modal shift away from car use, and where this is not possible on increased uptake of ULEVs.</w:t>
      </w:r>
    </w:p>
    <w:p w14:paraId="63E2593C" w14:textId="77777777" w:rsidR="00BB19E2" w:rsidRPr="009759E1" w:rsidRDefault="00BB19E2" w:rsidP="0025036F">
      <w:pPr>
        <w:pStyle w:val="Style1"/>
        <w:numPr>
          <w:ilvl w:val="0"/>
          <w:numId w:val="35"/>
        </w:numPr>
        <w:spacing w:before="0" w:after="0" w:line="276" w:lineRule="auto"/>
        <w:jc w:val="both"/>
        <w:rPr>
          <w:rFonts w:eastAsiaTheme="minorHAnsi" w:cs="Arial"/>
        </w:rPr>
      </w:pPr>
      <w:r w:rsidRPr="009759E1">
        <w:rPr>
          <w:rFonts w:eastAsiaTheme="minorHAnsi" w:cs="Arial"/>
        </w:rPr>
        <w:t>The Council leading by example, by implementing Fleet Challenge and Low Emission Standards within all the Council fleet operations.</w:t>
      </w:r>
    </w:p>
    <w:p w14:paraId="7D8651CC" w14:textId="77777777" w:rsidR="00BB19E2" w:rsidRPr="009759E1" w:rsidRDefault="00BB19E2" w:rsidP="00DC7B5A">
      <w:pPr>
        <w:spacing w:before="0" w:after="0" w:line="276" w:lineRule="auto"/>
        <w:rPr>
          <w:rFonts w:cs="Arial"/>
        </w:rPr>
      </w:pPr>
    </w:p>
    <w:p w14:paraId="24FCFABE" w14:textId="77777777" w:rsidR="00BB19E2" w:rsidRPr="009759E1" w:rsidRDefault="00BB19E2" w:rsidP="00DC7B5A">
      <w:pPr>
        <w:spacing w:before="0" w:after="0" w:line="276" w:lineRule="auto"/>
        <w:rPr>
          <w:rFonts w:cs="Arial"/>
        </w:rPr>
      </w:pPr>
      <w:bookmarkStart w:id="369" w:name="_Hlk159586134"/>
      <w:r w:rsidRPr="009759E1">
        <w:rPr>
          <w:rFonts w:cs="Arial"/>
        </w:rPr>
        <w:t xml:space="preserve">The key projects that were implemented or are planned to achieve the LES aims and objectives are represented in the LES Programme. This includes: </w:t>
      </w:r>
    </w:p>
    <w:bookmarkEnd w:id="369"/>
    <w:p w14:paraId="182C19C7"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Air Quality Monitoring 10 year programme </w:t>
      </w:r>
    </w:p>
    <w:p w14:paraId="6EE59718"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Slough Electric Car Club Programme</w:t>
      </w:r>
    </w:p>
    <w:p w14:paraId="78E26F92"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EV Infrastructure Programme </w:t>
      </w:r>
    </w:p>
    <w:p w14:paraId="21DF3DFC"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Taxi EV Rapid Charger Infrastructure Programme </w:t>
      </w:r>
    </w:p>
    <w:p w14:paraId="0C59AF76"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EV (rapid and fast) Off-street and Car Park Programme </w:t>
      </w:r>
    </w:p>
    <w:p w14:paraId="67ACFD35"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EV (rapid and fast) On-street Programme </w:t>
      </w:r>
    </w:p>
    <w:p w14:paraId="727AD50F"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Clean Air Zone Feasibility Programme </w:t>
      </w:r>
    </w:p>
    <w:p w14:paraId="6D4C957C"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Cycle Infrastructure and Hire Programme </w:t>
      </w:r>
    </w:p>
    <w:p w14:paraId="2E0FABC3"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Bus Retrofit Programme </w:t>
      </w:r>
    </w:p>
    <w:p w14:paraId="2A3D191B"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Electric Bus A4 Smart Service </w:t>
      </w:r>
    </w:p>
    <w:p w14:paraId="04F8DC4E" w14:textId="77777777" w:rsidR="00BB19E2" w:rsidRPr="009759E1" w:rsidRDefault="00BB19E2" w:rsidP="0025036F">
      <w:pPr>
        <w:pStyle w:val="ListParagraph"/>
        <w:numPr>
          <w:ilvl w:val="0"/>
          <w:numId w:val="36"/>
        </w:numPr>
        <w:spacing w:before="0" w:after="160" w:line="276" w:lineRule="auto"/>
        <w:contextualSpacing/>
        <w:rPr>
          <w:rFonts w:cs="Arial"/>
        </w:rPr>
      </w:pPr>
      <w:r w:rsidRPr="009759E1">
        <w:rPr>
          <w:rFonts w:cs="Arial"/>
        </w:rPr>
        <w:t xml:space="preserve">HDV Gas Station Programme </w:t>
      </w:r>
    </w:p>
    <w:p w14:paraId="5A28585A" w14:textId="77777777" w:rsidR="00BB19E2" w:rsidRDefault="00BB19E2" w:rsidP="00DC7B5A">
      <w:pPr>
        <w:spacing w:before="0" w:after="0" w:line="276" w:lineRule="auto"/>
        <w:rPr>
          <w:rFonts w:cs="Arial"/>
        </w:rPr>
      </w:pPr>
      <w:r>
        <w:rPr>
          <w:rFonts w:cs="Arial"/>
        </w:rPr>
        <w:t xml:space="preserve">As such, the LES represents the core actions of the AQAP concerning emission reduction. </w:t>
      </w:r>
      <w:r w:rsidRPr="009759E1">
        <w:rPr>
          <w:rFonts w:cs="Arial"/>
        </w:rPr>
        <w:t xml:space="preserve">In 2024, the LES will be updated to reflect measures brought forward in the new AQAP, and to refresh previous measures relating to planning guidance, electric vehicle infrastructure requirements </w:t>
      </w:r>
      <w:r>
        <w:rPr>
          <w:rFonts w:cs="Arial"/>
        </w:rPr>
        <w:t xml:space="preserve">and partnership working. </w:t>
      </w:r>
    </w:p>
    <w:p w14:paraId="7EF39485" w14:textId="77777777" w:rsidR="00DC7B5A" w:rsidRDefault="00DC7B5A" w:rsidP="00C41398">
      <w:pPr>
        <w:spacing w:before="0" w:after="0"/>
        <w:rPr>
          <w:b/>
          <w:bCs/>
          <w:color w:val="008938"/>
        </w:rPr>
      </w:pPr>
    </w:p>
    <w:p w14:paraId="58D2617D" w14:textId="32338EA1" w:rsidR="00BB19E2" w:rsidRPr="00C41398" w:rsidRDefault="00BB19E2" w:rsidP="00C41398">
      <w:pPr>
        <w:spacing w:before="0" w:after="0"/>
        <w:rPr>
          <w:b/>
          <w:bCs/>
          <w:color w:val="008938"/>
        </w:rPr>
      </w:pPr>
      <w:r w:rsidRPr="00C41398">
        <w:rPr>
          <w:b/>
          <w:bCs/>
          <w:color w:val="008938"/>
        </w:rPr>
        <w:t>Electric Vehicle Charging Infrastructure (EVCI) Strategy 2024 – 2029</w:t>
      </w:r>
    </w:p>
    <w:p w14:paraId="19F2EEB9" w14:textId="77777777" w:rsidR="00BB19E2" w:rsidRDefault="00BB19E2" w:rsidP="00BB19E2">
      <w:pPr>
        <w:spacing w:line="276" w:lineRule="auto"/>
        <w:rPr>
          <w:rFonts w:cs="Arial"/>
        </w:rPr>
      </w:pPr>
      <w:r w:rsidRPr="00023265">
        <w:rPr>
          <w:rFonts w:cs="Arial"/>
        </w:rPr>
        <w:t xml:space="preserve">The </w:t>
      </w:r>
      <w:r w:rsidRPr="00272EDA">
        <w:rPr>
          <w:rFonts w:cs="Arial"/>
        </w:rPr>
        <w:t xml:space="preserve">Electric Vehicle Charging Infrastructure (EVCI) Strategy </w:t>
      </w:r>
      <w:r>
        <w:rPr>
          <w:rFonts w:cs="Arial"/>
        </w:rPr>
        <w:t>outlines how the Local Electric Vehicle Infrastructure fund (</w:t>
      </w:r>
      <w:r w:rsidRPr="00023265">
        <w:rPr>
          <w:rFonts w:cs="Arial"/>
        </w:rPr>
        <w:t>£2.233m of capital grant</w:t>
      </w:r>
      <w:r>
        <w:rPr>
          <w:rFonts w:cs="Arial"/>
        </w:rPr>
        <w:t>) will be used to deliver suitable vehicle charging infrastructure to serve Slough’s residents. The overarching aim of the Strategy is to d</w:t>
      </w:r>
      <w:r w:rsidRPr="007F5736">
        <w:rPr>
          <w:rFonts w:cs="Arial"/>
        </w:rPr>
        <w:t>evelop a comprehensive plan for EV charging infrastructure in Slough that</w:t>
      </w:r>
      <w:r>
        <w:rPr>
          <w:rFonts w:cs="Arial"/>
        </w:rPr>
        <w:t xml:space="preserve"> </w:t>
      </w:r>
      <w:r w:rsidRPr="007F5736">
        <w:rPr>
          <w:rFonts w:cs="Arial"/>
        </w:rPr>
        <w:t>ensures both residents and visitors have sufficient access to affordable,</w:t>
      </w:r>
      <w:r>
        <w:rPr>
          <w:rFonts w:cs="Arial"/>
        </w:rPr>
        <w:t xml:space="preserve"> </w:t>
      </w:r>
      <w:r w:rsidRPr="007F5736">
        <w:rPr>
          <w:rFonts w:cs="Arial"/>
        </w:rPr>
        <w:t>reliable, and accessible charging, thus enabling the switch to EV and delivering</w:t>
      </w:r>
      <w:r>
        <w:rPr>
          <w:rFonts w:cs="Arial"/>
        </w:rPr>
        <w:t xml:space="preserve"> </w:t>
      </w:r>
      <w:r w:rsidRPr="007F5736">
        <w:rPr>
          <w:rFonts w:cs="Arial"/>
        </w:rPr>
        <w:t>against the Council’s environmental goals.</w:t>
      </w:r>
      <w:r>
        <w:rPr>
          <w:rFonts w:cs="Arial"/>
        </w:rPr>
        <w:t xml:space="preserve"> The Strategy has a </w:t>
      </w:r>
      <w:r w:rsidRPr="00023265">
        <w:rPr>
          <w:rFonts w:cs="Arial"/>
        </w:rPr>
        <w:t xml:space="preserve">primary focus towards low powered on-street charging to serve residents </w:t>
      </w:r>
      <w:r>
        <w:rPr>
          <w:rFonts w:cs="Arial"/>
        </w:rPr>
        <w:t>who do not have access</w:t>
      </w:r>
      <w:r w:rsidRPr="00023265">
        <w:rPr>
          <w:rFonts w:cs="Arial"/>
        </w:rPr>
        <w:t xml:space="preserve"> to </w:t>
      </w:r>
      <w:r>
        <w:rPr>
          <w:rFonts w:cs="Arial"/>
        </w:rPr>
        <w:t>residential</w:t>
      </w:r>
      <w:r w:rsidRPr="00023265">
        <w:rPr>
          <w:rFonts w:cs="Arial"/>
        </w:rPr>
        <w:t xml:space="preserve"> charging </w:t>
      </w:r>
      <w:r>
        <w:rPr>
          <w:rFonts w:cs="Arial"/>
        </w:rPr>
        <w:t xml:space="preserve">facilities, </w:t>
      </w:r>
      <w:r w:rsidRPr="00023265">
        <w:rPr>
          <w:rFonts w:cs="Arial"/>
        </w:rPr>
        <w:t xml:space="preserve">due to the type of dwelling, parking arrangements or type of tenure for example. This applies to around 50% of properties in the </w:t>
      </w:r>
      <w:r>
        <w:rPr>
          <w:rFonts w:cs="Arial"/>
        </w:rPr>
        <w:t>b</w:t>
      </w:r>
      <w:r w:rsidRPr="00023265">
        <w:rPr>
          <w:rFonts w:cs="Arial"/>
        </w:rPr>
        <w:t xml:space="preserve">orough. </w:t>
      </w:r>
    </w:p>
    <w:p w14:paraId="17BD01C8" w14:textId="350634BD" w:rsidR="00BB19E2" w:rsidRPr="00506015" w:rsidRDefault="00BB19E2" w:rsidP="00BB19E2">
      <w:pPr>
        <w:spacing w:after="240" w:line="276" w:lineRule="auto"/>
      </w:pPr>
      <w:r w:rsidRPr="00827DD3">
        <w:rPr>
          <w:rFonts w:cs="Arial"/>
        </w:rPr>
        <w:t xml:space="preserve">The Strategy aims to address the shortfall in EV charging infrastructure </w:t>
      </w:r>
      <w:r>
        <w:rPr>
          <w:rFonts w:cs="Arial"/>
        </w:rPr>
        <w:t>in anticipation of the</w:t>
      </w:r>
      <w:r w:rsidRPr="00827DD3">
        <w:rPr>
          <w:rFonts w:cs="Arial"/>
        </w:rPr>
        <w:t xml:space="preserve"> upcoming ban on the sale of all new petrol and diesel vehicles by 2035. Slough has been consistently reported by </w:t>
      </w:r>
      <w:r w:rsidR="00DC7B5A">
        <w:rPr>
          <w:rFonts w:cs="Arial"/>
        </w:rPr>
        <w:t xml:space="preserve">DfT </w:t>
      </w:r>
      <w:r w:rsidRPr="00827DD3">
        <w:rPr>
          <w:rFonts w:cs="Arial"/>
        </w:rPr>
        <w:t xml:space="preserve">vehicle statistics over recent years to be in the top three local authorities in England for total numbers of plug-in vehicles registered to the </w:t>
      </w:r>
      <w:r>
        <w:rPr>
          <w:rFonts w:cs="Arial"/>
        </w:rPr>
        <w:t>b</w:t>
      </w:r>
      <w:r w:rsidRPr="00827DD3">
        <w:rPr>
          <w:rFonts w:cs="Arial"/>
        </w:rPr>
        <w:t>orough</w:t>
      </w:r>
      <w:r>
        <w:rPr>
          <w:rFonts w:cs="Arial"/>
        </w:rPr>
        <w:t>, h</w:t>
      </w:r>
      <w:r w:rsidRPr="00827DD3">
        <w:rPr>
          <w:rFonts w:cs="Arial"/>
        </w:rPr>
        <w:t>owever statistics have now been disaggregated for company and private vehicles confirming that the overwhelming majority of these ultra-low emission vehicles are company vehicles</w:t>
      </w:r>
      <w:r>
        <w:rPr>
          <w:rFonts w:cs="Arial"/>
        </w:rPr>
        <w:t>. This is</w:t>
      </w:r>
      <w:r w:rsidRPr="00827DD3">
        <w:rPr>
          <w:rFonts w:cs="Arial"/>
        </w:rPr>
        <w:t xml:space="preserve"> mostly likely to be associated with major vehicle leasing companies head quartered in the </w:t>
      </w:r>
      <w:r>
        <w:rPr>
          <w:rFonts w:cs="Arial"/>
        </w:rPr>
        <w:t>bo</w:t>
      </w:r>
      <w:r w:rsidRPr="00827DD3">
        <w:rPr>
          <w:rFonts w:cs="Arial"/>
        </w:rPr>
        <w:t xml:space="preserve">rough. While 18.5% of the company fleet registered to Slough is comprised of ultra-low emission vehicles, only 1.9% of the private fleet registered to Slough were battery or plug-in hybrid electric vehicles as at the end of June 2023. </w:t>
      </w:r>
    </w:p>
    <w:p w14:paraId="48FA0F93" w14:textId="76A9B4AC" w:rsidR="00BB19E2" w:rsidRDefault="00BB19E2" w:rsidP="00BB19E2">
      <w:pPr>
        <w:spacing w:line="276" w:lineRule="auto"/>
        <w:rPr>
          <w:rFonts w:cs="Arial"/>
        </w:rPr>
      </w:pPr>
      <w:r>
        <w:rPr>
          <w:rFonts w:cs="Arial"/>
        </w:rPr>
        <w:t xml:space="preserve">Mapping has been undertaken to identify where properties </w:t>
      </w:r>
      <w:r w:rsidR="00DC7B5A">
        <w:rPr>
          <w:rFonts w:cs="Arial"/>
        </w:rPr>
        <w:t xml:space="preserve">without EV charging options </w:t>
      </w:r>
      <w:r>
        <w:rPr>
          <w:rFonts w:cs="Arial"/>
        </w:rPr>
        <w:t xml:space="preserve">are located and determine their proximity to </w:t>
      </w:r>
      <w:r w:rsidRPr="00023265">
        <w:rPr>
          <w:rFonts w:cs="Arial"/>
        </w:rPr>
        <w:t xml:space="preserve">private sector </w:t>
      </w:r>
      <w:r>
        <w:rPr>
          <w:rFonts w:cs="Arial"/>
        </w:rPr>
        <w:t>charging facilities (both existing and potential future provision) including</w:t>
      </w:r>
      <w:r w:rsidRPr="00023265">
        <w:rPr>
          <w:rFonts w:cs="Arial"/>
        </w:rPr>
        <w:t xml:space="preserve"> petrol stations, drive thr</w:t>
      </w:r>
      <w:r>
        <w:rPr>
          <w:rFonts w:cs="Arial"/>
        </w:rPr>
        <w:t>ough</w:t>
      </w:r>
      <w:r w:rsidRPr="00023265">
        <w:rPr>
          <w:rFonts w:cs="Arial"/>
        </w:rPr>
        <w:t>s, retail parks,</w:t>
      </w:r>
      <w:r>
        <w:rPr>
          <w:rFonts w:cs="Arial"/>
        </w:rPr>
        <w:t xml:space="preserve"> and </w:t>
      </w:r>
      <w:r w:rsidRPr="00023265">
        <w:rPr>
          <w:rFonts w:cs="Arial"/>
        </w:rPr>
        <w:t xml:space="preserve"> restaurants</w:t>
      </w:r>
      <w:r>
        <w:rPr>
          <w:rFonts w:cs="Arial"/>
        </w:rPr>
        <w:t>.</w:t>
      </w:r>
      <w:r w:rsidRPr="00023265">
        <w:rPr>
          <w:rFonts w:cs="Arial"/>
        </w:rPr>
        <w:t xml:space="preserve"> In areas of the </w:t>
      </w:r>
      <w:r>
        <w:rPr>
          <w:rFonts w:cs="Arial"/>
        </w:rPr>
        <w:t>b</w:t>
      </w:r>
      <w:r w:rsidRPr="00023265">
        <w:rPr>
          <w:rFonts w:cs="Arial"/>
        </w:rPr>
        <w:t xml:space="preserve">orough </w:t>
      </w:r>
      <w:r>
        <w:rPr>
          <w:rFonts w:cs="Arial"/>
        </w:rPr>
        <w:t xml:space="preserve">where on-site charging is not viable, due to </w:t>
      </w:r>
      <w:r w:rsidRPr="00023265">
        <w:rPr>
          <w:rFonts w:cs="Arial"/>
        </w:rPr>
        <w:t>street layouts</w:t>
      </w:r>
      <w:r>
        <w:rPr>
          <w:rFonts w:cs="Arial"/>
        </w:rPr>
        <w:t xml:space="preserve">, </w:t>
      </w:r>
      <w:r w:rsidRPr="00023265">
        <w:rPr>
          <w:rFonts w:cs="Arial"/>
        </w:rPr>
        <w:t>parking arrangements,</w:t>
      </w:r>
      <w:r>
        <w:rPr>
          <w:rFonts w:cs="Arial"/>
        </w:rPr>
        <w:t xml:space="preserve"> or a</w:t>
      </w:r>
      <w:r w:rsidRPr="00023265">
        <w:rPr>
          <w:rFonts w:cs="Arial"/>
        </w:rPr>
        <w:t xml:space="preserve"> lack of potential private sector sites</w:t>
      </w:r>
      <w:r>
        <w:rPr>
          <w:rFonts w:cs="Arial"/>
        </w:rPr>
        <w:t>, the Strategy propose</w:t>
      </w:r>
      <w:r w:rsidR="00DC7B5A">
        <w:rPr>
          <w:rFonts w:cs="Arial"/>
        </w:rPr>
        <w:t>s</w:t>
      </w:r>
      <w:r>
        <w:rPr>
          <w:rFonts w:cs="Arial"/>
        </w:rPr>
        <w:t xml:space="preserve"> to supplement on-street charging </w:t>
      </w:r>
      <w:r w:rsidRPr="00023265">
        <w:rPr>
          <w:rFonts w:cs="Arial"/>
        </w:rPr>
        <w:t xml:space="preserve">with charging provision at Council assets where these are being retained. </w:t>
      </w:r>
    </w:p>
    <w:p w14:paraId="3C3463E7" w14:textId="63FB2B01" w:rsidR="00BB19E2" w:rsidRDefault="00BB19E2" w:rsidP="00DC7B5A">
      <w:pPr>
        <w:spacing w:line="276" w:lineRule="auto"/>
        <w:rPr>
          <w:rFonts w:cs="Arial"/>
        </w:rPr>
      </w:pPr>
      <w:r>
        <w:rPr>
          <w:rFonts w:cs="Arial"/>
        </w:rPr>
        <w:t xml:space="preserve">This is a significant project which will give residents and visitors of Slough the opportunity to upgrade to cleaner vehicles by having access to the appropriate infrastructure, which will </w:t>
      </w:r>
      <w:r w:rsidR="00DC7B5A">
        <w:rPr>
          <w:rFonts w:cs="Arial"/>
        </w:rPr>
        <w:t xml:space="preserve">encourage uptake of EVs and </w:t>
      </w:r>
      <w:r>
        <w:rPr>
          <w:rFonts w:cs="Arial"/>
        </w:rPr>
        <w:t xml:space="preserve">subsequently result in a reduction in emissions from traffic sources. </w:t>
      </w:r>
    </w:p>
    <w:p w14:paraId="5D64DC33" w14:textId="77777777" w:rsidR="00DC7B5A" w:rsidRDefault="00DC7B5A" w:rsidP="00DC7B5A">
      <w:pPr>
        <w:spacing w:before="0" w:after="0" w:line="276" w:lineRule="auto"/>
        <w:rPr>
          <w:rFonts w:cs="Arial"/>
        </w:rPr>
      </w:pPr>
    </w:p>
    <w:p w14:paraId="40E9652B" w14:textId="7B1BFC6B" w:rsidR="00BB19E2" w:rsidRPr="00336220" w:rsidRDefault="00BB19E2" w:rsidP="00BB19E2">
      <w:pPr>
        <w:pStyle w:val="Heading3"/>
        <w:numPr>
          <w:ilvl w:val="0"/>
          <w:numId w:val="0"/>
        </w:numPr>
        <w:spacing w:before="0" w:after="0"/>
        <w:ind w:left="570" w:hanging="567"/>
      </w:pPr>
      <w:bookmarkStart w:id="370" w:name="_Toc160129620"/>
      <w:r>
        <w:t>2.</w:t>
      </w:r>
      <w:r w:rsidR="00EF0C21">
        <w:t>2</w:t>
      </w:r>
      <w:r>
        <w:t xml:space="preserve"> </w:t>
      </w:r>
      <w:r w:rsidRPr="00E879B8">
        <w:t>Slough Wellbeing Strategy 2020-2025</w:t>
      </w:r>
      <w:bookmarkEnd w:id="370"/>
      <w:r w:rsidRPr="00E879B8">
        <w:t xml:space="preserve"> </w:t>
      </w:r>
    </w:p>
    <w:p w14:paraId="54DAEAB3" w14:textId="77777777" w:rsidR="00BB19E2" w:rsidRPr="00336220" w:rsidRDefault="00BB19E2" w:rsidP="00BB19E2">
      <w:pPr>
        <w:spacing w:line="276" w:lineRule="auto"/>
        <w:rPr>
          <w:rFonts w:cs="Arial"/>
        </w:rPr>
      </w:pPr>
      <w:r w:rsidRPr="00336220">
        <w:rPr>
          <w:rFonts w:cs="Arial"/>
        </w:rPr>
        <w:t>The Slough Wellbeing Board is a collaborative partnership of public, private and voluntary sectors in the borough, with a shared duty to improve the health and wellbeing for those who live in Slough. The Slough Wellbeing Strategy</w:t>
      </w:r>
      <w:r w:rsidRPr="00336220">
        <w:rPr>
          <w:vertAlign w:val="superscript"/>
        </w:rPr>
        <w:footnoteReference w:id="34"/>
      </w:r>
      <w:r w:rsidRPr="00336220">
        <w:rPr>
          <w:rFonts w:cs="Arial"/>
        </w:rPr>
        <w:t>, developed by the Slough Wellbeing Board, is based on the needs identified by the Joint Strategic Needs A</w:t>
      </w:r>
      <w:bookmarkStart w:id="372" w:name="_Hlk147225400"/>
      <w:r w:rsidRPr="00336220">
        <w:rPr>
          <w:rFonts w:cs="Arial"/>
        </w:rPr>
        <w:t xml:space="preserve">ssessment (JSNA), and outlines the plans to improve the health and wellbeing of its residents over the next five years. </w:t>
      </w:r>
    </w:p>
    <w:p w14:paraId="6D6ACB30" w14:textId="77777777" w:rsidR="00BB19E2" w:rsidRPr="00336220" w:rsidRDefault="00BB19E2" w:rsidP="00BB19E2">
      <w:pPr>
        <w:spacing w:line="276" w:lineRule="auto"/>
        <w:rPr>
          <w:rFonts w:cs="Arial"/>
        </w:rPr>
      </w:pPr>
      <w:r w:rsidRPr="00336220">
        <w:rPr>
          <w:rFonts w:cs="Arial"/>
        </w:rPr>
        <w:t xml:space="preserve">The strategy highlights how the densely populated urban nature of Slough, with high levels of personal car use, result in high levels of congestion and poor air quality. Poor air quality can exacerbate the severity of health issues such as respiratory and cardiovascular conditions, therefore measures within the AQAP can help to reduce this impact. </w:t>
      </w:r>
    </w:p>
    <w:p w14:paraId="3501DB70" w14:textId="77777777" w:rsidR="00BB19E2" w:rsidRPr="00336220" w:rsidRDefault="00BB19E2" w:rsidP="00BB19E2">
      <w:pPr>
        <w:spacing w:line="276" w:lineRule="auto"/>
        <w:rPr>
          <w:rFonts w:cs="Arial"/>
        </w:rPr>
      </w:pPr>
      <w:r w:rsidRPr="00336220">
        <w:rPr>
          <w:rFonts w:cs="Arial"/>
        </w:rPr>
        <w:t xml:space="preserve">The strategy is underpinned by four key priorities: </w:t>
      </w:r>
    </w:p>
    <w:p w14:paraId="234C19DA" w14:textId="77777777" w:rsidR="00BB19E2" w:rsidRPr="00336220" w:rsidRDefault="00BB19E2" w:rsidP="00BB19E2">
      <w:pPr>
        <w:spacing w:after="0" w:line="276" w:lineRule="auto"/>
        <w:rPr>
          <w:rFonts w:cs="Arial"/>
        </w:rPr>
      </w:pPr>
      <w:r w:rsidRPr="00336220">
        <w:rPr>
          <w:rFonts w:cs="Arial"/>
        </w:rPr>
        <w:t xml:space="preserve">Priority 1 – Starting Well: focusing on the health and wellbeing of children and young people </w:t>
      </w:r>
    </w:p>
    <w:p w14:paraId="39888295" w14:textId="77777777" w:rsidR="00BB19E2" w:rsidRPr="00336220" w:rsidRDefault="00BB19E2" w:rsidP="00BB19E2">
      <w:pPr>
        <w:spacing w:after="0" w:line="276" w:lineRule="auto"/>
        <w:rPr>
          <w:rFonts w:cs="Arial"/>
        </w:rPr>
      </w:pPr>
      <w:r w:rsidRPr="00336220">
        <w:rPr>
          <w:rFonts w:cs="Arial"/>
        </w:rPr>
        <w:t xml:space="preserve">Priority 2 – Integration: alignment of health and social care professionals to provide better care </w:t>
      </w:r>
    </w:p>
    <w:p w14:paraId="4506656C" w14:textId="77777777" w:rsidR="00BB19E2" w:rsidRPr="00336220" w:rsidRDefault="00BB19E2" w:rsidP="00BB19E2">
      <w:pPr>
        <w:spacing w:after="0" w:line="276" w:lineRule="auto"/>
        <w:rPr>
          <w:rFonts w:cs="Arial"/>
        </w:rPr>
      </w:pPr>
      <w:r w:rsidRPr="00336220">
        <w:rPr>
          <w:rFonts w:cs="Arial"/>
        </w:rPr>
        <w:t xml:space="preserve">Priority 3 – Strong, Healthy &amp; Attractive Neighbourhoods: building community asset resilience </w:t>
      </w:r>
    </w:p>
    <w:p w14:paraId="074C3650" w14:textId="4321D162" w:rsidR="00BB19E2" w:rsidRPr="00336220" w:rsidRDefault="00BB19E2" w:rsidP="00BB19E2">
      <w:pPr>
        <w:spacing w:after="0" w:line="276" w:lineRule="auto"/>
        <w:rPr>
          <w:rFonts w:cs="Arial"/>
        </w:rPr>
      </w:pPr>
      <w:r w:rsidRPr="00336220">
        <w:rPr>
          <w:rFonts w:cs="Arial"/>
        </w:rPr>
        <w:t xml:space="preserve">Priority 4 – Workplace Health: supporting employment to protect health outcomes </w:t>
      </w:r>
    </w:p>
    <w:p w14:paraId="76048AD6" w14:textId="77777777" w:rsidR="00D40791" w:rsidRDefault="00D40791" w:rsidP="00D40791">
      <w:pPr>
        <w:spacing w:before="0" w:after="0" w:line="276" w:lineRule="auto"/>
        <w:rPr>
          <w:rFonts w:cs="Arial"/>
        </w:rPr>
      </w:pPr>
    </w:p>
    <w:p w14:paraId="11CC5C8E" w14:textId="10B568A0" w:rsidR="00BB19E2" w:rsidRPr="00336220" w:rsidRDefault="00BB19E2" w:rsidP="00D40791">
      <w:pPr>
        <w:spacing w:before="0" w:line="276" w:lineRule="auto"/>
        <w:rPr>
          <w:rFonts w:cs="Arial"/>
        </w:rPr>
      </w:pPr>
      <w:r w:rsidRPr="00336220">
        <w:rPr>
          <w:rFonts w:cs="Arial"/>
        </w:rPr>
        <w:t xml:space="preserve">Priority 3 relates directly to air quality. It is noted in the strategy that areas of the borough with poor air quality contribute to the health inequalities </w:t>
      </w:r>
      <w:r w:rsidR="00D40791">
        <w:rPr>
          <w:rFonts w:cs="Arial"/>
        </w:rPr>
        <w:t>in Slough</w:t>
      </w:r>
      <w:r w:rsidRPr="00336220">
        <w:rPr>
          <w:rFonts w:cs="Arial"/>
        </w:rPr>
        <w:t xml:space="preserve">, particularly in areas such as Britwell &amp; Northborough, Chalvey and Foxborough, which have high mortality rates of people under the age of 75. </w:t>
      </w:r>
    </w:p>
    <w:p w14:paraId="68075D9E" w14:textId="77777777" w:rsidR="00BB19E2" w:rsidRDefault="00BB19E2" w:rsidP="00BB19E2">
      <w:pPr>
        <w:spacing w:line="276" w:lineRule="auto"/>
        <w:rPr>
          <w:rFonts w:cs="Arial"/>
        </w:rPr>
      </w:pPr>
      <w:r w:rsidRPr="00336220">
        <w:rPr>
          <w:rFonts w:cs="Arial"/>
        </w:rPr>
        <w:t xml:space="preserve">In the next five years, the strategy aims to increase levels of resident satisfaction, improve life chances of residents, reduce health inequalities between wards and improve community resilience. This will be achieved by working with local communities to understand their specific issues, and design and implement SMART neighbourhood plans. </w:t>
      </w:r>
    </w:p>
    <w:p w14:paraId="7D9F72C7" w14:textId="77777777" w:rsidR="00BB19E2" w:rsidRPr="00894B04" w:rsidRDefault="00BB19E2" w:rsidP="00BB19E2">
      <w:pPr>
        <w:spacing w:line="276" w:lineRule="auto"/>
        <w:rPr>
          <w:rFonts w:cs="Arial"/>
        </w:rPr>
      </w:pPr>
      <w:r>
        <w:rPr>
          <w:rFonts w:cs="Arial"/>
        </w:rPr>
        <w:t>In 2019</w:t>
      </w:r>
      <w:r w:rsidRPr="00894B04">
        <w:rPr>
          <w:rFonts w:cs="Arial"/>
        </w:rPr>
        <w:t xml:space="preserve">, an initiative called Strong, Healthy and Attractive </w:t>
      </w:r>
      <w:r>
        <w:rPr>
          <w:rFonts w:cs="Arial"/>
        </w:rPr>
        <w:t>Neighbourhoods</w:t>
      </w:r>
      <w:r w:rsidRPr="00894B04">
        <w:rPr>
          <w:rFonts w:cs="Arial"/>
        </w:rPr>
        <w:t xml:space="preserve"> (SHA</w:t>
      </w:r>
      <w:r>
        <w:rPr>
          <w:rFonts w:cs="Arial"/>
        </w:rPr>
        <w:t>N</w:t>
      </w:r>
      <w:r w:rsidRPr="00894B04">
        <w:rPr>
          <w:rFonts w:cs="Arial"/>
        </w:rPr>
        <w:t>) was launched. The first SHA</w:t>
      </w:r>
      <w:r>
        <w:rPr>
          <w:rFonts w:cs="Arial"/>
        </w:rPr>
        <w:t>N</w:t>
      </w:r>
      <w:r w:rsidRPr="00894B04">
        <w:rPr>
          <w:rFonts w:cs="Arial"/>
        </w:rPr>
        <w:t xml:space="preserve"> focuse</w:t>
      </w:r>
      <w:r>
        <w:rPr>
          <w:rFonts w:cs="Arial"/>
        </w:rPr>
        <w:t xml:space="preserve">d </w:t>
      </w:r>
      <w:r w:rsidRPr="00894B04">
        <w:rPr>
          <w:rFonts w:cs="Arial"/>
        </w:rPr>
        <w:t>on Chalvey, as the area scored lowest against the Council’s key deprivation indicators and is the second poorest ward across the Frimley area. The aim of the SHA</w:t>
      </w:r>
      <w:r>
        <w:rPr>
          <w:rFonts w:cs="Arial"/>
        </w:rPr>
        <w:t>N</w:t>
      </w:r>
      <w:r w:rsidRPr="00894B04">
        <w:rPr>
          <w:rFonts w:cs="Arial"/>
        </w:rPr>
        <w:t xml:space="preserve"> </w:t>
      </w:r>
      <w:r>
        <w:rPr>
          <w:rFonts w:cs="Arial"/>
        </w:rPr>
        <w:t>was</w:t>
      </w:r>
      <w:r w:rsidRPr="00894B04">
        <w:rPr>
          <w:rFonts w:cs="Arial"/>
        </w:rPr>
        <w:t xml:space="preserve"> to create a strong, healthy and attractive neighbourhood in collaboration with its residents and partners, to create resilience, pride and ownership within the community. </w:t>
      </w:r>
    </w:p>
    <w:p w14:paraId="69032A36" w14:textId="442E3FD1" w:rsidR="00BB19E2" w:rsidRPr="00894B04" w:rsidRDefault="00BB19E2" w:rsidP="00BB19E2">
      <w:pPr>
        <w:spacing w:line="276" w:lineRule="auto"/>
        <w:rPr>
          <w:rFonts w:cs="Arial"/>
        </w:rPr>
      </w:pPr>
      <w:r w:rsidRPr="00894B04">
        <w:rPr>
          <w:rFonts w:cs="Arial"/>
        </w:rPr>
        <w:t>A Needs Analysis was conducted as part of the initiative, which highlighted the key issues that residents experience</w:t>
      </w:r>
      <w:r>
        <w:rPr>
          <w:rFonts w:cs="Arial"/>
        </w:rPr>
        <w:t>d</w:t>
      </w:r>
      <w:r w:rsidRPr="00894B04">
        <w:rPr>
          <w:rFonts w:cs="Arial"/>
        </w:rPr>
        <w:t xml:space="preserve"> in Chalvey. One of the themes chosen as a key area for development </w:t>
      </w:r>
      <w:r w:rsidR="00C87B57">
        <w:rPr>
          <w:rFonts w:cs="Arial"/>
        </w:rPr>
        <w:t>was</w:t>
      </w:r>
      <w:r w:rsidRPr="00894B04">
        <w:rPr>
          <w:rFonts w:cs="Arial"/>
        </w:rPr>
        <w:t xml:space="preserve"> environmental considerations, with an aim to create cleaner streets, improved air quality and safe green space. </w:t>
      </w:r>
    </w:p>
    <w:p w14:paraId="39774571" w14:textId="77777777" w:rsidR="00BB19E2" w:rsidRPr="00852E14" w:rsidRDefault="00BB19E2" w:rsidP="00BB19E2">
      <w:pPr>
        <w:spacing w:line="276" w:lineRule="auto"/>
        <w:rPr>
          <w:rFonts w:cs="Arial"/>
        </w:rPr>
      </w:pPr>
      <w:r w:rsidRPr="00852E14">
        <w:rPr>
          <w:rFonts w:cs="Arial"/>
        </w:rPr>
        <w:t xml:space="preserve">The AQAP will contribute to improvements to air quality in Chalvey, particularly focusing on the high concentrations experienced at Tuns Lane. The M4 also contributes to poor air quality in Chalvey, therefore work will be ongoing with National Highways (formerly Highways England) to reduce impacts to nearby residential receptors. </w:t>
      </w:r>
    </w:p>
    <w:p w14:paraId="2FAFC224" w14:textId="7CCF2830" w:rsidR="00BB19E2" w:rsidRPr="00852E14" w:rsidRDefault="00BB19E2" w:rsidP="00BB19E2">
      <w:pPr>
        <w:spacing w:line="276" w:lineRule="auto"/>
        <w:rPr>
          <w:rFonts w:cs="Arial"/>
        </w:rPr>
      </w:pPr>
      <w:r>
        <w:rPr>
          <w:rFonts w:cs="Arial"/>
        </w:rPr>
        <w:t xml:space="preserve">The Slough Borough Council Public Health team is currently being expanded and refreshed, which will bring the renewal of the Slough Wellbeing Strategy, </w:t>
      </w:r>
      <w:r w:rsidRPr="00336220">
        <w:rPr>
          <w:rFonts w:cs="Arial"/>
        </w:rPr>
        <w:t xml:space="preserve">a new </w:t>
      </w:r>
      <w:r>
        <w:rPr>
          <w:rFonts w:cs="Arial"/>
        </w:rPr>
        <w:t>O</w:t>
      </w:r>
      <w:r w:rsidRPr="00336220">
        <w:rPr>
          <w:rFonts w:cs="Arial"/>
        </w:rPr>
        <w:t xml:space="preserve">besity </w:t>
      </w:r>
      <w:r>
        <w:rPr>
          <w:rFonts w:cs="Arial"/>
        </w:rPr>
        <w:t>S</w:t>
      </w:r>
      <w:r w:rsidRPr="00336220">
        <w:rPr>
          <w:rFonts w:cs="Arial"/>
        </w:rPr>
        <w:t>trategy</w:t>
      </w:r>
      <w:r>
        <w:rPr>
          <w:rFonts w:cs="Arial"/>
        </w:rPr>
        <w:t xml:space="preserve"> </w:t>
      </w:r>
      <w:r w:rsidRPr="00852E14">
        <w:rPr>
          <w:rFonts w:cs="Arial"/>
        </w:rPr>
        <w:t>to reduce the number of Reception and Year 6 aged children classified as obese</w:t>
      </w:r>
      <w:r>
        <w:rPr>
          <w:rFonts w:cs="Arial"/>
        </w:rPr>
        <w:t>, and a new ‘</w:t>
      </w:r>
      <w:r w:rsidRPr="00852E14">
        <w:rPr>
          <w:rFonts w:cs="Arial"/>
        </w:rPr>
        <w:t xml:space="preserve">Health in all Policies' approach, to ensure health is the top priority in plans and policies across the Council, which will in turn help to support the air quality </w:t>
      </w:r>
      <w:r w:rsidR="00C87B57">
        <w:rPr>
          <w:rFonts w:cs="Arial"/>
        </w:rPr>
        <w:t>objectives</w:t>
      </w:r>
      <w:r w:rsidRPr="00852E14">
        <w:rPr>
          <w:rFonts w:cs="Arial"/>
        </w:rPr>
        <w:t xml:space="preserve">. The Community Development team is due to be incorporated into the Public Health directorate, which will refocus on delivering the SHAN agenda. </w:t>
      </w:r>
      <w:bookmarkEnd w:id="372"/>
    </w:p>
    <w:p w14:paraId="04B79A80" w14:textId="192D94B4" w:rsidR="00BB19E2" w:rsidRPr="00852E14" w:rsidRDefault="00BB19E2" w:rsidP="00BB19E2">
      <w:pPr>
        <w:pStyle w:val="Heading3"/>
        <w:numPr>
          <w:ilvl w:val="0"/>
          <w:numId w:val="0"/>
        </w:numPr>
        <w:spacing w:before="0" w:after="0"/>
        <w:ind w:left="570" w:hanging="567"/>
      </w:pPr>
      <w:bookmarkStart w:id="373" w:name="_Toc160129621"/>
      <w:r>
        <w:t>2.</w:t>
      </w:r>
      <w:r w:rsidR="00EF0C21">
        <w:t>3</w:t>
      </w:r>
      <w:r>
        <w:t xml:space="preserve"> </w:t>
      </w:r>
      <w:r w:rsidRPr="00E879B8">
        <w:t>Taxi Licensing</w:t>
      </w:r>
      <w:bookmarkEnd w:id="373"/>
    </w:p>
    <w:p w14:paraId="12AED58D" w14:textId="77777777" w:rsidR="00BB19E2" w:rsidRPr="00852E14" w:rsidRDefault="00BB19E2" w:rsidP="00BB19E2">
      <w:pPr>
        <w:spacing w:line="276" w:lineRule="auto"/>
        <w:rPr>
          <w:rFonts w:cs="Arial"/>
        </w:rPr>
      </w:pPr>
      <w:r w:rsidRPr="00852E14">
        <w:rPr>
          <w:rFonts w:cs="Arial"/>
        </w:rPr>
        <w:t>Taxi licensing allows the Council to control the number and type of taxis (private hire and hackney carriage) that are registered in Slough. Slough Borough Council have recently renewed the taxi licensing policy</w:t>
      </w:r>
      <w:r w:rsidRPr="00852E14">
        <w:rPr>
          <w:vertAlign w:val="superscript"/>
        </w:rPr>
        <w:footnoteReference w:id="35"/>
      </w:r>
      <w:r w:rsidRPr="00852E14">
        <w:rPr>
          <w:rFonts w:cs="Arial"/>
        </w:rPr>
        <w:t xml:space="preserve"> to incorporate the government</w:t>
      </w:r>
      <w:r>
        <w:rPr>
          <w:rFonts w:cs="Arial"/>
        </w:rPr>
        <w:t>’</w:t>
      </w:r>
      <w:r w:rsidRPr="00852E14">
        <w:rPr>
          <w:rFonts w:cs="Arial"/>
        </w:rPr>
        <w:t xml:space="preserve">s plans to phase out diesel and petrol vehicles. The renewed policy was consulted upon in August to September 2023, with the new licencing requirements agreed at Cabinet in October 2023. </w:t>
      </w:r>
    </w:p>
    <w:p w14:paraId="58434CC6" w14:textId="77777777" w:rsidR="00BB19E2" w:rsidRPr="00852E14" w:rsidRDefault="00BB19E2" w:rsidP="00BB19E2">
      <w:pPr>
        <w:spacing w:line="276" w:lineRule="auto"/>
        <w:rPr>
          <w:rFonts w:cs="Arial"/>
        </w:rPr>
      </w:pPr>
      <w:r w:rsidRPr="00852E14">
        <w:rPr>
          <w:rFonts w:cs="Arial"/>
        </w:rPr>
        <w:t>The licensing requirements are as follows:</w:t>
      </w:r>
    </w:p>
    <w:p w14:paraId="28E53DDE" w14:textId="77777777" w:rsidR="00BB19E2" w:rsidRPr="00C41398" w:rsidRDefault="00BB19E2" w:rsidP="00C41398">
      <w:pPr>
        <w:spacing w:before="0" w:after="0"/>
        <w:rPr>
          <w:b/>
          <w:bCs/>
          <w:color w:val="008938"/>
        </w:rPr>
      </w:pPr>
      <w:r w:rsidRPr="00C41398">
        <w:rPr>
          <w:b/>
          <w:bCs/>
          <w:color w:val="008938"/>
        </w:rPr>
        <w:t>Vehicle age:</w:t>
      </w:r>
    </w:p>
    <w:p w14:paraId="7D8343BD"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All private hire and hackney carriage vehicles being licensed for the first time, must be less than 5 years old on the date the vehicle licence application is submitted.</w:t>
      </w:r>
    </w:p>
    <w:p w14:paraId="2FCA9E8D"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Currently licensed petrol, diesels and mild hybrid vehicles can remain licensed until the vehicle reaches 9 years of age. Hybrid (with zero emissions capability) and electric vehicles can remain licensed until the vehicle reaches 12 years of age.</w:t>
      </w:r>
    </w:p>
    <w:p w14:paraId="0B31487D"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Requests to renew a vehicle licence for a petrol, diesel, or mild hybrid beyond 9 years of age will be automatically refused.</w:t>
      </w:r>
    </w:p>
    <w:p w14:paraId="7CB69EE6"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Wheelchair Accessible Vehicles (WAVs) and specialist vehicles must be less than 5 years old at the first time of licensing and be Euro 6 compliant.</w:t>
      </w:r>
    </w:p>
    <w:p w14:paraId="04FAE64E"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WAV’s and specialist vehicles can remain licensed until 17 years of age. This applies to both private hire and hackney carriage licensed vehicles.</w:t>
      </w:r>
    </w:p>
    <w:p w14:paraId="2861DE7B" w14:textId="77777777" w:rsidR="00BB19E2" w:rsidRPr="00C41398" w:rsidRDefault="00BB19E2" w:rsidP="00C41398">
      <w:pPr>
        <w:spacing w:before="0" w:after="0"/>
        <w:rPr>
          <w:b/>
          <w:bCs/>
          <w:color w:val="008938"/>
        </w:rPr>
      </w:pPr>
      <w:r w:rsidRPr="00C41398">
        <w:rPr>
          <w:b/>
          <w:bCs/>
          <w:color w:val="008938"/>
        </w:rPr>
        <w:t>Diesel vehicles – 2025 onwards:</w:t>
      </w:r>
    </w:p>
    <w:p w14:paraId="4DA0EB9A"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 xml:space="preserve">From 1st January 2025, Slough Borough Council will cease to licence diesel vehicles (applicable to vehicle grant applications only). </w:t>
      </w:r>
    </w:p>
    <w:p w14:paraId="317B4165"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 xml:space="preserve">Currently licensed diesel vehicles will remain so until they reach 9 years of age, subject to valid renewal applications being made before the expiry date of the licence. </w:t>
      </w:r>
    </w:p>
    <w:p w14:paraId="6088A059"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WAVs and specialist vehicles will be exempt, and the licensing of diesels permitted.</w:t>
      </w:r>
    </w:p>
    <w:p w14:paraId="747C5C4E" w14:textId="77777777" w:rsidR="00BB19E2" w:rsidRPr="00C41398" w:rsidRDefault="00BB19E2" w:rsidP="00C41398">
      <w:pPr>
        <w:spacing w:before="0" w:after="0"/>
        <w:rPr>
          <w:b/>
          <w:bCs/>
          <w:color w:val="008938"/>
        </w:rPr>
      </w:pPr>
      <w:r w:rsidRPr="00C41398">
        <w:rPr>
          <w:b/>
          <w:bCs/>
          <w:color w:val="008938"/>
        </w:rPr>
        <w:t xml:space="preserve">Hybrid and electric vehicles – 2026 onwards: </w:t>
      </w:r>
    </w:p>
    <w:p w14:paraId="61EE24B4"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From 1st January 2026, Slough Borough Council will cease to grant new vehicle licences to petrol and mild hybrid vehicles. Vehicles must be less than 5 years old at the first time of licensing, either a hybrid or electric vehicle, and a minimum range of 30 miles with zero emissions.</w:t>
      </w:r>
    </w:p>
    <w:p w14:paraId="0802FDB6"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 xml:space="preserve">Valid renewal applications for petrol, diesel and mild hybrid vehicles will be accepted until the vehicle reaches 9 years of age. </w:t>
      </w:r>
    </w:p>
    <w:p w14:paraId="75CBED4E"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Hybrid vehicles with zero emission capability and electric vehicles can remain licensed until the vehicle reaches 12 years of age.</w:t>
      </w:r>
    </w:p>
    <w:p w14:paraId="2B5BC066" w14:textId="77777777" w:rsidR="00BB19E2" w:rsidRPr="00852E14" w:rsidRDefault="00BB19E2" w:rsidP="0025036F">
      <w:pPr>
        <w:pStyle w:val="ListParagraph"/>
        <w:numPr>
          <w:ilvl w:val="0"/>
          <w:numId w:val="39"/>
        </w:numPr>
        <w:spacing w:before="0" w:after="160" w:line="276" w:lineRule="auto"/>
        <w:contextualSpacing/>
        <w:rPr>
          <w:rFonts w:cs="Arial"/>
        </w:rPr>
      </w:pPr>
      <w:r w:rsidRPr="00852E14">
        <w:rPr>
          <w:rFonts w:cs="Arial"/>
        </w:rPr>
        <w:t>WAVs and specialist vehicles will be exempt, and the licensing of petrol &amp; diesels permitted.</w:t>
      </w:r>
    </w:p>
    <w:p w14:paraId="79F0D4A7" w14:textId="77777777" w:rsidR="00BB19E2" w:rsidRPr="00E879B8" w:rsidRDefault="00BB19E2" w:rsidP="00BB19E2">
      <w:pPr>
        <w:pStyle w:val="ListParagraph"/>
        <w:spacing w:after="0" w:line="276" w:lineRule="auto"/>
        <w:ind w:left="360"/>
        <w:rPr>
          <w:rFonts w:cs="Arial"/>
          <w:b/>
          <w:bCs/>
        </w:rPr>
      </w:pPr>
    </w:p>
    <w:p w14:paraId="271B1570" w14:textId="1CBAE322" w:rsidR="00BB19E2" w:rsidRPr="00852E14" w:rsidRDefault="00BB19E2" w:rsidP="00BB19E2">
      <w:pPr>
        <w:pStyle w:val="Heading3"/>
        <w:numPr>
          <w:ilvl w:val="0"/>
          <w:numId w:val="0"/>
        </w:numPr>
        <w:spacing w:before="0" w:after="0"/>
        <w:ind w:left="570" w:hanging="567"/>
      </w:pPr>
      <w:bookmarkStart w:id="375" w:name="_Toc160129622"/>
      <w:r>
        <w:t>2.</w:t>
      </w:r>
      <w:r w:rsidR="00EF0C21">
        <w:t>4</w:t>
      </w:r>
      <w:r>
        <w:t xml:space="preserve"> </w:t>
      </w:r>
      <w:r w:rsidRPr="00E879B8">
        <w:t>Sustainable Tr</w:t>
      </w:r>
      <w:bookmarkEnd w:id="375"/>
      <w:r w:rsidR="005E645D">
        <w:t>ansport</w:t>
      </w:r>
      <w:r w:rsidRPr="00E879B8">
        <w:t xml:space="preserve"> </w:t>
      </w:r>
    </w:p>
    <w:p w14:paraId="55122C73" w14:textId="7B362D79" w:rsidR="00BB19E2" w:rsidRPr="00C87B57" w:rsidRDefault="00BB19E2" w:rsidP="00C41398">
      <w:pPr>
        <w:spacing w:before="0" w:after="0"/>
        <w:rPr>
          <w:b/>
          <w:bCs/>
          <w:color w:val="008938"/>
        </w:rPr>
      </w:pPr>
      <w:r w:rsidRPr="00C41398">
        <w:rPr>
          <w:b/>
          <w:bCs/>
          <w:color w:val="008938"/>
        </w:rPr>
        <w:t>Access Fund</w:t>
      </w:r>
      <w:r w:rsidR="00C87B57">
        <w:rPr>
          <w:b/>
          <w:bCs/>
          <w:color w:val="008938"/>
        </w:rPr>
        <w:t xml:space="preserve"> / Capability Fund </w:t>
      </w:r>
    </w:p>
    <w:p w14:paraId="35400B8C" w14:textId="633690D1" w:rsidR="00BB19E2" w:rsidRPr="00852E14" w:rsidRDefault="00BB19E2" w:rsidP="00BB19E2">
      <w:pPr>
        <w:spacing w:line="276" w:lineRule="auto"/>
        <w:rPr>
          <w:rFonts w:cs="Arial"/>
        </w:rPr>
      </w:pPr>
      <w:bookmarkStart w:id="376" w:name="_Hlk51154028"/>
      <w:r w:rsidRPr="00852E14">
        <w:rPr>
          <w:rFonts w:cs="Arial"/>
        </w:rPr>
        <w:t xml:space="preserve">The Slough Borough Council Access Fund Programme was implemented 2017-2020. The programme aimed to support the local economy by addressing traffic congestion, increasing cycling and walking and improving access to jobs, skills, training and education. Within the programme are numerous sustainable transport projects, aiming to make journeys by bike, foot or public transport easier, more reliable and more environmentally friendly, therefore naturally, all measures implemented under the Access Fund Programme lead to improvements in air quality. </w:t>
      </w:r>
    </w:p>
    <w:bookmarkEnd w:id="376"/>
    <w:p w14:paraId="7507D68B" w14:textId="77777777" w:rsidR="00BB19E2" w:rsidRPr="00852E14" w:rsidRDefault="00BB19E2" w:rsidP="00BB19E2">
      <w:pPr>
        <w:spacing w:line="276" w:lineRule="auto"/>
        <w:rPr>
          <w:rFonts w:cs="Arial"/>
        </w:rPr>
      </w:pPr>
      <w:r w:rsidRPr="00852E14">
        <w:rPr>
          <w:rFonts w:cs="Arial"/>
        </w:rPr>
        <w:t>The Access Fund Programme includes four different elements:</w:t>
      </w:r>
    </w:p>
    <w:p w14:paraId="48BE86C9" w14:textId="77777777" w:rsidR="00BB19E2" w:rsidRPr="00852E14" w:rsidRDefault="00BB19E2" w:rsidP="0025036F">
      <w:pPr>
        <w:pStyle w:val="ListParagraph"/>
        <w:numPr>
          <w:ilvl w:val="0"/>
          <w:numId w:val="31"/>
        </w:numPr>
        <w:spacing w:before="0" w:after="160" w:line="276" w:lineRule="auto"/>
        <w:contextualSpacing/>
        <w:rPr>
          <w:rFonts w:cs="Arial"/>
        </w:rPr>
      </w:pPr>
      <w:r w:rsidRPr="00852E14">
        <w:rPr>
          <w:rFonts w:cs="Arial"/>
        </w:rPr>
        <w:t xml:space="preserve">Smarter Travel for Slough Businesses </w:t>
      </w:r>
    </w:p>
    <w:p w14:paraId="5045A343" w14:textId="77777777" w:rsidR="00BB19E2" w:rsidRPr="00852E14" w:rsidRDefault="00BB19E2" w:rsidP="0025036F">
      <w:pPr>
        <w:pStyle w:val="ListParagraph"/>
        <w:numPr>
          <w:ilvl w:val="0"/>
          <w:numId w:val="31"/>
        </w:numPr>
        <w:spacing w:before="0" w:after="160" w:line="276" w:lineRule="auto"/>
        <w:contextualSpacing/>
        <w:rPr>
          <w:rFonts w:cs="Arial"/>
        </w:rPr>
      </w:pPr>
      <w:r w:rsidRPr="00852E14">
        <w:rPr>
          <w:rFonts w:cs="Arial"/>
        </w:rPr>
        <w:t xml:space="preserve">Supporting Sustainable Access to Jobs and Training </w:t>
      </w:r>
    </w:p>
    <w:p w14:paraId="1A951DCE" w14:textId="77777777" w:rsidR="00BB19E2" w:rsidRPr="00852E14" w:rsidRDefault="00BB19E2" w:rsidP="0025036F">
      <w:pPr>
        <w:pStyle w:val="ListParagraph"/>
        <w:numPr>
          <w:ilvl w:val="0"/>
          <w:numId w:val="31"/>
        </w:numPr>
        <w:spacing w:before="0" w:after="160" w:line="276" w:lineRule="auto"/>
        <w:contextualSpacing/>
        <w:rPr>
          <w:rFonts w:cs="Arial"/>
        </w:rPr>
      </w:pPr>
      <w:r w:rsidRPr="00852E14">
        <w:rPr>
          <w:rFonts w:cs="Arial"/>
        </w:rPr>
        <w:t xml:space="preserve">Smarter Travel for Schools </w:t>
      </w:r>
    </w:p>
    <w:p w14:paraId="65A520DB" w14:textId="77777777" w:rsidR="00BB19E2" w:rsidRPr="00852E14" w:rsidRDefault="00BB19E2" w:rsidP="0025036F">
      <w:pPr>
        <w:pStyle w:val="ListParagraph"/>
        <w:numPr>
          <w:ilvl w:val="0"/>
          <w:numId w:val="31"/>
        </w:numPr>
        <w:spacing w:before="0" w:after="160" w:line="276" w:lineRule="auto"/>
        <w:contextualSpacing/>
        <w:rPr>
          <w:rFonts w:cs="Arial"/>
        </w:rPr>
      </w:pPr>
      <w:r w:rsidRPr="00852E14">
        <w:rPr>
          <w:rFonts w:cs="Arial"/>
        </w:rPr>
        <w:t xml:space="preserve">Targeted Marketing of Sustainable and Healthy Travel </w:t>
      </w:r>
    </w:p>
    <w:p w14:paraId="0AEA542B" w14:textId="77777777" w:rsidR="00BB19E2" w:rsidRPr="00852E14" w:rsidRDefault="00BB19E2" w:rsidP="00BB19E2">
      <w:pPr>
        <w:spacing w:line="276" w:lineRule="auto"/>
        <w:rPr>
          <w:rFonts w:cs="Arial"/>
        </w:rPr>
      </w:pPr>
      <w:r w:rsidRPr="00852E14">
        <w:rPr>
          <w:rFonts w:cs="Arial"/>
        </w:rPr>
        <w:t>The Access Fund programme is now funded by the Capability Fund, awarded by Active Travel England. Slough Borough Council were awarded £413,000 in May 2023 towards the Access Fund Programme, to help to reduce congestion in Slough, whilst supporting health incentives for the borough.</w:t>
      </w:r>
      <w:r>
        <w:rPr>
          <w:rFonts w:cs="Arial"/>
        </w:rPr>
        <w:t xml:space="preserve"> Funding is expected to be received on an ongoing annual basis. </w:t>
      </w:r>
    </w:p>
    <w:p w14:paraId="5AABAA98" w14:textId="77777777" w:rsidR="00BB19E2" w:rsidRPr="00852E14" w:rsidRDefault="00BB19E2" w:rsidP="00BB19E2">
      <w:pPr>
        <w:spacing w:line="276" w:lineRule="auto"/>
        <w:rPr>
          <w:rFonts w:cs="Arial"/>
        </w:rPr>
      </w:pPr>
      <w:r w:rsidRPr="008B385F">
        <w:rPr>
          <w:rFonts w:cs="Arial"/>
        </w:rPr>
        <w:t xml:space="preserve">These measures will be </w:t>
      </w:r>
      <w:r>
        <w:rPr>
          <w:rFonts w:cs="Arial"/>
        </w:rPr>
        <w:t xml:space="preserve">re-launched through the </w:t>
      </w:r>
      <w:r w:rsidRPr="008B385F">
        <w:rPr>
          <w:rFonts w:cs="Arial"/>
        </w:rPr>
        <w:t>AQAP.</w:t>
      </w:r>
    </w:p>
    <w:p w14:paraId="06BC732C" w14:textId="77777777" w:rsidR="00BB19E2" w:rsidRPr="00C41398" w:rsidRDefault="00BB19E2" w:rsidP="00C41398">
      <w:pPr>
        <w:spacing w:before="0" w:after="0"/>
        <w:rPr>
          <w:b/>
          <w:bCs/>
          <w:color w:val="008938"/>
        </w:rPr>
      </w:pPr>
      <w:r w:rsidRPr="00C41398">
        <w:rPr>
          <w:b/>
          <w:bCs/>
          <w:color w:val="008938"/>
        </w:rPr>
        <w:t>Local Cycling &amp; Walking Infrastructure Plan (LCWIP)</w:t>
      </w:r>
    </w:p>
    <w:p w14:paraId="069B0C52" w14:textId="2021468A" w:rsidR="00BB19E2" w:rsidRPr="00852E14" w:rsidRDefault="00BB19E2" w:rsidP="00BB19E2">
      <w:pPr>
        <w:spacing w:line="276" w:lineRule="auto"/>
        <w:rPr>
          <w:rFonts w:cs="Arial"/>
        </w:rPr>
      </w:pPr>
      <w:r w:rsidRPr="00852E14">
        <w:rPr>
          <w:rFonts w:cs="Arial"/>
        </w:rPr>
        <w:t>Slough have produced a Local Walking and Cycling Infrastructure Plan (LCWIP)</w:t>
      </w:r>
      <w:r w:rsidRPr="00852E14">
        <w:rPr>
          <w:vertAlign w:val="superscript"/>
        </w:rPr>
        <w:footnoteReference w:id="36"/>
      </w:r>
      <w:r w:rsidRPr="00852E14">
        <w:rPr>
          <w:rFonts w:cs="Arial"/>
        </w:rPr>
        <w:t xml:space="preserve"> in response to the Government’s Cycling and Walking Investment Strategies (CWIS1 2017, and CWIS2 2023). Slough</w:t>
      </w:r>
      <w:r>
        <w:rPr>
          <w:rFonts w:cs="Arial"/>
        </w:rPr>
        <w:t xml:space="preserve"> Borough Council’</w:t>
      </w:r>
      <w:r w:rsidRPr="00852E14">
        <w:rPr>
          <w:rFonts w:cs="Arial"/>
        </w:rPr>
        <w:t xml:space="preserve">s </w:t>
      </w:r>
      <w:r>
        <w:rPr>
          <w:rFonts w:cs="Arial"/>
        </w:rPr>
        <w:t>LCWIP</w:t>
      </w:r>
      <w:r w:rsidRPr="00852E14">
        <w:rPr>
          <w:rFonts w:cs="Arial"/>
        </w:rPr>
        <w:t xml:space="preserve"> aligns with the aims of these strategies</w:t>
      </w:r>
      <w:r w:rsidR="007E73EA">
        <w:rPr>
          <w:rFonts w:cs="Arial"/>
        </w:rPr>
        <w:t xml:space="preserve"> and the </w:t>
      </w:r>
      <w:r w:rsidR="007E73EA" w:rsidRPr="007E73EA">
        <w:rPr>
          <w:rFonts w:cs="Arial"/>
        </w:rPr>
        <w:t>Cycling and Walking Investment Strategy LTN 1/20</w:t>
      </w:r>
      <w:r w:rsidRPr="00852E14">
        <w:rPr>
          <w:rFonts w:cs="Arial"/>
        </w:rPr>
        <w:t>, by providing a variety of infrastructure proposals intended to promote active travel, improve safety, enhance health and wellbeing</w:t>
      </w:r>
      <w:r>
        <w:rPr>
          <w:rFonts w:cs="Arial"/>
        </w:rPr>
        <w:t>,</w:t>
      </w:r>
      <w:r w:rsidRPr="00852E14">
        <w:rPr>
          <w:rFonts w:cs="Arial"/>
        </w:rPr>
        <w:t xml:space="preserve"> and improve connectivity</w:t>
      </w:r>
      <w:r>
        <w:rPr>
          <w:rFonts w:cs="Arial"/>
        </w:rPr>
        <w:t>,</w:t>
      </w:r>
      <w:r w:rsidRPr="00852E14">
        <w:rPr>
          <w:rFonts w:cs="Arial"/>
        </w:rPr>
        <w:t xml:space="preserve"> across the borough. </w:t>
      </w:r>
    </w:p>
    <w:p w14:paraId="05345526" w14:textId="77777777" w:rsidR="00BB19E2" w:rsidRPr="00852E14" w:rsidRDefault="00BB19E2" w:rsidP="00BB19E2">
      <w:pPr>
        <w:spacing w:line="276" w:lineRule="auto"/>
        <w:rPr>
          <w:rFonts w:cs="Arial"/>
        </w:rPr>
      </w:pPr>
      <w:r w:rsidRPr="00852E14">
        <w:rPr>
          <w:rFonts w:cs="Arial"/>
        </w:rPr>
        <w:t>The LCWIP includes three deliverables:</w:t>
      </w:r>
    </w:p>
    <w:p w14:paraId="43B33E7D" w14:textId="77777777" w:rsidR="00BB19E2" w:rsidRPr="00852E14" w:rsidRDefault="00BB19E2" w:rsidP="0025036F">
      <w:pPr>
        <w:pStyle w:val="ListParagraph"/>
        <w:numPr>
          <w:ilvl w:val="0"/>
          <w:numId w:val="40"/>
        </w:numPr>
        <w:spacing w:before="0" w:after="160" w:line="276" w:lineRule="auto"/>
        <w:contextualSpacing/>
        <w:rPr>
          <w:rFonts w:cs="Arial"/>
        </w:rPr>
      </w:pPr>
      <w:r w:rsidRPr="00852E14">
        <w:rPr>
          <w:rFonts w:cs="Arial"/>
        </w:rPr>
        <w:t xml:space="preserve">Network maps for cycling and walking, before and after proposed interventions. </w:t>
      </w:r>
    </w:p>
    <w:p w14:paraId="4E711747" w14:textId="77777777" w:rsidR="00BB19E2" w:rsidRPr="00852E14" w:rsidRDefault="00BB19E2" w:rsidP="0025036F">
      <w:pPr>
        <w:pStyle w:val="ListParagraph"/>
        <w:numPr>
          <w:ilvl w:val="0"/>
          <w:numId w:val="40"/>
        </w:numPr>
        <w:spacing w:before="0" w:after="160" w:line="276" w:lineRule="auto"/>
        <w:contextualSpacing/>
        <w:rPr>
          <w:rFonts w:cs="Arial"/>
        </w:rPr>
      </w:pPr>
      <w:r w:rsidRPr="00852E14">
        <w:rPr>
          <w:rFonts w:cs="Arial"/>
        </w:rPr>
        <w:t xml:space="preserve">A prioritised list of proposed schemes with approximate costings. </w:t>
      </w:r>
    </w:p>
    <w:p w14:paraId="6396DEC6" w14:textId="77777777" w:rsidR="00BB19E2" w:rsidRPr="00852E14" w:rsidRDefault="00BB19E2" w:rsidP="0025036F">
      <w:pPr>
        <w:pStyle w:val="ListParagraph"/>
        <w:numPr>
          <w:ilvl w:val="0"/>
          <w:numId w:val="40"/>
        </w:numPr>
        <w:spacing w:before="0" w:after="160" w:line="276" w:lineRule="auto"/>
        <w:contextualSpacing/>
        <w:rPr>
          <w:rFonts w:cs="Arial"/>
        </w:rPr>
      </w:pPr>
      <w:r w:rsidRPr="00852E14">
        <w:rPr>
          <w:rFonts w:cs="Arial"/>
        </w:rPr>
        <w:t>A narrative report setting out the way the plan fits in with existing and complimentary Council strategies and commitments and helps realise the overall vision.</w:t>
      </w:r>
    </w:p>
    <w:p w14:paraId="2DED45EC" w14:textId="77777777" w:rsidR="00BB19E2" w:rsidRPr="00342319" w:rsidRDefault="00BB19E2" w:rsidP="00BB19E2">
      <w:pPr>
        <w:spacing w:line="276" w:lineRule="auto"/>
        <w:rPr>
          <w:rFonts w:cs="Arial"/>
          <w:u w:val="single"/>
        </w:rPr>
      </w:pPr>
      <w:r>
        <w:rPr>
          <w:rFonts w:cs="Arial"/>
          <w:u w:val="single"/>
        </w:rPr>
        <w:t>Cycling</w:t>
      </w:r>
    </w:p>
    <w:p w14:paraId="02A0291C" w14:textId="77777777" w:rsidR="00BB19E2" w:rsidRDefault="00BB19E2" w:rsidP="00BB19E2">
      <w:pPr>
        <w:spacing w:line="276" w:lineRule="auto"/>
        <w:rPr>
          <w:rFonts w:cs="Arial"/>
        </w:rPr>
      </w:pPr>
      <w:r w:rsidRPr="00852E14">
        <w:rPr>
          <w:rFonts w:cs="Arial"/>
        </w:rPr>
        <w:t>The overall ambition of the LCWIP is to provide segregated cycle lanes where feasible and appropriate for the context. Where this is not anticipated to be feasible, alternate facilities such as light segregation, shared footway, mandatory/advisory cycle lanes, or a quietway /</w:t>
      </w:r>
      <w:r>
        <w:rPr>
          <w:rFonts w:cs="Arial"/>
        </w:rPr>
        <w:t xml:space="preserve"> </w:t>
      </w:r>
      <w:r w:rsidRPr="00852E14">
        <w:rPr>
          <w:rFonts w:cs="Arial"/>
        </w:rPr>
        <w:t xml:space="preserve">healthier streets approach (in line with TfL) were considered. In the Slough context, the healthier streets package includes measures which lead to improvements in attractiveness, safety, and comfort of a route for cyclists and pedestrians. </w:t>
      </w:r>
    </w:p>
    <w:p w14:paraId="5555B764" w14:textId="2DC12F3E" w:rsidR="00BB19E2" w:rsidRDefault="00BB19E2" w:rsidP="00BB19E2">
      <w:pPr>
        <w:spacing w:line="276" w:lineRule="auto"/>
        <w:rPr>
          <w:rFonts w:cs="Arial"/>
        </w:rPr>
      </w:pPr>
      <w:r>
        <w:rPr>
          <w:rFonts w:cs="Arial"/>
        </w:rPr>
        <w:t xml:space="preserve">There are 10 priority cycle routes identified within the LCWIP, illustrated as a cycle network map. This map </w:t>
      </w:r>
      <w:r w:rsidRPr="00852E14">
        <w:rPr>
          <w:rFonts w:cs="Arial"/>
        </w:rPr>
        <w:t xml:space="preserve">was generated from a combination of outputs from the Propensity to Cycle Tool (PCT) and stakeholder input to define a Preliminary Network. This network was then subject to a Route Selection Tool assessment, to review routes based on directness, gradient, safety, connectivity and comfort. Low scores in regards to safety and comfort were further </w:t>
      </w:r>
      <w:r w:rsidR="00CC1A1E">
        <w:rPr>
          <w:rFonts w:cs="Arial"/>
        </w:rPr>
        <w:t>scoped</w:t>
      </w:r>
      <w:r w:rsidRPr="00852E14">
        <w:rPr>
          <w:rFonts w:cs="Arial"/>
        </w:rPr>
        <w:t xml:space="preserve"> to identify </w:t>
      </w:r>
      <w:r>
        <w:rPr>
          <w:rFonts w:cs="Arial"/>
        </w:rPr>
        <w:t xml:space="preserve">the </w:t>
      </w:r>
      <w:r w:rsidRPr="00852E14">
        <w:rPr>
          <w:rFonts w:cs="Arial"/>
        </w:rPr>
        <w:t xml:space="preserve">10 priority routes. </w:t>
      </w:r>
    </w:p>
    <w:p w14:paraId="54695537" w14:textId="77777777" w:rsidR="00BB19E2" w:rsidRDefault="00BB19E2" w:rsidP="00BB19E2">
      <w:pPr>
        <w:spacing w:line="276" w:lineRule="auto"/>
        <w:rPr>
          <w:rFonts w:cs="Arial"/>
        </w:rPr>
      </w:pPr>
      <w:r w:rsidRPr="008B385F">
        <w:rPr>
          <w:rFonts w:cs="Arial"/>
        </w:rPr>
        <w:t>Improved cycle routes have an indirect positive impact on air quality, as it encourages road users to choose an alternative mode of travel to private car, which results in a reduction of congestion and emissions. As such, improved cycle routes will feature within the AQAP.</w:t>
      </w:r>
    </w:p>
    <w:p w14:paraId="67F7004F" w14:textId="77777777" w:rsidR="00BB19E2" w:rsidRPr="00342319" w:rsidRDefault="00BB19E2" w:rsidP="00BB19E2">
      <w:pPr>
        <w:spacing w:line="276" w:lineRule="auto"/>
        <w:rPr>
          <w:rFonts w:cs="Arial"/>
          <w:u w:val="single"/>
        </w:rPr>
      </w:pPr>
      <w:r>
        <w:rPr>
          <w:rFonts w:cs="Arial"/>
          <w:u w:val="single"/>
        </w:rPr>
        <w:t>Walking</w:t>
      </w:r>
    </w:p>
    <w:p w14:paraId="09D3D508" w14:textId="77777777" w:rsidR="00BB19E2" w:rsidRDefault="00BB19E2" w:rsidP="00BB19E2">
      <w:pPr>
        <w:spacing w:line="276" w:lineRule="auto"/>
        <w:rPr>
          <w:rFonts w:cs="Arial"/>
        </w:rPr>
      </w:pPr>
      <w:r w:rsidRPr="00852E14">
        <w:rPr>
          <w:rFonts w:cs="Arial"/>
        </w:rPr>
        <w:t xml:space="preserve">A walking network has also been developed to provide access to key destinations and attractions, focusing on core walking zones in both the town centre and Slough Trading Estate. In total, 33 walking routes were identified and were each reviewed using the walking route audit tool (WRAT). The outputs of the WRAT informed the development of design measures to improve conditions for walking on low scoring segments, including but not limited to, installation of tactiles, new footways and crossings, bus shelter relocations and parking restraints. The proposed design measures for walking were then prioritised based on feasibility, deliverability, coherence, and anticipated impact. </w:t>
      </w:r>
    </w:p>
    <w:p w14:paraId="1EA050D3" w14:textId="77777777" w:rsidR="00BB19E2" w:rsidRPr="00852E14" w:rsidRDefault="00BB19E2" w:rsidP="00BB19E2">
      <w:pPr>
        <w:spacing w:line="276" w:lineRule="auto"/>
        <w:rPr>
          <w:rFonts w:cs="Arial"/>
        </w:rPr>
      </w:pPr>
      <w:r w:rsidRPr="008B385F">
        <w:rPr>
          <w:rFonts w:cs="Arial"/>
        </w:rPr>
        <w:t>Improving the walking environment for Slough’s residents will assist further in encouraging modal shift away from private vehicles.</w:t>
      </w:r>
    </w:p>
    <w:p w14:paraId="07497BFB" w14:textId="77777777" w:rsidR="00BB19E2" w:rsidRPr="00852E14" w:rsidRDefault="00BB19E2" w:rsidP="00BB19E2">
      <w:pPr>
        <w:spacing w:line="276" w:lineRule="auto"/>
        <w:rPr>
          <w:rFonts w:cs="Arial"/>
        </w:rPr>
      </w:pPr>
      <w:r w:rsidRPr="00852E14">
        <w:rPr>
          <w:rFonts w:cs="Arial"/>
        </w:rPr>
        <w:t>Going forward, the LCWIP proposes additional aspects which require further attention. This includes:</w:t>
      </w:r>
    </w:p>
    <w:p w14:paraId="2926110B"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Completing a full independent audit of existing and planned walking and cycling routes</w:t>
      </w:r>
    </w:p>
    <w:p w14:paraId="3468AA10"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Continued engagement with Planning regarding integration of the LCWIP into major development plans and to refine route design </w:t>
      </w:r>
    </w:p>
    <w:p w14:paraId="2E510433"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Seek opportunities through new development applications and planning process to improve uptake of walking and cycling, and obtain funding for projects</w:t>
      </w:r>
    </w:p>
    <w:p w14:paraId="751AF0F1"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Undertake service-wide prioritisation for all major infrastructure projects </w:t>
      </w:r>
    </w:p>
    <w:p w14:paraId="259A3448"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Maximise consultation to further establish links with wider strategies </w:t>
      </w:r>
    </w:p>
    <w:p w14:paraId="27D462D5"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Undertake PCT ongoing analysis and monitoring to measure the effectiveness of the network </w:t>
      </w:r>
    </w:p>
    <w:p w14:paraId="19E05375"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Liaise with Maintenance teams to sustain a high-quality network </w:t>
      </w:r>
    </w:p>
    <w:p w14:paraId="4DEE6D52"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Work collaboratively with project managers to ensure scheme designs align and support active travel</w:t>
      </w:r>
    </w:p>
    <w:p w14:paraId="4EE4B702" w14:textId="77777777" w:rsidR="00BB19E2" w:rsidRPr="00342319" w:rsidRDefault="00BB19E2" w:rsidP="0025036F">
      <w:pPr>
        <w:pStyle w:val="ListParagraph"/>
        <w:numPr>
          <w:ilvl w:val="0"/>
          <w:numId w:val="41"/>
        </w:numPr>
        <w:spacing w:before="0" w:after="160" w:line="276" w:lineRule="auto"/>
        <w:contextualSpacing/>
        <w:rPr>
          <w:rFonts w:cs="Arial"/>
        </w:rPr>
      </w:pPr>
      <w:r w:rsidRPr="00342319">
        <w:rPr>
          <w:rFonts w:cs="Arial"/>
        </w:rPr>
        <w:t xml:space="preserve">Production of a formal policy on mandatory and advisory cycle lanes should be developed and ratified </w:t>
      </w:r>
    </w:p>
    <w:p w14:paraId="374DA7DC" w14:textId="3443C7B7" w:rsidR="00BB19E2" w:rsidRPr="00C13051" w:rsidRDefault="00BB19E2" w:rsidP="00BB19E2">
      <w:pPr>
        <w:pStyle w:val="Heading3"/>
        <w:numPr>
          <w:ilvl w:val="0"/>
          <w:numId w:val="0"/>
        </w:numPr>
        <w:spacing w:before="0" w:after="0"/>
        <w:ind w:left="570" w:hanging="567"/>
      </w:pPr>
      <w:bookmarkStart w:id="378" w:name="_Toc160129623"/>
      <w:r>
        <w:t>2.</w:t>
      </w:r>
      <w:r w:rsidR="00EF0C21">
        <w:t>5</w:t>
      </w:r>
      <w:r>
        <w:t xml:space="preserve"> </w:t>
      </w:r>
      <w:r w:rsidRPr="00E879B8">
        <w:t>Carbon Management</w:t>
      </w:r>
      <w:r>
        <w:t xml:space="preserve"> and Climate Change</w:t>
      </w:r>
      <w:bookmarkEnd w:id="378"/>
      <w:r>
        <w:t xml:space="preserve"> </w:t>
      </w:r>
    </w:p>
    <w:p w14:paraId="392D7E7C" w14:textId="77777777" w:rsidR="00BB19E2" w:rsidRPr="00C41398" w:rsidRDefault="00BB19E2" w:rsidP="00C41398">
      <w:pPr>
        <w:spacing w:before="0" w:after="0"/>
        <w:rPr>
          <w:b/>
          <w:bCs/>
          <w:color w:val="008938"/>
        </w:rPr>
      </w:pPr>
      <w:r w:rsidRPr="00C41398">
        <w:rPr>
          <w:b/>
          <w:bCs/>
          <w:color w:val="008938"/>
        </w:rPr>
        <w:t xml:space="preserve">Climate Change Motion 2019 </w:t>
      </w:r>
    </w:p>
    <w:p w14:paraId="215A338A" w14:textId="77777777" w:rsidR="00BB19E2" w:rsidRPr="00E879B8" w:rsidRDefault="00BB19E2" w:rsidP="00BB19E2">
      <w:pPr>
        <w:pStyle w:val="Style1"/>
        <w:spacing w:line="276" w:lineRule="auto"/>
      </w:pPr>
      <w:r w:rsidRPr="00E879B8">
        <w:t>The climate change motion</w:t>
      </w:r>
      <w:r w:rsidRPr="00E879B8">
        <w:rPr>
          <w:rStyle w:val="FootnoteReference"/>
          <w:rFonts w:cs="Arial"/>
        </w:rPr>
        <w:footnoteReference w:id="37"/>
      </w:r>
      <w:r w:rsidRPr="00E879B8">
        <w:t xml:space="preserve"> stated:</w:t>
      </w:r>
    </w:p>
    <w:p w14:paraId="1C77FC78" w14:textId="77777777" w:rsidR="00BB19E2" w:rsidRPr="00E879B8" w:rsidRDefault="00BB19E2" w:rsidP="00BB19E2">
      <w:pPr>
        <w:pStyle w:val="Style1"/>
        <w:spacing w:line="276" w:lineRule="auto"/>
        <w:rPr>
          <w:i/>
          <w:iCs/>
        </w:rPr>
      </w:pPr>
      <w:r w:rsidRPr="00E879B8">
        <w:rPr>
          <w:i/>
          <w:iCs/>
        </w:rPr>
        <w:t xml:space="preserve">This Council notes the UK Government and Local Government Association’s declaration of a national ‘climate emergency’, recognises that there is a growing urgency for national and international action to combat climate change, and commits to developing a Climate Change Strategy and Action Plan that will address the causes and consequences of climate change in Slough by tackling 5 key objectives: </w:t>
      </w:r>
    </w:p>
    <w:p w14:paraId="421D3813" w14:textId="77777777" w:rsidR="00BB19E2" w:rsidRPr="00E879B8" w:rsidRDefault="00BB19E2" w:rsidP="00BB19E2">
      <w:pPr>
        <w:spacing w:after="0" w:line="276" w:lineRule="auto"/>
        <w:jc w:val="both"/>
        <w:rPr>
          <w:rFonts w:cs="Arial"/>
          <w:i/>
          <w:iCs/>
        </w:rPr>
      </w:pPr>
    </w:p>
    <w:p w14:paraId="75FCF862" w14:textId="77777777" w:rsidR="00BB19E2" w:rsidRPr="00C13051" w:rsidRDefault="00BB19E2" w:rsidP="0025036F">
      <w:pPr>
        <w:pStyle w:val="Style1"/>
        <w:numPr>
          <w:ilvl w:val="0"/>
          <w:numId w:val="42"/>
        </w:numPr>
        <w:spacing w:before="0" w:after="0" w:line="276" w:lineRule="auto"/>
        <w:rPr>
          <w:i/>
          <w:iCs/>
        </w:rPr>
      </w:pPr>
      <w:r w:rsidRPr="00C13051">
        <w:rPr>
          <w:i/>
          <w:iCs/>
        </w:rPr>
        <w:t xml:space="preserve">Reducing emissions from our estate and operations </w:t>
      </w:r>
    </w:p>
    <w:p w14:paraId="04D1AC62" w14:textId="77777777" w:rsidR="00BB19E2" w:rsidRPr="00C13051" w:rsidRDefault="00BB19E2" w:rsidP="0025036F">
      <w:pPr>
        <w:pStyle w:val="Style1"/>
        <w:numPr>
          <w:ilvl w:val="0"/>
          <w:numId w:val="42"/>
        </w:numPr>
        <w:spacing w:before="0" w:after="0" w:line="276" w:lineRule="auto"/>
        <w:rPr>
          <w:i/>
          <w:iCs/>
        </w:rPr>
      </w:pPr>
      <w:r w:rsidRPr="00C13051">
        <w:rPr>
          <w:i/>
          <w:iCs/>
        </w:rPr>
        <w:t xml:space="preserve">Reducing energy consumption and emissions by promoting energy efficiency measures, sustainable construction, renewable energy sources, and behaviour change </w:t>
      </w:r>
    </w:p>
    <w:p w14:paraId="7ACEEAEA" w14:textId="77777777" w:rsidR="00BB19E2" w:rsidRPr="00C13051" w:rsidRDefault="00BB19E2" w:rsidP="0025036F">
      <w:pPr>
        <w:pStyle w:val="Style1"/>
        <w:numPr>
          <w:ilvl w:val="0"/>
          <w:numId w:val="42"/>
        </w:numPr>
        <w:spacing w:before="0" w:after="0" w:line="276" w:lineRule="auto"/>
        <w:rPr>
          <w:i/>
          <w:iCs/>
        </w:rPr>
      </w:pPr>
      <w:r w:rsidRPr="00C13051">
        <w:rPr>
          <w:i/>
          <w:iCs/>
        </w:rPr>
        <w:t xml:space="preserve">Reducing emissions from transport by promoting sustainable transport, reducing car travel and traffic congestion, and encouraging behaviour change </w:t>
      </w:r>
    </w:p>
    <w:p w14:paraId="6F16FF80" w14:textId="77777777" w:rsidR="00BB19E2" w:rsidRPr="00C13051" w:rsidRDefault="00BB19E2" w:rsidP="0025036F">
      <w:pPr>
        <w:pStyle w:val="Style1"/>
        <w:numPr>
          <w:ilvl w:val="0"/>
          <w:numId w:val="42"/>
        </w:numPr>
        <w:spacing w:before="0" w:after="0" w:line="276" w:lineRule="auto"/>
        <w:rPr>
          <w:i/>
          <w:iCs/>
        </w:rPr>
      </w:pPr>
      <w:r w:rsidRPr="00C13051">
        <w:rPr>
          <w:i/>
          <w:iCs/>
        </w:rPr>
        <w:t xml:space="preserve">Reducing consumption of resources, increasing recycling and reducing waste </w:t>
      </w:r>
    </w:p>
    <w:p w14:paraId="6054D24D" w14:textId="77777777" w:rsidR="00BB19E2" w:rsidRPr="00C13051" w:rsidRDefault="00BB19E2" w:rsidP="0025036F">
      <w:pPr>
        <w:pStyle w:val="Style1"/>
        <w:numPr>
          <w:ilvl w:val="0"/>
          <w:numId w:val="42"/>
        </w:numPr>
        <w:spacing w:before="0" w:after="0" w:line="276" w:lineRule="auto"/>
        <w:rPr>
          <w:i/>
          <w:iCs/>
        </w:rPr>
      </w:pPr>
      <w:r w:rsidRPr="00C13051">
        <w:rPr>
          <w:i/>
          <w:iCs/>
        </w:rPr>
        <w:t>Supporting Council services, residents and businesses to adapt to the impacts of climate change.</w:t>
      </w:r>
    </w:p>
    <w:p w14:paraId="3114B71B" w14:textId="77777777" w:rsidR="00BB19E2" w:rsidRDefault="00BB19E2" w:rsidP="00BB19E2">
      <w:pPr>
        <w:pStyle w:val="Style1"/>
        <w:spacing w:before="0" w:after="0" w:line="276" w:lineRule="auto"/>
      </w:pPr>
    </w:p>
    <w:p w14:paraId="02C14634" w14:textId="77777777" w:rsidR="00BB19E2" w:rsidRDefault="00BB19E2" w:rsidP="00BB19E2">
      <w:pPr>
        <w:pStyle w:val="Style1"/>
        <w:spacing w:before="0" w:after="0" w:line="276" w:lineRule="auto"/>
      </w:pPr>
      <w:r w:rsidRPr="008B385F">
        <w:t>There are clear links between the Climate Change Motion and air quality, as both share a common theme in reducing transport emissions through a reduction of car travel and congestion, primarily achieved through behaviour change measures.</w:t>
      </w:r>
      <w:r w:rsidRPr="00E879B8">
        <w:t xml:space="preserve"> </w:t>
      </w:r>
    </w:p>
    <w:p w14:paraId="4BAEDFA1" w14:textId="77777777" w:rsidR="00BB19E2" w:rsidRPr="00E879B8" w:rsidRDefault="00BB19E2" w:rsidP="00BB19E2">
      <w:pPr>
        <w:pStyle w:val="Style1"/>
        <w:spacing w:before="0" w:after="0" w:line="276" w:lineRule="auto"/>
      </w:pPr>
    </w:p>
    <w:p w14:paraId="0EC5F9D0" w14:textId="77777777" w:rsidR="00BB19E2" w:rsidRPr="00C41398" w:rsidRDefault="00BB19E2" w:rsidP="00C41398">
      <w:pPr>
        <w:spacing w:before="0" w:after="0"/>
        <w:rPr>
          <w:b/>
          <w:bCs/>
          <w:color w:val="008938"/>
        </w:rPr>
      </w:pPr>
      <w:r w:rsidRPr="00C41398">
        <w:rPr>
          <w:b/>
          <w:bCs/>
          <w:color w:val="008938"/>
        </w:rPr>
        <w:t>Carbon Management Plan 2020-2030</w:t>
      </w:r>
    </w:p>
    <w:p w14:paraId="5C0D4E44" w14:textId="77777777" w:rsidR="00BB19E2" w:rsidRPr="00C13051" w:rsidRDefault="00BB19E2" w:rsidP="00BB19E2">
      <w:pPr>
        <w:spacing w:after="0" w:line="276" w:lineRule="auto"/>
        <w:contextualSpacing/>
      </w:pPr>
    </w:p>
    <w:p w14:paraId="05807F44" w14:textId="77777777" w:rsidR="00BB19E2" w:rsidRDefault="00BB19E2" w:rsidP="00BB19E2">
      <w:pPr>
        <w:pStyle w:val="Style1"/>
        <w:spacing w:before="0" w:after="0" w:line="276" w:lineRule="auto"/>
      </w:pPr>
      <w:r w:rsidRPr="00E879B8">
        <w:t>The Carbon Management Plan</w:t>
      </w:r>
      <w:r w:rsidRPr="00E879B8">
        <w:rPr>
          <w:rStyle w:val="FootnoteReference"/>
          <w:rFonts w:cs="Arial"/>
        </w:rPr>
        <w:footnoteReference w:id="38"/>
      </w:r>
      <w:r w:rsidRPr="00E879B8">
        <w:t xml:space="preserve"> sets out the ambitions of the Council in reducing and mitigating the carbon emissions from Council activities and assets, with an overall aim of achieving the following outcomes over the next 10 years: </w:t>
      </w:r>
    </w:p>
    <w:p w14:paraId="2D9F1125" w14:textId="77777777" w:rsidR="00BB19E2" w:rsidRPr="00E879B8" w:rsidRDefault="00BB19E2" w:rsidP="00BB19E2">
      <w:pPr>
        <w:pStyle w:val="Style1"/>
        <w:spacing w:before="0" w:after="0" w:line="276" w:lineRule="auto"/>
      </w:pPr>
    </w:p>
    <w:p w14:paraId="4A61902F" w14:textId="77777777" w:rsidR="00BB19E2" w:rsidRPr="00E879B8" w:rsidRDefault="00BB19E2" w:rsidP="0025036F">
      <w:pPr>
        <w:pStyle w:val="Style1"/>
        <w:numPr>
          <w:ilvl w:val="0"/>
          <w:numId w:val="43"/>
        </w:numPr>
        <w:spacing w:before="0" w:after="0" w:line="276" w:lineRule="auto"/>
      </w:pPr>
      <w:r w:rsidRPr="00E879B8">
        <w:rPr>
          <w:b/>
          <w:bCs/>
        </w:rPr>
        <w:t>Outcome 1:</w:t>
      </w:r>
      <w:r w:rsidRPr="00E879B8">
        <w:t xml:space="preserve"> A 10% reduction of CO</w:t>
      </w:r>
      <w:r w:rsidRPr="00E879B8">
        <w:rPr>
          <w:vertAlign w:val="subscript"/>
        </w:rPr>
        <w:t>2</w:t>
      </w:r>
      <w:r w:rsidRPr="00E879B8">
        <w:t xml:space="preserve">e net emissions per annum of all Council operations by 2029/30 relative to 2018/19.      </w:t>
      </w:r>
    </w:p>
    <w:p w14:paraId="1BE52974" w14:textId="77777777" w:rsidR="00BB19E2" w:rsidRPr="00E879B8" w:rsidRDefault="00BB19E2" w:rsidP="0025036F">
      <w:pPr>
        <w:pStyle w:val="Style1"/>
        <w:numPr>
          <w:ilvl w:val="0"/>
          <w:numId w:val="43"/>
        </w:numPr>
        <w:spacing w:before="0" w:after="0" w:line="276" w:lineRule="auto"/>
      </w:pPr>
      <w:r w:rsidRPr="00E879B8">
        <w:rPr>
          <w:b/>
          <w:bCs/>
        </w:rPr>
        <w:t>Outcome 2:</w:t>
      </w:r>
      <w:r w:rsidRPr="00E879B8">
        <w:t xml:space="preserve"> A 100% reduction of CO</w:t>
      </w:r>
      <w:r w:rsidRPr="00E879B8">
        <w:rPr>
          <w:vertAlign w:val="subscript"/>
        </w:rPr>
        <w:t>2</w:t>
      </w:r>
      <w:r w:rsidRPr="00E879B8">
        <w:t xml:space="preserve">e net emissions by 2029/30 against the 2018/19 baseline.   </w:t>
      </w:r>
    </w:p>
    <w:p w14:paraId="4173FA77" w14:textId="77777777" w:rsidR="00BB19E2" w:rsidRPr="00E879B8" w:rsidRDefault="00BB19E2" w:rsidP="0025036F">
      <w:pPr>
        <w:pStyle w:val="Style1"/>
        <w:numPr>
          <w:ilvl w:val="0"/>
          <w:numId w:val="43"/>
        </w:numPr>
        <w:spacing w:before="0" w:after="0" w:line="276" w:lineRule="auto"/>
      </w:pPr>
      <w:r w:rsidRPr="00E879B8">
        <w:rPr>
          <w:b/>
          <w:bCs/>
        </w:rPr>
        <w:t>Outcome 3:</w:t>
      </w:r>
      <w:r w:rsidRPr="00E879B8">
        <w:t xml:space="preserve"> A reduction of 10.5 tonnes CO</w:t>
      </w:r>
      <w:r w:rsidRPr="00E879B8">
        <w:rPr>
          <w:vertAlign w:val="subscript"/>
        </w:rPr>
        <w:t>2</w:t>
      </w:r>
      <w:r w:rsidRPr="00E879B8">
        <w:t>e to 0 tonnes per Full Time Equivalent Employee (FTE) by 2029/30.</w:t>
      </w:r>
    </w:p>
    <w:p w14:paraId="195C9155" w14:textId="77777777" w:rsidR="00BB19E2" w:rsidRDefault="00BB19E2" w:rsidP="0025036F">
      <w:pPr>
        <w:pStyle w:val="Style1"/>
        <w:numPr>
          <w:ilvl w:val="0"/>
          <w:numId w:val="43"/>
        </w:numPr>
        <w:spacing w:before="0" w:after="0" w:line="276" w:lineRule="auto"/>
      </w:pPr>
      <w:r w:rsidRPr="00E879B8">
        <w:rPr>
          <w:b/>
          <w:bCs/>
        </w:rPr>
        <w:t>Outcome 4</w:t>
      </w:r>
      <w:r w:rsidRPr="00E879B8">
        <w:rPr>
          <w:b/>
          <w:bCs/>
          <w:color w:val="000000" w:themeColor="text1"/>
        </w:rPr>
        <w:t>:</w:t>
      </w:r>
      <w:r w:rsidRPr="00E879B8">
        <w:rPr>
          <w:color w:val="000000" w:themeColor="text1"/>
        </w:rPr>
        <w:t xml:space="preserve"> A revenue saving of 10% over lifetime of the plan against 2018/19 baseline operating costs for the Council</w:t>
      </w:r>
    </w:p>
    <w:p w14:paraId="0F402527" w14:textId="77777777" w:rsidR="00BB19E2" w:rsidRDefault="00BB19E2" w:rsidP="00BB19E2">
      <w:pPr>
        <w:pStyle w:val="Style1"/>
        <w:spacing w:before="0" w:after="0" w:line="276" w:lineRule="auto"/>
        <w:rPr>
          <w:b/>
          <w:bCs/>
        </w:rPr>
      </w:pPr>
    </w:p>
    <w:p w14:paraId="2ADDF048" w14:textId="77777777" w:rsidR="00BB19E2" w:rsidRDefault="00BB19E2" w:rsidP="00BB19E2">
      <w:pPr>
        <w:pStyle w:val="Style1"/>
        <w:spacing w:before="0" w:after="0" w:line="276" w:lineRule="auto"/>
      </w:pPr>
      <w:r w:rsidRPr="00E879B8">
        <w:t xml:space="preserve">The Carbon Management Plan builds upon existing local and national policy, the previous Carbon Management Plan (2015-2020) and the Climate </w:t>
      </w:r>
      <w:r>
        <w:t>C</w:t>
      </w:r>
      <w:r w:rsidRPr="00E879B8">
        <w:t xml:space="preserve">hange Motion </w:t>
      </w:r>
      <w:r>
        <w:t>(</w:t>
      </w:r>
      <w:r w:rsidRPr="00E879B8">
        <w:t>2019</w:t>
      </w:r>
      <w:r>
        <w:t>)</w:t>
      </w:r>
      <w:r w:rsidRPr="00E879B8">
        <w:t xml:space="preserve">. The plan sets out </w:t>
      </w:r>
      <w:r>
        <w:t>six</w:t>
      </w:r>
      <w:r w:rsidRPr="00E879B8">
        <w:t xml:space="preserve"> key priorities:</w:t>
      </w:r>
    </w:p>
    <w:p w14:paraId="1F57CCF4" w14:textId="77777777" w:rsidR="00BB19E2" w:rsidRPr="00E879B8" w:rsidRDefault="00BB19E2" w:rsidP="00BB19E2">
      <w:pPr>
        <w:pStyle w:val="Style1"/>
        <w:spacing w:before="0" w:after="0" w:line="276" w:lineRule="auto"/>
      </w:pPr>
    </w:p>
    <w:p w14:paraId="065E7B78" w14:textId="77777777" w:rsidR="00BB19E2" w:rsidRPr="00E879B8" w:rsidRDefault="00BB19E2" w:rsidP="0025036F">
      <w:pPr>
        <w:pStyle w:val="Style1"/>
        <w:numPr>
          <w:ilvl w:val="0"/>
          <w:numId w:val="44"/>
        </w:numPr>
        <w:spacing w:before="0" w:after="0" w:line="276" w:lineRule="auto"/>
      </w:pPr>
      <w:r w:rsidRPr="00E879B8">
        <w:t>Reduce CO</w:t>
      </w:r>
      <w:r w:rsidRPr="00965202">
        <w:rPr>
          <w:vertAlign w:val="subscript"/>
        </w:rPr>
        <w:t>2</w:t>
      </w:r>
      <w:r w:rsidRPr="00E879B8">
        <w:t> emissions from energy consumption across all Council operations</w:t>
      </w:r>
    </w:p>
    <w:p w14:paraId="71B3615D" w14:textId="77777777" w:rsidR="00BB19E2" w:rsidRPr="00E879B8" w:rsidRDefault="00BB19E2" w:rsidP="0025036F">
      <w:pPr>
        <w:pStyle w:val="Style1"/>
        <w:numPr>
          <w:ilvl w:val="0"/>
          <w:numId w:val="44"/>
        </w:numPr>
        <w:spacing w:before="0" w:after="0" w:line="276" w:lineRule="auto"/>
      </w:pPr>
      <w:r w:rsidRPr="00E879B8">
        <w:t>Reduce energy consumption revenue costs across all Council operations</w:t>
      </w:r>
    </w:p>
    <w:p w14:paraId="09AB2486" w14:textId="77777777" w:rsidR="00BB19E2" w:rsidRPr="00E879B8" w:rsidRDefault="00BB19E2" w:rsidP="0025036F">
      <w:pPr>
        <w:pStyle w:val="Style1"/>
        <w:numPr>
          <w:ilvl w:val="0"/>
          <w:numId w:val="44"/>
        </w:numPr>
        <w:spacing w:before="0" w:after="0" w:line="276" w:lineRule="auto"/>
      </w:pPr>
      <w:r w:rsidRPr="00E879B8">
        <w:t>Embed carbon management in the Council’s policies and procedures</w:t>
      </w:r>
    </w:p>
    <w:p w14:paraId="05A4E659" w14:textId="77777777" w:rsidR="00BB19E2" w:rsidRPr="00E879B8" w:rsidRDefault="00BB19E2" w:rsidP="0025036F">
      <w:pPr>
        <w:pStyle w:val="Style1"/>
        <w:numPr>
          <w:ilvl w:val="0"/>
          <w:numId w:val="44"/>
        </w:numPr>
        <w:spacing w:before="0" w:after="0" w:line="276" w:lineRule="auto"/>
      </w:pPr>
      <w:r w:rsidRPr="00E879B8">
        <w:t>Raise awareness of carbon management among staff through the Environmental Strategic Board</w:t>
      </w:r>
      <w:r>
        <w:t>,</w:t>
      </w:r>
      <w:r w:rsidRPr="00E879B8">
        <w:t xml:space="preserve"> to reduce carbon emissions and energy consumption</w:t>
      </w:r>
    </w:p>
    <w:p w14:paraId="2225AA9E" w14:textId="77777777" w:rsidR="00BB19E2" w:rsidRPr="00E879B8" w:rsidRDefault="00BB19E2" w:rsidP="0025036F">
      <w:pPr>
        <w:pStyle w:val="Style1"/>
        <w:numPr>
          <w:ilvl w:val="0"/>
          <w:numId w:val="44"/>
        </w:numPr>
        <w:spacing w:before="0" w:after="0" w:line="276" w:lineRule="auto"/>
      </w:pPr>
      <w:r w:rsidRPr="00E879B8">
        <w:t>Incorporate high standards of energy efficiency into new buildings, equipment and contracts</w:t>
      </w:r>
    </w:p>
    <w:p w14:paraId="1A0F316A" w14:textId="77777777" w:rsidR="00BB19E2" w:rsidRDefault="00BB19E2" w:rsidP="0025036F">
      <w:pPr>
        <w:pStyle w:val="Style1"/>
        <w:numPr>
          <w:ilvl w:val="0"/>
          <w:numId w:val="44"/>
        </w:numPr>
        <w:spacing w:before="0" w:after="0" w:line="276" w:lineRule="auto"/>
      </w:pPr>
      <w:r w:rsidRPr="00E879B8">
        <w:t>Incorporate carbon intensity into the procurement of goods and services</w:t>
      </w:r>
    </w:p>
    <w:p w14:paraId="53E763F5" w14:textId="77777777" w:rsidR="00BB19E2" w:rsidRPr="00E879B8" w:rsidRDefault="00BB19E2" w:rsidP="00BB19E2">
      <w:pPr>
        <w:pStyle w:val="Style1"/>
        <w:spacing w:before="0" w:after="0" w:line="276" w:lineRule="auto"/>
        <w:ind w:left="360"/>
      </w:pPr>
    </w:p>
    <w:p w14:paraId="6EF28D89" w14:textId="77777777" w:rsidR="00BB19E2" w:rsidRDefault="00BB19E2" w:rsidP="00BB19E2">
      <w:pPr>
        <w:pStyle w:val="Style1"/>
        <w:spacing w:before="0" w:after="0" w:line="276" w:lineRule="auto"/>
      </w:pPr>
      <w:r w:rsidRPr="00E879B8">
        <w:t>Many measures described in the Carbon Management Plan interlink with air quality aspirations. Priority 1 includes key actions to reduce emissions such as ‘</w:t>
      </w:r>
      <w:r>
        <w:t>t</w:t>
      </w:r>
      <w:r w:rsidRPr="00E879B8">
        <w:t>ake all opportunities during refurbishment works to install the most energy efficient plant and use the most energy efficient building operation methods, include energy efficiency into the Asset Management Plan</w:t>
      </w:r>
      <w:r>
        <w:t xml:space="preserve">, </w:t>
      </w:r>
      <w:r w:rsidRPr="00E879B8">
        <w:t xml:space="preserve">and develop a sustainable energy model/plan.’ This, alongside measures outlined under priority 5 regarding energy efficiency, are likely to result in cleaner plant being used and reducing the overall background concentration of air pollutants. </w:t>
      </w:r>
    </w:p>
    <w:p w14:paraId="6A2CB14F" w14:textId="77777777" w:rsidR="00BB19E2" w:rsidRPr="00E879B8" w:rsidRDefault="00BB19E2" w:rsidP="00BB19E2">
      <w:pPr>
        <w:pStyle w:val="Style1"/>
        <w:spacing w:before="0" w:after="0" w:line="276" w:lineRule="auto"/>
        <w:rPr>
          <w:color w:val="FF0000"/>
        </w:rPr>
      </w:pPr>
    </w:p>
    <w:p w14:paraId="4F9B1D4F" w14:textId="77777777" w:rsidR="00BB19E2" w:rsidRDefault="00BB19E2" w:rsidP="00BB19E2">
      <w:pPr>
        <w:pStyle w:val="Style1"/>
        <w:spacing w:before="0" w:after="0" w:line="276" w:lineRule="auto"/>
      </w:pPr>
      <w:r w:rsidRPr="00E879B8">
        <w:t>Priority 4 recognises that staff travel to, from and during work, which adds a significant amount of carbon to the Council’s overall operations. There are two key actions under priority 4 which are also applicable to air quality improvements:</w:t>
      </w:r>
    </w:p>
    <w:p w14:paraId="0CC031F9" w14:textId="77777777" w:rsidR="00BB19E2" w:rsidRPr="00E879B8" w:rsidRDefault="00BB19E2" w:rsidP="00BB19E2">
      <w:pPr>
        <w:pStyle w:val="Style1"/>
        <w:spacing w:before="0" w:after="0" w:line="276" w:lineRule="auto"/>
      </w:pPr>
    </w:p>
    <w:p w14:paraId="4449E1DE" w14:textId="77777777" w:rsidR="00BB19E2" w:rsidRPr="00E879B8" w:rsidRDefault="00BB19E2" w:rsidP="0025036F">
      <w:pPr>
        <w:pStyle w:val="Style1"/>
        <w:numPr>
          <w:ilvl w:val="0"/>
          <w:numId w:val="45"/>
        </w:numPr>
        <w:spacing w:before="0" w:after="0" w:line="276" w:lineRule="auto"/>
      </w:pPr>
      <w:r w:rsidRPr="00E879B8">
        <w:t xml:space="preserve">Use Environmental Strategic Board and Green Champions Group to engage staff around carbon management, reducing corporate waste and reducing energy consumption. </w:t>
      </w:r>
    </w:p>
    <w:p w14:paraId="616AD544" w14:textId="77777777" w:rsidR="00BB19E2" w:rsidRPr="00E879B8" w:rsidRDefault="00BB19E2" w:rsidP="0025036F">
      <w:pPr>
        <w:pStyle w:val="Style1"/>
        <w:numPr>
          <w:ilvl w:val="0"/>
          <w:numId w:val="45"/>
        </w:numPr>
        <w:spacing w:before="0" w:after="0" w:line="276" w:lineRule="auto"/>
      </w:pPr>
      <w:r w:rsidRPr="00E879B8">
        <w:t xml:space="preserve">Provide additional measures to encourage staff to travel more sustainably including cycle training and the implementation of additional staff electric pool cars. </w:t>
      </w:r>
    </w:p>
    <w:p w14:paraId="5A8486D1" w14:textId="77777777" w:rsidR="00BB19E2" w:rsidRDefault="00BB19E2" w:rsidP="00BB19E2">
      <w:pPr>
        <w:pStyle w:val="Style1"/>
        <w:spacing w:before="0" w:after="0" w:line="276" w:lineRule="auto"/>
      </w:pPr>
    </w:p>
    <w:p w14:paraId="2934D618" w14:textId="77777777" w:rsidR="00BB19E2" w:rsidRPr="00E879B8" w:rsidRDefault="00BB19E2" w:rsidP="00BB19E2">
      <w:pPr>
        <w:pStyle w:val="Style1"/>
        <w:spacing w:before="0" w:after="0" w:line="276" w:lineRule="auto"/>
      </w:pPr>
      <w:r w:rsidRPr="00E879B8">
        <w:t xml:space="preserve">The Environmental Strategic Board was disbanded in 2021 following the </w:t>
      </w:r>
      <w:r>
        <w:t>C</w:t>
      </w:r>
      <w:r w:rsidRPr="00E879B8">
        <w:t xml:space="preserve">ouncil wide restructure and Section 114 notice, however the communication of carbon and air quality awareness to </w:t>
      </w:r>
      <w:r>
        <w:t>C</w:t>
      </w:r>
      <w:r w:rsidRPr="00E879B8">
        <w:t xml:space="preserve">ouncil staff will remain a priority within the AQAP. </w:t>
      </w:r>
    </w:p>
    <w:p w14:paraId="6B062C36" w14:textId="77777777" w:rsidR="00BB19E2" w:rsidRDefault="00BB19E2" w:rsidP="00BB19E2">
      <w:pPr>
        <w:pStyle w:val="Style1"/>
        <w:spacing w:before="0" w:after="0" w:line="276" w:lineRule="auto"/>
      </w:pPr>
    </w:p>
    <w:p w14:paraId="66DAF71F" w14:textId="77777777" w:rsidR="00BB19E2" w:rsidRPr="00E879B8" w:rsidRDefault="00BB19E2" w:rsidP="00BB19E2">
      <w:pPr>
        <w:pStyle w:val="Style1"/>
        <w:spacing w:before="0" w:after="0" w:line="276" w:lineRule="auto"/>
      </w:pPr>
      <w:r w:rsidRPr="00E879B8">
        <w:t xml:space="preserve">Priority 6 covers activities outsourced by the Council, which is a major source of greenhouse gas emissions. The resulting key action is to have tenderers and bidders quantify and mitigate the impact on the Council’s carbon emissions as part of any procurement. This can have a positive indirect effect on air quality. </w:t>
      </w:r>
    </w:p>
    <w:p w14:paraId="7947427D" w14:textId="77777777" w:rsidR="00BB19E2" w:rsidRDefault="00BB19E2" w:rsidP="00BB19E2">
      <w:pPr>
        <w:pStyle w:val="Heading3"/>
        <w:numPr>
          <w:ilvl w:val="0"/>
          <w:numId w:val="0"/>
        </w:numPr>
        <w:spacing w:before="0" w:after="0"/>
        <w:ind w:left="570" w:hanging="567"/>
      </w:pPr>
    </w:p>
    <w:p w14:paraId="3DCEBAA2" w14:textId="77777777" w:rsidR="00BB19E2" w:rsidRPr="00C41398" w:rsidRDefault="00BB19E2" w:rsidP="00C41398">
      <w:pPr>
        <w:spacing w:before="0" w:after="0"/>
        <w:rPr>
          <w:b/>
          <w:bCs/>
          <w:color w:val="008938"/>
        </w:rPr>
      </w:pPr>
      <w:r w:rsidRPr="00C41398">
        <w:rPr>
          <w:b/>
          <w:bCs/>
          <w:color w:val="008938"/>
        </w:rPr>
        <w:t xml:space="preserve">RE:FIT Programme </w:t>
      </w:r>
    </w:p>
    <w:p w14:paraId="3EDAB131" w14:textId="77777777" w:rsidR="00BB19E2" w:rsidRPr="00E879B8" w:rsidRDefault="00BB19E2" w:rsidP="00BB19E2">
      <w:pPr>
        <w:pStyle w:val="Style1"/>
        <w:spacing w:after="0" w:line="276" w:lineRule="auto"/>
      </w:pPr>
      <w:r w:rsidRPr="00E879B8">
        <w:t xml:space="preserve">RE:FIT is a retrofitting programme to provide a model for public bodies wishing to implement energy efficiency and local energy generation measures to their buildings or estate. The first RE:FIT framework to deliver the programme was created in 2010, building on experiences with pilot BEEP (Building Energy Efficiency Programme) which was in place from 2009 to 2010. It streamlines the procurement process for energy services by providing pre-negotiated, EU-regulation-compliant contracts that can be used with a specific group of qualified Energy Service Companies (ESCos) to identify and implement energy efficiency measures, enabling organisations to cut running costs, energy consumption and carbon emissions. </w:t>
      </w:r>
      <w:r>
        <w:t>Such measures include but are not limited to i</w:t>
      </w:r>
      <w:r w:rsidRPr="00E879B8">
        <w:t>nsulation and building fabric improvements, replacement or upgrading of mechanical and electrical services equipment, water saving devices and the installation of bespoke energy efficiency and generation measures. It may also include services to support projects such as ongoing maintenance and operation services and potentially financing, or part financing, of projects.</w:t>
      </w:r>
    </w:p>
    <w:p w14:paraId="66CC848F" w14:textId="77777777" w:rsidR="00BB19E2" w:rsidRDefault="00BB19E2" w:rsidP="00BB19E2">
      <w:pPr>
        <w:pStyle w:val="Style1"/>
        <w:spacing w:before="0" w:after="0" w:line="276" w:lineRule="auto"/>
      </w:pPr>
    </w:p>
    <w:p w14:paraId="4F064108" w14:textId="77777777" w:rsidR="00BB19E2" w:rsidRPr="00E879B8" w:rsidRDefault="00BB19E2" w:rsidP="00BB19E2">
      <w:pPr>
        <w:pStyle w:val="Style1"/>
        <w:spacing w:before="0" w:after="0" w:line="276" w:lineRule="auto"/>
      </w:pPr>
      <w:r w:rsidRPr="00E879B8">
        <w:t>The Council has been enacting the programme to improve the energy efficiency of its corporate building estate, using the ESCo Ameresco</w:t>
      </w:r>
      <w:r>
        <w:t>, to refurbish and retrofit Council owned assets to make them more energy efficient to reduce carbon and operating costs</w:t>
      </w:r>
      <w:r w:rsidRPr="00E879B8">
        <w:t xml:space="preserve">. </w:t>
      </w:r>
      <w:r>
        <w:t xml:space="preserve">Since implementation of the S114 notice however, this project has been on hold. It is anticipated that when resource and funding become available, the RE:FIT project will recommence. </w:t>
      </w:r>
    </w:p>
    <w:p w14:paraId="3DF9BD01" w14:textId="77777777" w:rsidR="00BB19E2" w:rsidRDefault="00BB19E2" w:rsidP="00BB19E2">
      <w:pPr>
        <w:pStyle w:val="Style1"/>
        <w:spacing w:before="0" w:after="0" w:line="276" w:lineRule="auto"/>
      </w:pPr>
    </w:p>
    <w:p w14:paraId="30D494D3" w14:textId="77777777" w:rsidR="00BB19E2" w:rsidRDefault="00BB19E2" w:rsidP="00BB19E2">
      <w:pPr>
        <w:pStyle w:val="Style1"/>
        <w:spacing w:before="0" w:after="0" w:line="276" w:lineRule="auto"/>
      </w:pPr>
      <w:r w:rsidRPr="008B385F">
        <w:t>Improving energy efficiency results in reduced fossil fuel power generation and subsequently cleaner air.</w:t>
      </w:r>
      <w:r w:rsidRPr="00E879B8">
        <w:t xml:space="preserve"> </w:t>
      </w:r>
    </w:p>
    <w:p w14:paraId="665E24BD" w14:textId="77777777" w:rsidR="00BB19E2" w:rsidRPr="00E879B8" w:rsidRDefault="00BB19E2" w:rsidP="00BB19E2">
      <w:pPr>
        <w:pStyle w:val="Style1"/>
        <w:spacing w:before="0" w:after="0" w:line="276" w:lineRule="auto"/>
      </w:pPr>
    </w:p>
    <w:p w14:paraId="44B44871" w14:textId="77777777" w:rsidR="00BB19E2" w:rsidRPr="00C41398" w:rsidRDefault="00BB19E2" w:rsidP="00C41398">
      <w:pPr>
        <w:spacing w:before="0" w:after="0"/>
        <w:rPr>
          <w:b/>
          <w:bCs/>
          <w:color w:val="008938"/>
        </w:rPr>
      </w:pPr>
      <w:r w:rsidRPr="00C41398">
        <w:rPr>
          <w:b/>
          <w:bCs/>
          <w:color w:val="008938"/>
        </w:rPr>
        <w:t xml:space="preserve">Fleet Challenge </w:t>
      </w:r>
    </w:p>
    <w:p w14:paraId="534BF276" w14:textId="77777777" w:rsidR="00BB19E2" w:rsidRPr="00E879B8" w:rsidRDefault="00BB19E2" w:rsidP="00BB19E2">
      <w:pPr>
        <w:pStyle w:val="Style1"/>
        <w:spacing w:line="276" w:lineRule="auto"/>
      </w:pPr>
      <w:r w:rsidRPr="00E879B8">
        <w:t xml:space="preserve">Introduced in 2017, Fleet Challenge </w:t>
      </w:r>
      <w:r>
        <w:t xml:space="preserve">is a </w:t>
      </w:r>
      <w:r w:rsidRPr="00E879B8">
        <w:t xml:space="preserve">programme </w:t>
      </w:r>
      <w:r>
        <w:t>which aims to</w:t>
      </w:r>
      <w:r w:rsidRPr="00E879B8">
        <w:t xml:space="preserve"> of decarbonis</w:t>
      </w:r>
      <w:r>
        <w:t>e</w:t>
      </w:r>
      <w:r w:rsidRPr="00E879B8">
        <w:t xml:space="preserve"> SBC’s fleet by promoting low emission vehicles, while reducing revenue expenditure from mileage claims. </w:t>
      </w:r>
    </w:p>
    <w:p w14:paraId="23A189C9" w14:textId="77777777" w:rsidR="00BB19E2" w:rsidRPr="00E879B8" w:rsidRDefault="00BB19E2" w:rsidP="00BB19E2">
      <w:pPr>
        <w:pStyle w:val="Style1"/>
        <w:spacing w:line="276" w:lineRule="auto"/>
      </w:pPr>
      <w:r w:rsidRPr="00E879B8">
        <w:t>The purpose of Fleet Challenge Programme is to adopt an approach that is focused on:</w:t>
      </w:r>
    </w:p>
    <w:p w14:paraId="072FB399" w14:textId="77777777" w:rsidR="00BB19E2" w:rsidRPr="00E879B8" w:rsidRDefault="00BB19E2" w:rsidP="0025036F">
      <w:pPr>
        <w:pStyle w:val="Style1"/>
        <w:numPr>
          <w:ilvl w:val="0"/>
          <w:numId w:val="46"/>
        </w:numPr>
        <w:spacing w:before="0" w:after="0" w:line="276" w:lineRule="auto"/>
      </w:pPr>
      <w:r w:rsidRPr="00E879B8">
        <w:t>sustained decarbonisation of our fleet across the estate (significant reduction in CO</w:t>
      </w:r>
      <w:r w:rsidRPr="00B019F0">
        <w:rPr>
          <w:vertAlign w:val="subscript"/>
        </w:rPr>
        <w:t>2</w:t>
      </w:r>
      <w:r w:rsidRPr="00E879B8">
        <w:t xml:space="preserve"> emissions)</w:t>
      </w:r>
    </w:p>
    <w:p w14:paraId="4C09A450" w14:textId="77777777" w:rsidR="00BB19E2" w:rsidRPr="00E879B8" w:rsidRDefault="00BB19E2" w:rsidP="0025036F">
      <w:pPr>
        <w:pStyle w:val="Style1"/>
        <w:numPr>
          <w:ilvl w:val="0"/>
          <w:numId w:val="46"/>
        </w:numPr>
        <w:spacing w:before="0" w:after="0" w:line="276" w:lineRule="auto"/>
      </w:pPr>
      <w:r w:rsidRPr="00E879B8">
        <w:t>implementing a pool electric car and e-bike scheme,</w:t>
      </w:r>
    </w:p>
    <w:p w14:paraId="28F15F97" w14:textId="77777777" w:rsidR="00BB19E2" w:rsidRPr="00E879B8" w:rsidRDefault="00BB19E2" w:rsidP="0025036F">
      <w:pPr>
        <w:pStyle w:val="Style1"/>
        <w:numPr>
          <w:ilvl w:val="0"/>
          <w:numId w:val="46"/>
        </w:numPr>
        <w:spacing w:before="0" w:after="0" w:line="276" w:lineRule="auto"/>
      </w:pPr>
      <w:r w:rsidRPr="00E879B8">
        <w:t>formal adoption of a travel hierarchy aimed at sustainable travel options which links in with smart working</w:t>
      </w:r>
    </w:p>
    <w:p w14:paraId="4EECE51E" w14:textId="77777777" w:rsidR="00BB19E2" w:rsidRPr="00E879B8" w:rsidRDefault="00BB19E2" w:rsidP="0025036F">
      <w:pPr>
        <w:pStyle w:val="Style1"/>
        <w:numPr>
          <w:ilvl w:val="0"/>
          <w:numId w:val="46"/>
        </w:numPr>
        <w:spacing w:before="0" w:after="0" w:line="276" w:lineRule="auto"/>
      </w:pPr>
      <w:r w:rsidRPr="00E879B8">
        <w:t>reduce our dependency on the use of grey fleet whilst reducing revenue spend (on mileage claims) as well as meeting CO</w:t>
      </w:r>
      <w:r w:rsidRPr="00B019F0">
        <w:rPr>
          <w:vertAlign w:val="subscript"/>
        </w:rPr>
        <w:t>2</w:t>
      </w:r>
      <w:r w:rsidRPr="00E879B8">
        <w:t xml:space="preserve"> targets within our Carbon Management Plan</w:t>
      </w:r>
    </w:p>
    <w:p w14:paraId="711E91C1" w14:textId="77777777" w:rsidR="00BB19E2" w:rsidRPr="00E879B8" w:rsidRDefault="00BB19E2" w:rsidP="0025036F">
      <w:pPr>
        <w:pStyle w:val="Style1"/>
        <w:numPr>
          <w:ilvl w:val="0"/>
          <w:numId w:val="46"/>
        </w:numPr>
        <w:spacing w:before="0" w:after="0" w:line="276" w:lineRule="auto"/>
      </w:pPr>
      <w:r w:rsidRPr="00E879B8">
        <w:t>increase the number and use of pool electric vehicles over the programme period,</w:t>
      </w:r>
    </w:p>
    <w:p w14:paraId="3CCA7B7F" w14:textId="77777777" w:rsidR="00BB19E2" w:rsidRPr="00E879B8" w:rsidRDefault="00BB19E2" w:rsidP="0025036F">
      <w:pPr>
        <w:pStyle w:val="Style1"/>
        <w:numPr>
          <w:ilvl w:val="0"/>
          <w:numId w:val="46"/>
        </w:numPr>
        <w:spacing w:before="0" w:after="0" w:line="276" w:lineRule="auto"/>
      </w:pPr>
      <w:r w:rsidRPr="00E879B8">
        <w:t>implementing a hire car scheme for longer out of Borough journeys,</w:t>
      </w:r>
    </w:p>
    <w:p w14:paraId="3EF07DA5" w14:textId="77777777" w:rsidR="00BB19E2" w:rsidRPr="00E879B8" w:rsidRDefault="00BB19E2" w:rsidP="0025036F">
      <w:pPr>
        <w:pStyle w:val="Style1"/>
        <w:numPr>
          <w:ilvl w:val="0"/>
          <w:numId w:val="46"/>
        </w:numPr>
        <w:spacing w:before="0" w:after="0" w:line="276" w:lineRule="auto"/>
      </w:pPr>
      <w:r w:rsidRPr="00E879B8">
        <w:t>set out emission specifications with our fleet contracts to reduce carbon,</w:t>
      </w:r>
    </w:p>
    <w:p w14:paraId="2B10F9DC" w14:textId="77777777" w:rsidR="00BB19E2" w:rsidRPr="00E879B8" w:rsidRDefault="00BB19E2" w:rsidP="0025036F">
      <w:pPr>
        <w:pStyle w:val="Style1"/>
        <w:numPr>
          <w:ilvl w:val="0"/>
          <w:numId w:val="46"/>
        </w:numPr>
        <w:spacing w:before="0" w:after="0" w:line="276" w:lineRule="auto"/>
      </w:pPr>
      <w:r w:rsidRPr="00E879B8">
        <w:t>air pollution emissions and to ensure fuel efficiency savings (i.e. Amey, Interserve)</w:t>
      </w:r>
    </w:p>
    <w:p w14:paraId="454E3B5F" w14:textId="77777777" w:rsidR="00BB19E2" w:rsidRPr="00E879B8" w:rsidRDefault="00BB19E2" w:rsidP="0025036F">
      <w:pPr>
        <w:pStyle w:val="Style1"/>
        <w:numPr>
          <w:ilvl w:val="0"/>
          <w:numId w:val="46"/>
        </w:numPr>
        <w:spacing w:before="0" w:after="0" w:line="276" w:lineRule="auto"/>
      </w:pPr>
      <w:r w:rsidRPr="00E879B8">
        <w:t>being an exemplar organisation within the Borough and in the region to decarbonise its fleet.</w:t>
      </w:r>
    </w:p>
    <w:p w14:paraId="65488C2B" w14:textId="77777777" w:rsidR="00BB19E2" w:rsidRDefault="00BB19E2" w:rsidP="00BB19E2">
      <w:pPr>
        <w:spacing w:line="276" w:lineRule="auto"/>
        <w:jc w:val="both"/>
        <w:rPr>
          <w:rFonts w:cs="Arial"/>
        </w:rPr>
      </w:pPr>
    </w:p>
    <w:p w14:paraId="2B36339A" w14:textId="77777777" w:rsidR="00BB19E2" w:rsidRPr="00E879B8" w:rsidRDefault="00BB19E2" w:rsidP="00BB19E2">
      <w:pPr>
        <w:pStyle w:val="Style1"/>
        <w:spacing w:line="276" w:lineRule="auto"/>
      </w:pPr>
      <w:r w:rsidRPr="00E879B8">
        <w:t xml:space="preserve">SBC’s grey fleet (staff owned vehicles driven on </w:t>
      </w:r>
      <w:r>
        <w:t>C</w:t>
      </w:r>
      <w:r w:rsidRPr="00E879B8">
        <w:t>ouncil business and reimbursed using a mileage rate) has the largest environmental impact which produced 401 tonnes of carbon dioxide in 2014/15 from staff driving 0.9 million miles.</w:t>
      </w:r>
    </w:p>
    <w:p w14:paraId="59665696" w14:textId="77777777" w:rsidR="00BB19E2" w:rsidRDefault="00BB19E2" w:rsidP="00BB19E2">
      <w:pPr>
        <w:pStyle w:val="Style1"/>
        <w:spacing w:line="276" w:lineRule="auto"/>
      </w:pPr>
      <w:r>
        <w:t>The vehicle pool fleet was due to expand in 2020, however as a result of the Covid-19 pandemic, the number of staff using Council officers for work significantly reduced. As such, there was a reduced need for additional vehicles. This was further exacerbated by the S114 notice, which resulted in reduce spend across directorates.</w:t>
      </w:r>
    </w:p>
    <w:p w14:paraId="4614A8CF" w14:textId="77777777" w:rsidR="00BB19E2" w:rsidRDefault="00BB19E2" w:rsidP="00BB19E2">
      <w:pPr>
        <w:pStyle w:val="Style1"/>
        <w:spacing w:before="0" w:after="0" w:line="276" w:lineRule="auto"/>
      </w:pPr>
      <w:r w:rsidRPr="008B385F">
        <w:t>The scheme has clear benefits to air quality, by reducing the number of vehicles on the road and improving emission standards of vehicles.  As such, opportunities to expand the scheme will be explored during the lifetime of the action plan.</w:t>
      </w:r>
      <w:r>
        <w:t xml:space="preserve"> </w:t>
      </w:r>
    </w:p>
    <w:p w14:paraId="219CF1C1" w14:textId="77777777" w:rsidR="00BB19E2" w:rsidRPr="00E879B8" w:rsidRDefault="00BB19E2" w:rsidP="00BB19E2">
      <w:pPr>
        <w:pStyle w:val="Style1"/>
        <w:spacing w:before="0" w:after="0" w:line="276" w:lineRule="auto"/>
        <w:contextualSpacing/>
      </w:pPr>
    </w:p>
    <w:p w14:paraId="3C637C17" w14:textId="0A157A1F" w:rsidR="00BB19E2" w:rsidRPr="00C87B57" w:rsidRDefault="00BB19E2" w:rsidP="00C87B57">
      <w:pPr>
        <w:spacing w:before="0" w:after="0"/>
        <w:rPr>
          <w:b/>
          <w:bCs/>
          <w:color w:val="008938"/>
        </w:rPr>
      </w:pPr>
      <w:r w:rsidRPr="00C41398">
        <w:rPr>
          <w:b/>
          <w:bCs/>
          <w:color w:val="008938"/>
        </w:rPr>
        <w:t xml:space="preserve">Climate Change Strategy </w:t>
      </w:r>
    </w:p>
    <w:p w14:paraId="4F9C5BCA" w14:textId="77777777" w:rsidR="00BB19E2" w:rsidRPr="00E879B8" w:rsidRDefault="00BB19E2" w:rsidP="00BB19E2">
      <w:pPr>
        <w:pStyle w:val="Style1"/>
        <w:spacing w:before="0" w:after="0" w:line="276" w:lineRule="auto"/>
      </w:pPr>
      <w:r w:rsidRPr="00E879B8">
        <w:t xml:space="preserve">Following from the motion on climate change declaration, the </w:t>
      </w:r>
      <w:r>
        <w:t>C</w:t>
      </w:r>
      <w:r w:rsidRPr="00E879B8">
        <w:t xml:space="preserve">ouncil developed a Climate Change Strategy in 2021, </w:t>
      </w:r>
      <w:bookmarkStart w:id="381" w:name="_Hlk159582452"/>
      <w:r w:rsidRPr="00E879B8">
        <w:t>which set a target of borough-wide carbon neutrality by 2040, with an ambitious stretch target of 2030. Th</w:t>
      </w:r>
      <w:r>
        <w:t>is</w:t>
      </w:r>
      <w:r w:rsidRPr="00E879B8">
        <w:t xml:space="preserve"> target complies with the UK’s national target of net zero emissions by 2050 and a reduction of 78% of emissions by 2035 relative to 1990.</w:t>
      </w:r>
    </w:p>
    <w:bookmarkEnd w:id="381"/>
    <w:p w14:paraId="3C7A41A1" w14:textId="77777777" w:rsidR="00BB19E2" w:rsidRDefault="00BB19E2" w:rsidP="00BB19E2">
      <w:pPr>
        <w:pStyle w:val="Style1"/>
        <w:spacing w:before="0" w:after="0" w:line="276" w:lineRule="auto"/>
      </w:pPr>
    </w:p>
    <w:p w14:paraId="393490E2" w14:textId="77777777" w:rsidR="00BB19E2" w:rsidRPr="00E879B8" w:rsidRDefault="00BB19E2" w:rsidP="00BB19E2">
      <w:pPr>
        <w:pStyle w:val="Style1"/>
        <w:spacing w:before="0" w:after="0" w:line="276" w:lineRule="auto"/>
      </w:pPr>
      <w:r w:rsidRPr="00E879B8">
        <w:t>Measures within the Climate Change Strategy focus on carbon reductions across multiple areas, including buildings, transport, waste, industry, energy supply and natural environment. The baseline emission review indicated that 30.8% of emissions in the borough arise from transport sources, with the biggest source being on-road transport. A greater proportion of total baseline emissions are associated with buildings in Slough at 57.7%. Reducing emissions from both of these sources will result in improvements in air quality, however it should be noted that the most effective measure to reduce road transport emissions is to reduce car use overall, to assist in reducing PM</w:t>
      </w:r>
      <w:r w:rsidRPr="009C5A17">
        <w:rPr>
          <w:vertAlign w:val="subscript"/>
        </w:rPr>
        <w:t>2.5</w:t>
      </w:r>
      <w:r w:rsidRPr="00E879B8">
        <w:t xml:space="preserve"> emissions. </w:t>
      </w:r>
    </w:p>
    <w:p w14:paraId="30A70E50" w14:textId="77777777" w:rsidR="00BB19E2" w:rsidRPr="00E879B8" w:rsidRDefault="00BB19E2" w:rsidP="00BB19E2">
      <w:pPr>
        <w:pStyle w:val="Style1"/>
        <w:spacing w:line="276" w:lineRule="auto"/>
      </w:pPr>
      <w:r w:rsidRPr="008B385F">
        <w:t>The key actions related to both building and transport emission reductions shall be represented within the new AQAP.</w:t>
      </w:r>
      <w:r w:rsidRPr="00E879B8">
        <w:t xml:space="preserve"> </w:t>
      </w:r>
    </w:p>
    <w:p w14:paraId="13DCCF3C" w14:textId="59C11065" w:rsidR="00BB19E2" w:rsidRPr="00C13051" w:rsidRDefault="00EF0C21" w:rsidP="00BB19E2">
      <w:pPr>
        <w:pStyle w:val="Heading3"/>
        <w:numPr>
          <w:ilvl w:val="0"/>
          <w:numId w:val="0"/>
        </w:numPr>
        <w:spacing w:before="0" w:after="0"/>
        <w:ind w:left="570" w:hanging="567"/>
      </w:pPr>
      <w:bookmarkStart w:id="382" w:name="_Toc160129624"/>
      <w:r>
        <w:t xml:space="preserve">2.6 </w:t>
      </w:r>
      <w:r w:rsidR="00BB19E2" w:rsidRPr="00E879B8">
        <w:t xml:space="preserve">Transport </w:t>
      </w:r>
      <w:r w:rsidR="00BB19E2">
        <w:t>Plans and Strategies</w:t>
      </w:r>
      <w:bookmarkEnd w:id="382"/>
      <w:r w:rsidR="00BB19E2">
        <w:t xml:space="preserve"> </w:t>
      </w:r>
    </w:p>
    <w:p w14:paraId="1906DECE" w14:textId="77777777" w:rsidR="00BB19E2" w:rsidRPr="00C41398" w:rsidRDefault="00BB19E2" w:rsidP="00C41398">
      <w:pPr>
        <w:spacing w:before="0" w:after="0"/>
        <w:rPr>
          <w:b/>
          <w:bCs/>
          <w:color w:val="008938"/>
        </w:rPr>
      </w:pPr>
      <w:r w:rsidRPr="00C41398">
        <w:rPr>
          <w:b/>
          <w:bCs/>
          <w:color w:val="008938"/>
        </w:rPr>
        <w:t>Local Transport Plan 3 (2011-2026)</w:t>
      </w:r>
    </w:p>
    <w:p w14:paraId="379E4C8B" w14:textId="77777777" w:rsidR="00BB19E2" w:rsidRPr="009C5A17" w:rsidRDefault="00BB19E2" w:rsidP="00BB19E2">
      <w:pPr>
        <w:pStyle w:val="Style1"/>
        <w:spacing w:before="0" w:after="0" w:line="276" w:lineRule="auto"/>
      </w:pPr>
      <w:r w:rsidRPr="009C5A17">
        <w:t xml:space="preserve">Slough’s third Local Transport Plan (LTP3 2011-2026) outlines the framework to maintain and improve the borough’s transport network and services. It complements the priorities set out in the Sustainable Community Strategy: </w:t>
      </w:r>
    </w:p>
    <w:p w14:paraId="4EEB43D1" w14:textId="77777777" w:rsidR="00BB19E2" w:rsidRPr="009C5A17" w:rsidRDefault="00BB19E2" w:rsidP="0025036F">
      <w:pPr>
        <w:pStyle w:val="Style1"/>
        <w:numPr>
          <w:ilvl w:val="0"/>
          <w:numId w:val="47"/>
        </w:numPr>
        <w:spacing w:before="0" w:after="0" w:line="276" w:lineRule="auto"/>
      </w:pPr>
      <w:r w:rsidRPr="00E879B8">
        <w:rPr>
          <w:rFonts w:cs="Arial"/>
        </w:rPr>
        <w:t>E</w:t>
      </w:r>
      <w:r w:rsidRPr="009C5A17">
        <w:t>nvironment - to reduce carbon emissions, protect heritage and habitats, and adapt to a changing climate.</w:t>
      </w:r>
    </w:p>
    <w:p w14:paraId="3295822B" w14:textId="77777777" w:rsidR="00BB19E2" w:rsidRPr="009C5A17" w:rsidRDefault="00BB19E2" w:rsidP="0025036F">
      <w:pPr>
        <w:pStyle w:val="Style1"/>
        <w:numPr>
          <w:ilvl w:val="0"/>
          <w:numId w:val="47"/>
        </w:numPr>
        <w:spacing w:before="0" w:after="0" w:line="276" w:lineRule="auto"/>
      </w:pPr>
      <w:r w:rsidRPr="009C5A17">
        <w:t>Economy and Skills – to make sure Slough remains a competitive place to do business as well as to facilitate development for new jobs and housing.</w:t>
      </w:r>
    </w:p>
    <w:p w14:paraId="2CAF6BE9" w14:textId="77777777" w:rsidR="00BB19E2" w:rsidRPr="009C5A17" w:rsidRDefault="00BB19E2" w:rsidP="0025036F">
      <w:pPr>
        <w:pStyle w:val="Style1"/>
        <w:numPr>
          <w:ilvl w:val="0"/>
          <w:numId w:val="47"/>
        </w:numPr>
        <w:spacing w:before="0" w:after="0" w:line="276" w:lineRule="auto"/>
      </w:pPr>
      <w:r w:rsidRPr="009C5A17">
        <w:t>Community cohesion – to improve access to opportunities such as jobs and education, and reduce social exclusion.</w:t>
      </w:r>
    </w:p>
    <w:p w14:paraId="60CB9DA3" w14:textId="77777777" w:rsidR="00BB19E2" w:rsidRPr="009C5A17" w:rsidRDefault="00BB19E2" w:rsidP="0025036F">
      <w:pPr>
        <w:pStyle w:val="Style1"/>
        <w:numPr>
          <w:ilvl w:val="0"/>
          <w:numId w:val="47"/>
        </w:numPr>
        <w:spacing w:before="0" w:after="0" w:line="276" w:lineRule="auto"/>
      </w:pPr>
      <w:r w:rsidRPr="009C5A17">
        <w:t>Health and wellbeing – to encourage people to be fitter and healthier through walking and cycling, and to improve air quality and local neighbourhoods.</w:t>
      </w:r>
    </w:p>
    <w:p w14:paraId="7E6B67CD" w14:textId="77777777" w:rsidR="00BB19E2" w:rsidRPr="009C5A17" w:rsidRDefault="00BB19E2" w:rsidP="0025036F">
      <w:pPr>
        <w:pStyle w:val="Style1"/>
        <w:numPr>
          <w:ilvl w:val="0"/>
          <w:numId w:val="47"/>
        </w:numPr>
        <w:spacing w:before="0" w:after="0" w:line="276" w:lineRule="auto"/>
        <w:ind w:left="357" w:hanging="357"/>
      </w:pPr>
      <w:r w:rsidRPr="009C5A17">
        <w:t>Safer Communities – to reduce the number of road accidents and to tackle anti-social behaviour and crime.</w:t>
      </w:r>
    </w:p>
    <w:p w14:paraId="797A31C2" w14:textId="77777777" w:rsidR="00BB19E2" w:rsidRDefault="00BB19E2" w:rsidP="00BB19E2">
      <w:pPr>
        <w:pStyle w:val="Style1"/>
        <w:spacing w:before="0" w:after="0" w:line="276" w:lineRule="auto"/>
      </w:pPr>
    </w:p>
    <w:p w14:paraId="5FD3DD48" w14:textId="77777777" w:rsidR="00BB19E2" w:rsidRPr="00E879B8" w:rsidRDefault="00BB19E2" w:rsidP="00BB19E2">
      <w:pPr>
        <w:pStyle w:val="Style1"/>
        <w:spacing w:before="0" w:after="0" w:line="276" w:lineRule="auto"/>
      </w:pPr>
      <w:r w:rsidRPr="00E879B8">
        <w:t xml:space="preserve">LTP3 consists of three main components: a 15 year core strategy, supplementary planning documents for detailed information on particular aspects of transport, and an implementation plan which outlines the transport measures that will be delivered. There are 12 objectives outlined within LTP3 spanning the following themes: community cohesion, health and wellbeing, community safety, economy and skills, and environment. </w:t>
      </w:r>
    </w:p>
    <w:p w14:paraId="5DDCEC18" w14:textId="77777777" w:rsidR="00BB19E2" w:rsidRDefault="00BB19E2" w:rsidP="00BB19E2">
      <w:pPr>
        <w:pStyle w:val="Style1"/>
        <w:spacing w:before="0" w:after="0" w:line="276" w:lineRule="auto"/>
      </w:pPr>
    </w:p>
    <w:p w14:paraId="7F5A45DB" w14:textId="77777777" w:rsidR="00BB19E2" w:rsidRPr="00E879B8" w:rsidRDefault="00BB19E2" w:rsidP="00BB19E2">
      <w:pPr>
        <w:pStyle w:val="Style1"/>
        <w:spacing w:before="0" w:after="0" w:line="276" w:lineRule="auto"/>
      </w:pPr>
      <w:r w:rsidRPr="00E879B8">
        <w:t xml:space="preserve">LTP3 recognises that due to key transport corridors and proximity to Heathrow </w:t>
      </w:r>
      <w:r>
        <w:t>A</w:t>
      </w:r>
      <w:r w:rsidRPr="00E879B8">
        <w:t>irport, in conjunction with high car ownership in Slough, the borough suffers from poor air quality and traffic congestion, which adversely affects communities. At the time of writing the LTP3, only two AQMAs had been declared in Slough: the M4 corridor and Brands Hill.</w:t>
      </w:r>
    </w:p>
    <w:p w14:paraId="4536ED67" w14:textId="77777777" w:rsidR="00BB19E2" w:rsidRDefault="00BB19E2" w:rsidP="00BB19E2">
      <w:pPr>
        <w:pStyle w:val="Style1"/>
        <w:spacing w:before="0" w:after="0" w:line="276" w:lineRule="auto"/>
      </w:pPr>
    </w:p>
    <w:p w14:paraId="673E5238" w14:textId="77777777" w:rsidR="00BB19E2" w:rsidRDefault="00BB19E2" w:rsidP="00BB19E2">
      <w:pPr>
        <w:pStyle w:val="Style1"/>
        <w:spacing w:before="0" w:after="0" w:line="276" w:lineRule="auto"/>
      </w:pPr>
      <w:r w:rsidRPr="00E879B8">
        <w:t>LTP3 aims to address a number of transport challenges experienced in Slough:</w:t>
      </w:r>
    </w:p>
    <w:p w14:paraId="5CE52B53" w14:textId="77777777" w:rsidR="00BB19E2" w:rsidRPr="00795E5A" w:rsidRDefault="00BB19E2" w:rsidP="00BB19E2">
      <w:pPr>
        <w:pStyle w:val="Style1"/>
        <w:spacing w:before="0" w:after="0" w:line="276" w:lineRule="auto"/>
      </w:pPr>
    </w:p>
    <w:p w14:paraId="5EBBE817" w14:textId="77777777" w:rsidR="00BB19E2" w:rsidRDefault="00BB19E2" w:rsidP="0025036F">
      <w:pPr>
        <w:pStyle w:val="Style1"/>
        <w:numPr>
          <w:ilvl w:val="0"/>
          <w:numId w:val="48"/>
        </w:numPr>
        <w:spacing w:before="0" w:after="0" w:line="276" w:lineRule="auto"/>
      </w:pPr>
      <w:r w:rsidRPr="00795E5A">
        <w:t>Community Cohesion</w:t>
      </w:r>
    </w:p>
    <w:p w14:paraId="69C3AB7F" w14:textId="77777777" w:rsidR="00BB19E2" w:rsidRDefault="00BB19E2" w:rsidP="00BB19E2">
      <w:pPr>
        <w:pStyle w:val="Style1"/>
        <w:spacing w:before="0" w:after="0" w:line="276" w:lineRule="auto"/>
      </w:pPr>
      <w:r w:rsidRPr="00E879B8">
        <w:t>When LTP3 was developed, 14% of residents had a limiting long term disability which limit</w:t>
      </w:r>
      <w:r>
        <w:t>s</w:t>
      </w:r>
      <w:r w:rsidRPr="00E879B8">
        <w:t xml:space="preserve"> their access to transport services. Not all bus stops are designed to support disabled access. Accessible taxi fares are high compared to community transport therefore demand is likely to increase. Blue Badge holders also experience issues with parking provision. In addition, providing suitable travel information is difficult </w:t>
      </w:r>
      <w:r w:rsidRPr="008B385F">
        <w:t>due to the language barrier. This suggests there were two areas for development: better communication regarding sustainable transport, provision of community transport services and improved physical access to public transport.</w:t>
      </w:r>
      <w:r w:rsidRPr="00E879B8">
        <w:t xml:space="preserve"> </w:t>
      </w:r>
    </w:p>
    <w:p w14:paraId="12970B9E" w14:textId="77777777" w:rsidR="00BB19E2" w:rsidRDefault="00BB19E2" w:rsidP="00BB19E2">
      <w:pPr>
        <w:pStyle w:val="Style1"/>
        <w:spacing w:before="0" w:after="0" w:line="276" w:lineRule="auto"/>
      </w:pPr>
      <w:r w:rsidRPr="00E879B8">
        <w:t xml:space="preserve">Due to an imbalance of skills and job opportunities in Slough, many workers commute out of Slough for work or commute in from elsewhere. These journeys are primarily made my car, impacting the environment.  LTP3 also </w:t>
      </w:r>
      <w:r>
        <w:t>illustrates</w:t>
      </w:r>
      <w:r w:rsidRPr="00E879B8">
        <w:t xml:space="preserve"> how public accessibility is poor</w:t>
      </w:r>
      <w:r>
        <w:t xml:space="preserve"> (see Fi</w:t>
      </w:r>
      <w:r w:rsidRPr="00E879B8">
        <w:t>gure 4.4</w:t>
      </w:r>
      <w:r>
        <w:t xml:space="preserve"> wit</w:t>
      </w:r>
      <w:r w:rsidRPr="008B385F">
        <w:t>hin LTP3), with an estimation that travelling from east Slough to the Slough Trading Estate can take up to one hour. Shift workers are another challenge as working hours are not in favour of public transport access, and the cost of bus services is high which discourages its use. Areas for development therefore include improving bus services and reducing bus fares.</w:t>
      </w:r>
      <w:r w:rsidRPr="00E879B8">
        <w:t xml:space="preserve"> </w:t>
      </w:r>
    </w:p>
    <w:p w14:paraId="47A57621" w14:textId="77777777" w:rsidR="00BB19E2" w:rsidRPr="00795E5A" w:rsidRDefault="00BB19E2" w:rsidP="00BB19E2">
      <w:pPr>
        <w:pStyle w:val="Style1"/>
        <w:spacing w:before="0" w:after="0" w:line="276" w:lineRule="auto"/>
      </w:pPr>
    </w:p>
    <w:p w14:paraId="31B19FA3" w14:textId="77777777" w:rsidR="00BB19E2" w:rsidRPr="00795E5A" w:rsidRDefault="00BB19E2" w:rsidP="0025036F">
      <w:pPr>
        <w:pStyle w:val="Style1"/>
        <w:numPr>
          <w:ilvl w:val="0"/>
          <w:numId w:val="48"/>
        </w:numPr>
        <w:spacing w:before="0" w:after="0" w:line="276" w:lineRule="auto"/>
      </w:pPr>
      <w:r w:rsidRPr="00795E5A">
        <w:t>Health and Wellbeing</w:t>
      </w:r>
    </w:p>
    <w:p w14:paraId="48782732" w14:textId="74FAB8AC" w:rsidR="00BB19E2" w:rsidRDefault="00BB19E2" w:rsidP="00C87B57">
      <w:pPr>
        <w:pStyle w:val="Style1"/>
        <w:spacing w:before="0" w:after="0" w:line="276" w:lineRule="auto"/>
      </w:pPr>
      <w:r w:rsidRPr="00795E5A">
        <w:t>Proximity to major roads is one of the factors which impacts the health of residents in Slough. This is exacerbated by the hig</w:t>
      </w:r>
      <w:r w:rsidRPr="008B385F">
        <w:t>h proportion of residents which rely on excessive car use, which in some cases will be due to ill health. This suggests therefore that actions which support these individuals to change travel mode, if they can, is needed. For those who have no option but to use a private car, for example due to health reasons, measures which support those individuals to transition to cleaner vehicles is needed. Both of these aspects will feature in the AQAP.</w:t>
      </w:r>
    </w:p>
    <w:p w14:paraId="71DE13EE" w14:textId="77777777" w:rsidR="00C87B57" w:rsidRPr="00C87B57" w:rsidRDefault="00C87B57" w:rsidP="00C87B57">
      <w:pPr>
        <w:pStyle w:val="Style1"/>
        <w:spacing w:before="0" w:after="0" w:line="276" w:lineRule="auto"/>
      </w:pPr>
    </w:p>
    <w:p w14:paraId="4484912A" w14:textId="77777777" w:rsidR="00BB19E2" w:rsidRDefault="00BB19E2" w:rsidP="0025036F">
      <w:pPr>
        <w:pStyle w:val="Style1"/>
        <w:numPr>
          <w:ilvl w:val="0"/>
          <w:numId w:val="48"/>
        </w:numPr>
        <w:spacing w:before="0" w:after="0" w:line="276" w:lineRule="auto"/>
      </w:pPr>
      <w:r w:rsidRPr="00795E5A">
        <w:t xml:space="preserve">Community Safety </w:t>
      </w:r>
    </w:p>
    <w:p w14:paraId="2CC1D698" w14:textId="77777777" w:rsidR="00BB19E2" w:rsidRDefault="00BB19E2" w:rsidP="00BB19E2">
      <w:pPr>
        <w:pStyle w:val="Style1"/>
        <w:spacing w:before="0" w:after="0" w:line="276" w:lineRule="auto"/>
      </w:pPr>
      <w:r w:rsidRPr="00E879B8">
        <w:t>Within this chapter</w:t>
      </w:r>
      <w:r>
        <w:t xml:space="preserve"> of LTP3</w:t>
      </w:r>
      <w:r w:rsidRPr="00E879B8">
        <w:t>, it is recognised that footway parking and conflicts between pedestrians and cyclists on shared footpaths contributes to traffic accidents and injuries.</w:t>
      </w:r>
      <w:r>
        <w:t xml:space="preserve"> It also acknowledges that </w:t>
      </w:r>
      <w:r w:rsidRPr="00E879B8">
        <w:t>parking on cycle lanes makes it difficult for cyclists</w:t>
      </w:r>
      <w:r>
        <w:t xml:space="preserve"> to travel a continuous route</w:t>
      </w:r>
      <w:r w:rsidRPr="00E879B8">
        <w:t xml:space="preserve">. </w:t>
      </w:r>
      <w:r>
        <w:t>This will be considered when parking related measures are incorporated into the action plan.</w:t>
      </w:r>
    </w:p>
    <w:p w14:paraId="235252FF" w14:textId="77777777" w:rsidR="00BB19E2" w:rsidRPr="00795E5A" w:rsidRDefault="00BB19E2" w:rsidP="00BB19E2">
      <w:pPr>
        <w:pStyle w:val="Style1"/>
        <w:spacing w:before="0" w:after="0" w:line="276" w:lineRule="auto"/>
      </w:pPr>
      <w:r w:rsidRPr="00E879B8">
        <w:t xml:space="preserve">It is also noted </w:t>
      </w:r>
      <w:r>
        <w:t xml:space="preserve">within this chapter </w:t>
      </w:r>
      <w:r w:rsidRPr="00E879B8">
        <w:t>that crime and safety after dark are factors which deter use of public transport, walking and cycling</w:t>
      </w:r>
      <w:r>
        <w:t>, and r</w:t>
      </w:r>
      <w:r w:rsidRPr="00E879B8">
        <w:t xml:space="preserve">isk of theft </w:t>
      </w:r>
      <w:r>
        <w:t>contributes to</w:t>
      </w:r>
      <w:r w:rsidRPr="00E879B8">
        <w:t xml:space="preserve"> reduce</w:t>
      </w:r>
      <w:r>
        <w:t>d</w:t>
      </w:r>
      <w:r w:rsidRPr="00E879B8">
        <w:t xml:space="preserve"> bicycle ownership in Slough. As such, provision of adequate cycle storage is likely to increase use, </w:t>
      </w:r>
      <w:r>
        <w:t xml:space="preserve">which will assist in </w:t>
      </w:r>
      <w:r w:rsidRPr="00E879B8">
        <w:t>reduc</w:t>
      </w:r>
      <w:r>
        <w:t>ing</w:t>
      </w:r>
      <w:r w:rsidRPr="00E879B8">
        <w:t xml:space="preserve"> vehicles on the road and </w:t>
      </w:r>
      <w:r>
        <w:t>contribute towards</w:t>
      </w:r>
      <w:r w:rsidRPr="00E879B8">
        <w:t xml:space="preserve"> air quality</w:t>
      </w:r>
      <w:r>
        <w:t xml:space="preserve"> improvements. </w:t>
      </w:r>
      <w:r w:rsidRPr="00E879B8">
        <w:t xml:space="preserve"> </w:t>
      </w:r>
    </w:p>
    <w:p w14:paraId="2846C8F2" w14:textId="77777777" w:rsidR="00BB19E2" w:rsidRDefault="00BB19E2" w:rsidP="00BB19E2">
      <w:pPr>
        <w:pStyle w:val="Style1"/>
        <w:spacing w:before="0" w:after="0" w:line="276" w:lineRule="auto"/>
        <w:ind w:left="360"/>
      </w:pPr>
    </w:p>
    <w:p w14:paraId="3E97AA41" w14:textId="77777777" w:rsidR="00BB19E2" w:rsidRDefault="00BB19E2" w:rsidP="0025036F">
      <w:pPr>
        <w:pStyle w:val="Style1"/>
        <w:numPr>
          <w:ilvl w:val="0"/>
          <w:numId w:val="48"/>
        </w:numPr>
        <w:spacing w:before="0" w:after="0" w:line="276" w:lineRule="auto"/>
      </w:pPr>
      <w:r w:rsidRPr="00795E5A">
        <w:t xml:space="preserve">Environment </w:t>
      </w:r>
    </w:p>
    <w:p w14:paraId="5B6B5E3F" w14:textId="77777777" w:rsidR="00BB19E2" w:rsidRPr="00E879B8" w:rsidRDefault="00BB19E2" w:rsidP="00BB19E2">
      <w:pPr>
        <w:pStyle w:val="Style1"/>
        <w:spacing w:before="0" w:after="0" w:line="276" w:lineRule="auto"/>
      </w:pPr>
      <w:r w:rsidRPr="00E879B8">
        <w:t>Travel in Slough is dominated by car. As Slough is compact, there are opportunities to work with businesses, schools to promote sustainable travel modes. This chapter focuses on carbon reduction</w:t>
      </w:r>
      <w:r>
        <w:t>, with</w:t>
      </w:r>
      <w:r w:rsidRPr="00E879B8">
        <w:t xml:space="preserve"> little information presented on air quality impacts</w:t>
      </w:r>
      <w:r>
        <w:t xml:space="preserve">, although there are co-benefits between carbon emission reduction and air quality improvements. </w:t>
      </w:r>
    </w:p>
    <w:p w14:paraId="410B8089" w14:textId="77777777" w:rsidR="00BB19E2" w:rsidRDefault="00BB19E2" w:rsidP="00BB19E2">
      <w:pPr>
        <w:pStyle w:val="Style1"/>
        <w:spacing w:before="0" w:after="0" w:line="276" w:lineRule="auto"/>
        <w:ind w:left="360"/>
      </w:pPr>
    </w:p>
    <w:p w14:paraId="714EE5F4" w14:textId="77777777" w:rsidR="00BB19E2" w:rsidRDefault="00BB19E2" w:rsidP="0025036F">
      <w:pPr>
        <w:pStyle w:val="Style1"/>
        <w:numPr>
          <w:ilvl w:val="0"/>
          <w:numId w:val="48"/>
        </w:numPr>
        <w:spacing w:before="0" w:after="0" w:line="276" w:lineRule="auto"/>
      </w:pPr>
      <w:r w:rsidRPr="00795E5A">
        <w:t xml:space="preserve">Economy and Skills </w:t>
      </w:r>
    </w:p>
    <w:p w14:paraId="7AD8A7D7" w14:textId="77777777" w:rsidR="00BB19E2" w:rsidRDefault="00BB19E2" w:rsidP="00BB19E2">
      <w:pPr>
        <w:pStyle w:val="Style1"/>
        <w:spacing w:before="0" w:after="0" w:line="276" w:lineRule="auto"/>
      </w:pPr>
      <w:r w:rsidRPr="00E879B8">
        <w:t>Traffic congestion causes delays in peak periods and unreliable journey times, particularly on the A4. Local businesses cite congestion as their major transport issue, therefore connectivity to Heathrow</w:t>
      </w:r>
      <w:r>
        <w:t xml:space="preserve"> Airport</w:t>
      </w:r>
      <w:r w:rsidRPr="00E879B8">
        <w:t>, London and other centres of economic activity is vital. A primary cause of congestion is car based commuting, including school traffic peaks. Proximity to the motorway means congestion on the M4 results in diversion through Slough. In additi</w:t>
      </w:r>
      <w:r w:rsidRPr="008B385F">
        <w:t>on, issues associated with freight includes difficulties unloading and shortage of parking for HGVs. Targeted actions associated with partners including schools and businesses will therefore feature in the action plan. It is noted that travel planning primarily focuses on large businesses suggesting more work is needed to support smaller businesses.</w:t>
      </w:r>
    </w:p>
    <w:p w14:paraId="64ABDA04" w14:textId="77777777" w:rsidR="00BB19E2" w:rsidRDefault="00BB19E2" w:rsidP="00BB19E2">
      <w:pPr>
        <w:pStyle w:val="Style1"/>
        <w:spacing w:before="0" w:after="0" w:line="276" w:lineRule="auto"/>
      </w:pPr>
    </w:p>
    <w:p w14:paraId="2FD7AF7C" w14:textId="77777777" w:rsidR="00BB19E2" w:rsidRDefault="00BB19E2" w:rsidP="00BB19E2">
      <w:pPr>
        <w:pStyle w:val="Style1"/>
        <w:spacing w:before="0" w:after="0" w:line="276" w:lineRule="auto"/>
      </w:pPr>
      <w:r>
        <w:t xml:space="preserve">LTP4 is due to be developed in 2024 and will replace and update the existing LTP3. </w:t>
      </w:r>
    </w:p>
    <w:p w14:paraId="0073EE55" w14:textId="77777777" w:rsidR="00BB19E2" w:rsidRPr="00795E5A" w:rsidRDefault="00BB19E2" w:rsidP="00BB19E2">
      <w:pPr>
        <w:pStyle w:val="Style1"/>
        <w:spacing w:before="0" w:after="0" w:line="276" w:lineRule="auto"/>
      </w:pPr>
    </w:p>
    <w:p w14:paraId="7A8AF4E3" w14:textId="77777777" w:rsidR="00BB19E2" w:rsidRPr="00C41398" w:rsidRDefault="00BB19E2" w:rsidP="00C41398">
      <w:pPr>
        <w:spacing w:before="0" w:after="0"/>
        <w:rPr>
          <w:b/>
          <w:bCs/>
          <w:color w:val="008938"/>
        </w:rPr>
      </w:pPr>
      <w:r w:rsidRPr="00C41398">
        <w:rPr>
          <w:b/>
          <w:bCs/>
          <w:color w:val="008938"/>
        </w:rPr>
        <w:t xml:space="preserve">Supplementary Strategy Documents (SSDs) </w:t>
      </w:r>
    </w:p>
    <w:p w14:paraId="3FE1A9A5" w14:textId="77777777" w:rsidR="00BB19E2" w:rsidRDefault="00BB19E2" w:rsidP="00BB19E2">
      <w:pPr>
        <w:pStyle w:val="Style1"/>
        <w:spacing w:before="0" w:after="0" w:line="276" w:lineRule="auto"/>
        <w:rPr>
          <w:u w:val="single"/>
        </w:rPr>
      </w:pPr>
    </w:p>
    <w:p w14:paraId="616B46CC" w14:textId="6FAF7F01" w:rsidR="00BB19E2" w:rsidRDefault="00BB19E2" w:rsidP="00BB19E2">
      <w:pPr>
        <w:pStyle w:val="Style1"/>
        <w:spacing w:before="0" w:after="0" w:line="276" w:lineRule="auto"/>
        <w:rPr>
          <w:u w:val="single"/>
        </w:rPr>
      </w:pPr>
      <w:r w:rsidRPr="00795E5A">
        <w:rPr>
          <w:u w:val="single"/>
        </w:rPr>
        <w:t>Cycling</w:t>
      </w:r>
    </w:p>
    <w:p w14:paraId="6B87E4BC" w14:textId="081DAD2B" w:rsidR="00BB19E2" w:rsidRPr="008D7104" w:rsidRDefault="00BB19E2" w:rsidP="00BB19E2">
      <w:pPr>
        <w:pStyle w:val="Style1"/>
        <w:spacing w:before="0" w:after="0" w:line="276" w:lineRule="auto"/>
        <w:rPr>
          <w:u w:val="single"/>
        </w:rPr>
      </w:pPr>
      <w:r w:rsidRPr="00795E5A">
        <w:t>The Cycling SSD</w:t>
      </w:r>
      <w:r w:rsidR="0062377C">
        <w:t xml:space="preserve"> </w:t>
      </w:r>
      <w:r w:rsidRPr="00795E5A">
        <w:t xml:space="preserve">gives an overview of issues related to cycling, including the results of a cycling consultation, which provides insight into the reasons cycling is not always the first mode of choice. The top </w:t>
      </w:r>
      <w:r>
        <w:t>three</w:t>
      </w:r>
      <w:r w:rsidRPr="00795E5A">
        <w:t xml:space="preserve"> issues identified include lack of ownership (31.9%), distance barriers (26.5%) and general dislike (8.5%). It is later discussed that a national correlation exists between income and cycle ownership. Interestingly, mobility and safety issues only account for 4.2% and 2.4% of responses, respectively.</w:t>
      </w:r>
    </w:p>
    <w:p w14:paraId="575EFE53" w14:textId="77777777" w:rsidR="00BB19E2" w:rsidRDefault="00BB19E2" w:rsidP="00BB19E2">
      <w:pPr>
        <w:pStyle w:val="Style1"/>
        <w:spacing w:before="0" w:after="0" w:line="276" w:lineRule="auto"/>
      </w:pPr>
    </w:p>
    <w:p w14:paraId="724FA412" w14:textId="77777777" w:rsidR="00BB19E2" w:rsidRDefault="00BB19E2" w:rsidP="00BB19E2">
      <w:pPr>
        <w:pStyle w:val="Style1"/>
        <w:spacing w:before="0" w:after="0" w:line="276" w:lineRule="auto"/>
      </w:pPr>
      <w:r w:rsidRPr="00795E5A">
        <w:t xml:space="preserve">To combat these issues, interventions are provided such as improving integration, permeability and interconnectivity, whilst overcoming ownership issues through implementation of cycle hire schemes. The LCWIP develops these concepts further and acts as the main plan for the delivery of cycle and walking infrastructure improvements. </w:t>
      </w:r>
    </w:p>
    <w:p w14:paraId="74563248" w14:textId="77777777" w:rsidR="00BB19E2" w:rsidRDefault="00BB19E2" w:rsidP="00BB19E2">
      <w:pPr>
        <w:pStyle w:val="Style1"/>
        <w:spacing w:before="0" w:after="0" w:line="276" w:lineRule="auto"/>
      </w:pPr>
    </w:p>
    <w:p w14:paraId="447D31B8" w14:textId="3AA838C8" w:rsidR="00BB19E2" w:rsidRDefault="00BB19E2" w:rsidP="00BB19E2">
      <w:pPr>
        <w:pStyle w:val="Style1"/>
        <w:spacing w:before="0" w:after="0" w:line="276" w:lineRule="auto"/>
      </w:pPr>
      <w:r w:rsidRPr="00795E5A">
        <w:rPr>
          <w:u w:val="single"/>
        </w:rPr>
        <w:t>Parking</w:t>
      </w:r>
    </w:p>
    <w:p w14:paraId="11E9399C" w14:textId="77777777" w:rsidR="00BB19E2" w:rsidRDefault="00BB19E2" w:rsidP="00BB19E2">
      <w:pPr>
        <w:pStyle w:val="Style1"/>
        <w:spacing w:before="0" w:after="0" w:line="276" w:lineRule="auto"/>
      </w:pPr>
      <w:r w:rsidRPr="00795E5A">
        <w:t xml:space="preserve">Within the Parking Strategy, public consultation indicates that 27.8% of respondents were dissatisfied with car parking in </w:t>
      </w:r>
      <w:r w:rsidRPr="00E879B8">
        <w:rPr>
          <w:rFonts w:cs="Arial"/>
        </w:rPr>
        <w:t xml:space="preserve">Slough. Regarding views on improvements to car parking in Slough, the top </w:t>
      </w:r>
      <w:r>
        <w:rPr>
          <w:rFonts w:cs="Arial"/>
        </w:rPr>
        <w:t>three</w:t>
      </w:r>
      <w:r w:rsidRPr="00E879B8">
        <w:rPr>
          <w:rFonts w:cs="Arial"/>
        </w:rPr>
        <w:t xml:space="preserve"> responses included improved safety and security (28%), cheaper parking (23.2%) and more parking spaces (19.7%). This feedback informed the parking interventions, including adherence to the town centre parking cap of 5,000 spaces within </w:t>
      </w:r>
      <w:r>
        <w:rPr>
          <w:rFonts w:cs="Arial"/>
        </w:rPr>
        <w:t xml:space="preserve">the town centre. </w:t>
      </w:r>
    </w:p>
    <w:p w14:paraId="3B53E060" w14:textId="77777777" w:rsidR="00BB19E2" w:rsidRDefault="00BB19E2" w:rsidP="00BB19E2">
      <w:pPr>
        <w:pStyle w:val="Style1"/>
        <w:spacing w:before="0" w:after="0" w:line="276" w:lineRule="auto"/>
      </w:pPr>
    </w:p>
    <w:p w14:paraId="1BD3A063" w14:textId="77777777" w:rsidR="00BB19E2" w:rsidRDefault="00BB19E2" w:rsidP="00BB19E2">
      <w:pPr>
        <w:pStyle w:val="Style1"/>
        <w:spacing w:before="0" w:after="0" w:line="276" w:lineRule="auto"/>
        <w:rPr>
          <w:rFonts w:cs="Arial"/>
        </w:rPr>
      </w:pPr>
      <w:r w:rsidRPr="00E879B8">
        <w:rPr>
          <w:rFonts w:cs="Arial"/>
        </w:rPr>
        <w:t xml:space="preserve">The Parking Strategy references the parking standards within the Developers Guide (Part 3). Regarding parking associated with new development, the Developers Guide sets out parking requirements for different buildings and uses, for example 1-bed units with allocated parking, a minimum of two spaces are required, however zero parking spaces are required in the town centre commercial core area. It is noted in the Parking Strategy that since the town centre commercial core concept was discontinued following adoption of the LDF, the commercial core standards now apply to flats over shops rather than large scale residential developments. In regards to residential cycle parking, the required parking is 1 space per unit as a minimum, which also applies to 4 bed houses. Cycle spaces for visitors are needed for blocks of flats of 10 or more units, however the exact amount is not specified. </w:t>
      </w:r>
    </w:p>
    <w:p w14:paraId="20BCC3D1" w14:textId="77777777" w:rsidR="00BB19E2" w:rsidRDefault="00BB19E2" w:rsidP="00BB19E2">
      <w:pPr>
        <w:pStyle w:val="Style1"/>
        <w:spacing w:before="0" w:after="0" w:line="276" w:lineRule="auto"/>
        <w:rPr>
          <w:rFonts w:cs="Arial"/>
        </w:rPr>
      </w:pPr>
    </w:p>
    <w:p w14:paraId="04B0F834" w14:textId="77777777" w:rsidR="00BB19E2" w:rsidRDefault="00BB19E2" w:rsidP="00BB19E2">
      <w:pPr>
        <w:pStyle w:val="Style1"/>
        <w:spacing w:before="0" w:after="0" w:line="276" w:lineRule="auto"/>
        <w:rPr>
          <w:rFonts w:cs="Arial"/>
        </w:rPr>
      </w:pPr>
      <w:r>
        <w:rPr>
          <w:rFonts w:cs="Arial"/>
        </w:rPr>
        <w:t>It should be noted that a new Parking Strategy is due to be developed, which will revisit parkin</w:t>
      </w:r>
      <w:r w:rsidRPr="008B385F">
        <w:rPr>
          <w:rFonts w:cs="Arial"/>
        </w:rPr>
        <w:t>g interventions in Slough, and parking requirements for new developments. This will bring further opportunities to manage parking more effectively, and reduce the number of vehicles in Slough, which would have an indirect benefit to air quality.</w:t>
      </w:r>
      <w:r>
        <w:rPr>
          <w:rFonts w:cs="Arial"/>
        </w:rPr>
        <w:t xml:space="preserve"> </w:t>
      </w:r>
    </w:p>
    <w:p w14:paraId="142E9D1D" w14:textId="77777777" w:rsidR="00BB19E2" w:rsidRPr="00E879B8" w:rsidRDefault="00BB19E2" w:rsidP="00BB19E2">
      <w:pPr>
        <w:autoSpaceDE w:val="0"/>
        <w:autoSpaceDN w:val="0"/>
        <w:adjustRightInd w:val="0"/>
        <w:spacing w:after="0" w:line="276" w:lineRule="auto"/>
        <w:rPr>
          <w:rFonts w:cs="Arial"/>
          <w:color w:val="425563"/>
        </w:rPr>
      </w:pPr>
    </w:p>
    <w:p w14:paraId="52B9764A" w14:textId="77777777" w:rsidR="0062377C" w:rsidRDefault="0062377C" w:rsidP="00C87B57">
      <w:pPr>
        <w:spacing w:before="0" w:after="0"/>
        <w:rPr>
          <w:b/>
          <w:bCs/>
          <w:color w:val="008938"/>
        </w:rPr>
      </w:pPr>
    </w:p>
    <w:p w14:paraId="6C5B682D" w14:textId="77777777" w:rsidR="0062377C" w:rsidRDefault="0062377C" w:rsidP="00C87B57">
      <w:pPr>
        <w:spacing w:before="0" w:after="0"/>
        <w:rPr>
          <w:b/>
          <w:bCs/>
          <w:color w:val="008938"/>
        </w:rPr>
      </w:pPr>
    </w:p>
    <w:p w14:paraId="0403A3F2" w14:textId="77777777" w:rsidR="0062377C" w:rsidRDefault="0062377C" w:rsidP="00C87B57">
      <w:pPr>
        <w:spacing w:before="0" w:after="0"/>
        <w:rPr>
          <w:b/>
          <w:bCs/>
          <w:color w:val="008938"/>
        </w:rPr>
      </w:pPr>
    </w:p>
    <w:p w14:paraId="34541D68" w14:textId="77777777" w:rsidR="0062377C" w:rsidRDefault="0062377C" w:rsidP="00C87B57">
      <w:pPr>
        <w:spacing w:before="0" w:after="0"/>
        <w:rPr>
          <w:b/>
          <w:bCs/>
          <w:color w:val="008938"/>
        </w:rPr>
      </w:pPr>
    </w:p>
    <w:p w14:paraId="5E4F3CD6" w14:textId="1AB53237" w:rsidR="00BB19E2" w:rsidRPr="00C87B57" w:rsidRDefault="00BB19E2" w:rsidP="00C87B57">
      <w:pPr>
        <w:spacing w:before="0" w:after="0"/>
        <w:rPr>
          <w:b/>
          <w:bCs/>
          <w:color w:val="008938"/>
        </w:rPr>
      </w:pPr>
      <w:r w:rsidRPr="00C41398">
        <w:rPr>
          <w:b/>
          <w:bCs/>
          <w:color w:val="008938"/>
        </w:rPr>
        <w:t xml:space="preserve">The Transport Vision </w:t>
      </w:r>
    </w:p>
    <w:p w14:paraId="20DDCDB0" w14:textId="170A15F9" w:rsidR="00BB19E2" w:rsidRDefault="00BB19E2" w:rsidP="00BB19E2">
      <w:pPr>
        <w:pStyle w:val="Style1"/>
        <w:spacing w:before="0" w:after="0" w:line="276" w:lineRule="auto"/>
        <w:rPr>
          <w:rFonts w:cs="Arial"/>
        </w:rPr>
      </w:pPr>
      <w:r w:rsidRPr="00E879B8">
        <w:rPr>
          <w:rFonts w:cs="Arial"/>
        </w:rPr>
        <w:t>The Transport Vision</w:t>
      </w:r>
      <w:r w:rsidR="0062377C">
        <w:rPr>
          <w:rStyle w:val="FootnoteReference"/>
          <w:rFonts w:cs="Arial"/>
        </w:rPr>
        <w:footnoteReference w:id="39"/>
      </w:r>
      <w:r w:rsidRPr="00E879B8">
        <w:rPr>
          <w:rFonts w:cs="Arial"/>
        </w:rPr>
        <w:t xml:space="preserve"> was approved by Cabinet in February 2020, and sets out the principles for transport in Slough over the next 20 years</w:t>
      </w:r>
      <w:r>
        <w:rPr>
          <w:rFonts w:cs="Arial"/>
        </w:rPr>
        <w:t xml:space="preserve">. </w:t>
      </w:r>
      <w:r w:rsidRPr="00E879B8">
        <w:rPr>
          <w:rFonts w:cs="Arial"/>
        </w:rPr>
        <w:t xml:space="preserve">The key principles are to: </w:t>
      </w:r>
    </w:p>
    <w:p w14:paraId="78289AA6" w14:textId="77777777" w:rsidR="00BB19E2" w:rsidRPr="00E879B8" w:rsidRDefault="00BB19E2" w:rsidP="00BB19E2">
      <w:pPr>
        <w:pStyle w:val="Style1"/>
        <w:spacing w:before="0" w:after="0" w:line="276" w:lineRule="auto"/>
        <w:rPr>
          <w:rFonts w:cs="Arial"/>
        </w:rPr>
      </w:pPr>
    </w:p>
    <w:p w14:paraId="48C1B79C"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 xml:space="preserve">Make public transport the dominant mode of travel to and from the centre of Slough, the rest of the </w:t>
      </w:r>
      <w:r>
        <w:rPr>
          <w:rFonts w:cs="Arial"/>
        </w:rPr>
        <w:t>b</w:t>
      </w:r>
      <w:r w:rsidRPr="00E879B8">
        <w:rPr>
          <w:rFonts w:cs="Arial"/>
        </w:rPr>
        <w:t>orough and beyond.</w:t>
      </w:r>
    </w:p>
    <w:p w14:paraId="4AADA553"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 xml:space="preserve">Provide the capacity for movement to and from the centre of Slough, in the form of a high quality, reliable, high capacity public transport network, which enables a higher scale of development. </w:t>
      </w:r>
    </w:p>
    <w:p w14:paraId="02AC5033"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Maximise the benefits of enhanced strategic public transport connectivity to London, Heathrow Airport and the wider Thames Valley.</w:t>
      </w:r>
    </w:p>
    <w:p w14:paraId="278D6F59"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Make walking and cycling to and from the centre of Slough an attractive option, and greatly improve the permeability of the centre of Slough for pedestrians.</w:t>
      </w:r>
    </w:p>
    <w:p w14:paraId="77F5735C"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Create an attractive environment in which people are put first in terms of movement and use of space for interaction, creating safe, healthy and vibrant urban spaces which encourage people to live, work and relax locally.</w:t>
      </w:r>
    </w:p>
    <w:p w14:paraId="1E5792F3"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Use the high quality design of transport infrastructure to enhance the quality of the public realm.</w:t>
      </w:r>
    </w:p>
    <w:p w14:paraId="20AD37F1" w14:textId="77777777" w:rsidR="00BB19E2" w:rsidRPr="00E879B8" w:rsidRDefault="00BB19E2" w:rsidP="0025036F">
      <w:pPr>
        <w:pStyle w:val="Style1"/>
        <w:numPr>
          <w:ilvl w:val="0"/>
          <w:numId w:val="49"/>
        </w:numPr>
        <w:spacing w:before="0" w:after="0" w:line="276" w:lineRule="auto"/>
        <w:rPr>
          <w:rFonts w:cs="Arial"/>
        </w:rPr>
      </w:pPr>
      <w:r w:rsidRPr="00E879B8">
        <w:rPr>
          <w:rFonts w:cs="Arial"/>
        </w:rPr>
        <w:t>Significantly reduce the dominance of the car as a mode of travel to, from and through the centre of Slough.</w:t>
      </w:r>
    </w:p>
    <w:p w14:paraId="3047CCDA" w14:textId="77777777" w:rsidR="00BB19E2" w:rsidRPr="00937F1C" w:rsidRDefault="00BB19E2" w:rsidP="0025036F">
      <w:pPr>
        <w:pStyle w:val="Style1"/>
        <w:numPr>
          <w:ilvl w:val="0"/>
          <w:numId w:val="49"/>
        </w:numPr>
        <w:spacing w:before="0" w:after="0" w:line="276" w:lineRule="auto"/>
        <w:rPr>
          <w:rFonts w:cs="Arial"/>
        </w:rPr>
      </w:pPr>
      <w:r w:rsidRPr="00E879B8">
        <w:rPr>
          <w:rFonts w:cs="Arial"/>
        </w:rPr>
        <w:t>Minimise the impacts of roads, parking and motorised vehicles on the urban realm and on people, including improved air quality and road safety.</w:t>
      </w:r>
    </w:p>
    <w:p w14:paraId="4D8A98CB" w14:textId="77777777" w:rsidR="00BB19E2" w:rsidRPr="00E879B8" w:rsidRDefault="00BB19E2" w:rsidP="00BB19E2">
      <w:pPr>
        <w:pStyle w:val="Style1"/>
        <w:spacing w:line="276" w:lineRule="auto"/>
      </w:pPr>
      <w:r w:rsidRPr="00E879B8">
        <w:t>To achieve the above principles, the following are proposed:</w:t>
      </w:r>
    </w:p>
    <w:p w14:paraId="5914762A" w14:textId="77777777" w:rsidR="00BB19E2" w:rsidRPr="00E879B8" w:rsidRDefault="00BB19E2" w:rsidP="0025036F">
      <w:pPr>
        <w:pStyle w:val="Style1"/>
        <w:numPr>
          <w:ilvl w:val="0"/>
          <w:numId w:val="50"/>
        </w:numPr>
        <w:spacing w:before="0" w:after="0" w:line="276" w:lineRule="auto"/>
      </w:pPr>
      <w:r w:rsidRPr="00E879B8">
        <w:t xml:space="preserve">Introduce </w:t>
      </w:r>
      <w:r>
        <w:t xml:space="preserve">a </w:t>
      </w:r>
      <w:r w:rsidRPr="00E879B8">
        <w:t xml:space="preserve">segregated Mass Rapid Transit scheme with additional priority bus services along A4 corridor. Phase 1 (between Slough Trading Estate and </w:t>
      </w:r>
      <w:r>
        <w:t xml:space="preserve">the </w:t>
      </w:r>
      <w:r w:rsidRPr="00E879B8">
        <w:t>centre of Slough</w:t>
      </w:r>
      <w:r>
        <w:t>)</w:t>
      </w:r>
      <w:r w:rsidRPr="00E879B8">
        <w:t xml:space="preserve"> has been delivered. Phase 2 would extend to the east of Slough. </w:t>
      </w:r>
    </w:p>
    <w:p w14:paraId="010621F9" w14:textId="77777777" w:rsidR="00BB19E2" w:rsidRPr="00E879B8" w:rsidRDefault="00BB19E2" w:rsidP="0025036F">
      <w:pPr>
        <w:pStyle w:val="Style1"/>
        <w:numPr>
          <w:ilvl w:val="0"/>
          <w:numId w:val="50"/>
        </w:numPr>
        <w:spacing w:before="0" w:after="0" w:line="276" w:lineRule="auto"/>
      </w:pPr>
      <w:r w:rsidRPr="00E879B8">
        <w:t xml:space="preserve">Park and Ride sites with routes utilising the MRT network, offering free or low cost parking. The </w:t>
      </w:r>
      <w:r>
        <w:t>four</w:t>
      </w:r>
      <w:r w:rsidRPr="00E879B8">
        <w:t xml:space="preserve"> proposed sites include west Slough linking Slough Trading Estate and </w:t>
      </w:r>
      <w:r>
        <w:t xml:space="preserve">the </w:t>
      </w:r>
      <w:r w:rsidRPr="00E879B8">
        <w:t xml:space="preserve">town centre, north-east of Slough linking to </w:t>
      </w:r>
      <w:r>
        <w:t xml:space="preserve">the </w:t>
      </w:r>
      <w:r w:rsidRPr="00E879B8">
        <w:t xml:space="preserve">town centre, east of Slough linking the </w:t>
      </w:r>
      <w:r>
        <w:t>Slough Tr</w:t>
      </w:r>
      <w:r w:rsidRPr="00E879B8">
        <w:t xml:space="preserve">ading </w:t>
      </w:r>
      <w:r>
        <w:t>E</w:t>
      </w:r>
      <w:r w:rsidRPr="00E879B8">
        <w:t xml:space="preserve">state, town centre and Heathrow, and a site to the south to serve Slough and Windsor town centres. </w:t>
      </w:r>
    </w:p>
    <w:p w14:paraId="6351F278" w14:textId="77777777" w:rsidR="00BB19E2" w:rsidRPr="00E879B8" w:rsidRDefault="00BB19E2" w:rsidP="0025036F">
      <w:pPr>
        <w:pStyle w:val="Style1"/>
        <w:numPr>
          <w:ilvl w:val="0"/>
          <w:numId w:val="50"/>
        </w:numPr>
        <w:spacing w:before="0" w:after="0" w:line="276" w:lineRule="auto"/>
      </w:pPr>
      <w:r w:rsidRPr="00E879B8">
        <w:t xml:space="preserve">Mobility as a Service (MaaS) platform for integration of transport services, providing live public transport data, navigation, taxi access, parking and sustainable travel incentives. </w:t>
      </w:r>
    </w:p>
    <w:p w14:paraId="59CFDB75" w14:textId="77777777" w:rsidR="00BB19E2" w:rsidRPr="00E879B8" w:rsidRDefault="00BB19E2" w:rsidP="0025036F">
      <w:pPr>
        <w:pStyle w:val="Style1"/>
        <w:numPr>
          <w:ilvl w:val="0"/>
          <w:numId w:val="50"/>
        </w:numPr>
        <w:spacing w:before="0" w:after="0" w:line="276" w:lineRule="auto"/>
      </w:pPr>
      <w:r w:rsidRPr="00E879B8">
        <w:t>Provi</w:t>
      </w:r>
      <w:r>
        <w:t>de</w:t>
      </w:r>
      <w:r w:rsidRPr="00E879B8">
        <w:t xml:space="preserve"> a cycling and walking network including the northern gateway scheme, cycle super-highway on key corridors, creation of walking routes integrating with heritage sites and new developments and overcoming severance issues. </w:t>
      </w:r>
    </w:p>
    <w:p w14:paraId="1622F218" w14:textId="77777777" w:rsidR="00BB19E2" w:rsidRPr="00E879B8" w:rsidRDefault="00BB19E2" w:rsidP="0025036F">
      <w:pPr>
        <w:pStyle w:val="Style1"/>
        <w:numPr>
          <w:ilvl w:val="0"/>
          <w:numId w:val="50"/>
        </w:numPr>
        <w:spacing w:before="0" w:after="0" w:line="276" w:lineRule="auto"/>
      </w:pPr>
      <w:r w:rsidRPr="00E879B8">
        <w:t xml:space="preserve">Create a low-car zone in the town centre, where some areas have public transport access only, and others have reduced access. </w:t>
      </w:r>
    </w:p>
    <w:p w14:paraId="55AE4D59" w14:textId="77777777" w:rsidR="00BB19E2" w:rsidRPr="00E879B8" w:rsidRDefault="00BB19E2" w:rsidP="0025036F">
      <w:pPr>
        <w:pStyle w:val="Style1"/>
        <w:numPr>
          <w:ilvl w:val="0"/>
          <w:numId w:val="50"/>
        </w:numPr>
        <w:spacing w:before="0" w:after="0" w:line="276" w:lineRule="auto"/>
      </w:pPr>
      <w:r w:rsidRPr="00E879B8">
        <w:t xml:space="preserve">Northern gateway bus corridor with improved conditions for pedestrians, cyclists and buses. </w:t>
      </w:r>
    </w:p>
    <w:p w14:paraId="1ADA25E0" w14:textId="77777777" w:rsidR="00BB19E2" w:rsidRDefault="00BB19E2" w:rsidP="0025036F">
      <w:pPr>
        <w:pStyle w:val="Style1"/>
        <w:numPr>
          <w:ilvl w:val="0"/>
          <w:numId w:val="50"/>
        </w:numPr>
        <w:spacing w:before="0" w:after="0" w:line="276" w:lineRule="auto"/>
      </w:pPr>
      <w:r w:rsidRPr="00E879B8">
        <w:t xml:space="preserve">Reduce parking impact by restricting parking in the town centre, reduce visibility of parking and amount of land allocated to car parking by consolidating public parking into fewer, larger parking areas outside of the urban core e.g. park and ride sites and </w:t>
      </w:r>
      <w:r>
        <w:t xml:space="preserve">three </w:t>
      </w:r>
      <w:r w:rsidRPr="00E879B8">
        <w:t>multi-storey car parks on the edge of the urban centre. The sites include north of the T</w:t>
      </w:r>
      <w:r>
        <w:t xml:space="preserve">hames </w:t>
      </w:r>
      <w:r w:rsidRPr="00E879B8">
        <w:t>V</w:t>
      </w:r>
      <w:r>
        <w:t xml:space="preserve">alley </w:t>
      </w:r>
      <w:r w:rsidRPr="00E879B8">
        <w:t>U</w:t>
      </w:r>
      <w:r>
        <w:t>niversity (TVU)</w:t>
      </w:r>
      <w:r w:rsidRPr="00E879B8">
        <w:t xml:space="preserve"> site, east side of </w:t>
      </w:r>
      <w:r>
        <w:t xml:space="preserve">the </w:t>
      </w:r>
      <w:r w:rsidRPr="00E879B8">
        <w:t xml:space="preserve">urban core as the town centre is redeveloped, expansion of </w:t>
      </w:r>
      <w:r>
        <w:t xml:space="preserve">the </w:t>
      </w:r>
      <w:r w:rsidRPr="00E879B8">
        <w:t xml:space="preserve">existing Herschel car park to serve west side of urban core, and reprovision of </w:t>
      </w:r>
      <w:r>
        <w:t xml:space="preserve">an </w:t>
      </w:r>
      <w:r w:rsidRPr="00E879B8">
        <w:t xml:space="preserve">eastern station car park. Private parking will also be phased out gradually as non-car alternatives are introduced. </w:t>
      </w:r>
    </w:p>
    <w:p w14:paraId="3DEBD459" w14:textId="77777777" w:rsidR="00BB19E2" w:rsidRDefault="00BB19E2" w:rsidP="0025036F">
      <w:pPr>
        <w:pStyle w:val="Style1"/>
        <w:numPr>
          <w:ilvl w:val="0"/>
          <w:numId w:val="50"/>
        </w:numPr>
        <w:spacing w:before="0" w:after="0" w:line="276" w:lineRule="auto"/>
      </w:pPr>
      <w:r w:rsidRPr="00E879B8">
        <w:t>Electric vehicles and car club parking in line with the Low Emission Strategy (2018-2025)</w:t>
      </w:r>
      <w:r>
        <w:t>.</w:t>
      </w:r>
    </w:p>
    <w:p w14:paraId="1B3E293C" w14:textId="77777777" w:rsidR="00BB19E2" w:rsidRDefault="00BB19E2" w:rsidP="00BB19E2">
      <w:pPr>
        <w:pStyle w:val="Style1"/>
        <w:spacing w:before="0" w:after="0" w:line="276" w:lineRule="auto"/>
      </w:pPr>
    </w:p>
    <w:p w14:paraId="0ADB9B63" w14:textId="5CDB9515" w:rsidR="00BB19E2" w:rsidRPr="00C87B57" w:rsidRDefault="00BB19E2" w:rsidP="00C87B57">
      <w:pPr>
        <w:spacing w:before="0" w:after="0"/>
        <w:rPr>
          <w:b/>
          <w:bCs/>
          <w:color w:val="008938"/>
        </w:rPr>
      </w:pPr>
      <w:r w:rsidRPr="00C41398">
        <w:rPr>
          <w:b/>
          <w:bCs/>
          <w:color w:val="008938"/>
        </w:rPr>
        <w:t xml:space="preserve">Strategic Transport Infrastructure Plan </w:t>
      </w:r>
    </w:p>
    <w:p w14:paraId="25E4E2DC" w14:textId="77777777" w:rsidR="00BB19E2" w:rsidRDefault="00BB19E2" w:rsidP="00BB19E2">
      <w:pPr>
        <w:pStyle w:val="Style1"/>
        <w:spacing w:before="0" w:after="0" w:line="276" w:lineRule="auto"/>
        <w:rPr>
          <w:rFonts w:cs="Arial"/>
        </w:rPr>
      </w:pPr>
      <w:r w:rsidRPr="00CE7A18">
        <w:rPr>
          <w:rFonts w:cs="Arial"/>
        </w:rPr>
        <w:t>The Strategic Transport Infrastructure Plan</w:t>
      </w:r>
      <w:r>
        <w:rPr>
          <w:rFonts w:cs="Arial"/>
        </w:rPr>
        <w:t xml:space="preserve"> (STIP), which follows on from the Transport Vision, </w:t>
      </w:r>
      <w:r w:rsidRPr="00CE7A18">
        <w:rPr>
          <w:rFonts w:cs="Arial"/>
        </w:rPr>
        <w:t xml:space="preserve">sets out the plan to reduce car use in favour of sustainable travel and public transport, with an aim to improve connectivity, health outcomes and protect Slough’s economy. The STIP facilitates delivery of new homes and jobs proposed in the new local plan, by providing capacity in the transport networks for additional journeys created by this growth. </w:t>
      </w:r>
      <w:r>
        <w:rPr>
          <w:rFonts w:cs="Arial"/>
        </w:rPr>
        <w:t>Th</w:t>
      </w:r>
      <w:r w:rsidRPr="00CE7A18">
        <w:rPr>
          <w:rFonts w:cs="Arial"/>
        </w:rPr>
        <w:t>e STIP proposals inten</w:t>
      </w:r>
      <w:r>
        <w:rPr>
          <w:rFonts w:cs="Arial"/>
        </w:rPr>
        <w:t>d</w:t>
      </w:r>
      <w:r w:rsidRPr="00CE7A18">
        <w:rPr>
          <w:rFonts w:cs="Arial"/>
        </w:rPr>
        <w:t xml:space="preserve"> to achieve a significant shift away from use of the private car, which could also result in air quality improvements, dependent on scheme design. </w:t>
      </w:r>
    </w:p>
    <w:p w14:paraId="58DFC6BF" w14:textId="77777777" w:rsidR="00BB19E2" w:rsidRDefault="00BB19E2" w:rsidP="00BB19E2">
      <w:pPr>
        <w:pStyle w:val="Style1"/>
        <w:spacing w:before="0" w:after="0" w:line="276" w:lineRule="auto"/>
        <w:rPr>
          <w:rFonts w:cs="Arial"/>
        </w:rPr>
      </w:pPr>
    </w:p>
    <w:p w14:paraId="1BD86967" w14:textId="77777777" w:rsidR="00BB19E2" w:rsidRPr="00CE7A18" w:rsidRDefault="00BB19E2" w:rsidP="00BB19E2">
      <w:pPr>
        <w:pStyle w:val="Style1"/>
        <w:spacing w:before="0" w:after="0" w:line="276" w:lineRule="auto"/>
        <w:rPr>
          <w:rFonts w:cs="Arial"/>
        </w:rPr>
      </w:pPr>
      <w:r>
        <w:rPr>
          <w:rFonts w:cs="Arial"/>
        </w:rPr>
        <w:t xml:space="preserve">At the time of writing, the STIP has not yet been approved by the Slough Borough Council Cabinet and there is ambiguity on the feasibility of its delivery following the Covid-19 pandemic and S114 implementation. It is therefore expected that the content within the STIP will require revisiting once adequate resource is available. As such, major infrastructural schemes which featured within the STIP have not been included in the action plan at this time. Should any of the schemes be considered for adoption, they shall be incorporated into the action plan via the ASR process at that stage. </w:t>
      </w:r>
    </w:p>
    <w:p w14:paraId="585049FE" w14:textId="77777777" w:rsidR="00BB19E2" w:rsidRPr="00E879B8" w:rsidRDefault="00BB19E2" w:rsidP="00BB19E2">
      <w:pPr>
        <w:pStyle w:val="Style1"/>
        <w:spacing w:before="0" w:after="0" w:line="276" w:lineRule="auto"/>
      </w:pPr>
    </w:p>
    <w:p w14:paraId="213011C9" w14:textId="77777777" w:rsidR="0062377C" w:rsidRDefault="0062377C" w:rsidP="00C87B57">
      <w:pPr>
        <w:spacing w:before="0" w:after="0"/>
        <w:rPr>
          <w:b/>
          <w:bCs/>
          <w:color w:val="008938"/>
        </w:rPr>
      </w:pPr>
    </w:p>
    <w:p w14:paraId="11AE1F96" w14:textId="77777777" w:rsidR="0062377C" w:rsidRDefault="0062377C" w:rsidP="00C87B57">
      <w:pPr>
        <w:spacing w:before="0" w:after="0"/>
        <w:rPr>
          <w:b/>
          <w:bCs/>
          <w:color w:val="008938"/>
        </w:rPr>
      </w:pPr>
    </w:p>
    <w:p w14:paraId="3D973EE8" w14:textId="77777777" w:rsidR="0062377C" w:rsidRDefault="0062377C" w:rsidP="00C87B57">
      <w:pPr>
        <w:spacing w:before="0" w:after="0"/>
        <w:rPr>
          <w:b/>
          <w:bCs/>
          <w:color w:val="008938"/>
        </w:rPr>
      </w:pPr>
    </w:p>
    <w:p w14:paraId="1E7FA59E" w14:textId="5FFE65E0" w:rsidR="00BB19E2" w:rsidRPr="00C87B57" w:rsidRDefault="00BB19E2" w:rsidP="00C87B57">
      <w:pPr>
        <w:spacing w:before="0" w:after="0"/>
        <w:rPr>
          <w:b/>
          <w:bCs/>
          <w:color w:val="008938"/>
        </w:rPr>
      </w:pPr>
      <w:r w:rsidRPr="00C41398">
        <w:rPr>
          <w:b/>
          <w:bCs/>
          <w:color w:val="008938"/>
        </w:rPr>
        <w:t xml:space="preserve">Bus Service Improvement Plan </w:t>
      </w:r>
    </w:p>
    <w:p w14:paraId="220150C1" w14:textId="2A3EC492" w:rsidR="00BB19E2" w:rsidRDefault="00BB19E2" w:rsidP="00BB19E2">
      <w:pPr>
        <w:pStyle w:val="Style1"/>
        <w:spacing w:before="0" w:after="0" w:line="276" w:lineRule="auto"/>
        <w:rPr>
          <w:rFonts w:cs="Arial"/>
        </w:rPr>
      </w:pPr>
      <w:r w:rsidRPr="00E879B8">
        <w:rPr>
          <w:rFonts w:cs="Arial"/>
        </w:rPr>
        <w:t xml:space="preserve">Slough developed its Bus Service Improvement Plan </w:t>
      </w:r>
      <w:r>
        <w:rPr>
          <w:rFonts w:cs="Arial"/>
        </w:rPr>
        <w:t>(BSIP)</w:t>
      </w:r>
      <w:r w:rsidR="0062377C">
        <w:rPr>
          <w:rStyle w:val="FootnoteReference"/>
          <w:rFonts w:cs="Arial"/>
        </w:rPr>
        <w:footnoteReference w:id="40"/>
      </w:r>
      <w:r>
        <w:rPr>
          <w:rFonts w:cs="Arial"/>
        </w:rPr>
        <w:t xml:space="preserve"> </w:t>
      </w:r>
      <w:r w:rsidRPr="00E879B8">
        <w:rPr>
          <w:rFonts w:cs="Arial"/>
        </w:rPr>
        <w:t xml:space="preserve">in October 2021. This is a requirement of the National Bus Strategy ‘Bus Back Better’, to improve bus services in England (outside of London) through greater local leadership, with an overall aim to encourage greater use of public transport. The Strategy also requires all Local Transport Authorities to form Enhanced Partnerships as required by the Bus Services Act 2017, by April 2022. The BSIP is consistent with the Bus Strategy and wider Local Transport Plan 3 (2011-2026). </w:t>
      </w:r>
    </w:p>
    <w:p w14:paraId="2783B1FD" w14:textId="77777777" w:rsidR="00BB19E2" w:rsidRPr="00E879B8" w:rsidRDefault="00BB19E2" w:rsidP="00BB19E2">
      <w:pPr>
        <w:pStyle w:val="Style1"/>
        <w:spacing w:before="0" w:after="0" w:line="276" w:lineRule="auto"/>
        <w:rPr>
          <w:rFonts w:cs="Arial"/>
        </w:rPr>
      </w:pPr>
    </w:p>
    <w:p w14:paraId="02500165" w14:textId="77777777" w:rsidR="00BB19E2" w:rsidRPr="00E879B8" w:rsidRDefault="00BB19E2" w:rsidP="00BB19E2">
      <w:pPr>
        <w:pStyle w:val="Style1"/>
        <w:spacing w:before="0" w:after="0" w:line="276" w:lineRule="auto"/>
        <w:rPr>
          <w:rFonts w:cs="Arial"/>
        </w:rPr>
      </w:pPr>
      <w:r w:rsidRPr="00E879B8">
        <w:rPr>
          <w:rFonts w:cs="Arial"/>
        </w:rPr>
        <w:t>The plan outlines and reviews the current bus offer to passengers and how this aligns with the National Bus Strategy. Issues such as low frequency services, high bus fares with no multi-operator ticketing scheme</w:t>
      </w:r>
      <w:r>
        <w:rPr>
          <w:rFonts w:cs="Arial"/>
        </w:rPr>
        <w:t>,</w:t>
      </w:r>
      <w:r w:rsidRPr="00E879B8">
        <w:rPr>
          <w:rFonts w:cs="Arial"/>
        </w:rPr>
        <w:t xml:space="preserve"> and inconsistent information dissemination</w:t>
      </w:r>
      <w:r>
        <w:rPr>
          <w:rFonts w:cs="Arial"/>
        </w:rPr>
        <w:t>,</w:t>
      </w:r>
      <w:r w:rsidRPr="00E879B8">
        <w:rPr>
          <w:rFonts w:cs="Arial"/>
        </w:rPr>
        <w:t xml:space="preserve"> are highlighted as barriers to higher bus patronage. There are however positive elements of the existing provision including the real-time passenger information system, bus priority measures in the form of bus gates and bus priority lanes on the A4 Bath Road, A4 London Road and A355 Farnham Road, and bus emission standards meeting Euro VI for the majority of operators. </w:t>
      </w:r>
    </w:p>
    <w:p w14:paraId="525221EF" w14:textId="77777777" w:rsidR="00BB19E2" w:rsidRDefault="00BB19E2" w:rsidP="00BB19E2">
      <w:pPr>
        <w:pStyle w:val="Style1"/>
        <w:spacing w:before="0" w:after="0" w:line="276" w:lineRule="auto"/>
        <w:rPr>
          <w:rFonts w:cs="Arial"/>
        </w:rPr>
      </w:pPr>
    </w:p>
    <w:p w14:paraId="33ECA80B" w14:textId="77777777" w:rsidR="00BB19E2" w:rsidRDefault="00BB19E2" w:rsidP="00BB19E2">
      <w:pPr>
        <w:pStyle w:val="Style1"/>
        <w:spacing w:before="0" w:after="0" w:line="276" w:lineRule="auto"/>
        <w:rPr>
          <w:rFonts w:cs="Arial"/>
        </w:rPr>
      </w:pPr>
      <w:r w:rsidRPr="00E879B8">
        <w:rPr>
          <w:rFonts w:cs="Arial"/>
        </w:rPr>
        <w:t>The BSIP sets out 4 headline targets to be achieved by 2024/25:</w:t>
      </w:r>
    </w:p>
    <w:p w14:paraId="18F76CCA" w14:textId="77777777" w:rsidR="00BB19E2" w:rsidRPr="00E879B8" w:rsidRDefault="00BB19E2" w:rsidP="00BB19E2">
      <w:pPr>
        <w:pStyle w:val="Style1"/>
        <w:spacing w:before="0" w:after="0" w:line="276" w:lineRule="auto"/>
        <w:rPr>
          <w:rFonts w:cs="Arial"/>
        </w:rPr>
      </w:pPr>
    </w:p>
    <w:p w14:paraId="67153D19" w14:textId="77777777" w:rsidR="00BB19E2" w:rsidRPr="00E879B8" w:rsidRDefault="00BB19E2" w:rsidP="0025036F">
      <w:pPr>
        <w:pStyle w:val="Style1"/>
        <w:numPr>
          <w:ilvl w:val="0"/>
          <w:numId w:val="51"/>
        </w:numPr>
        <w:spacing w:before="0" w:after="0" w:line="276" w:lineRule="auto"/>
        <w:rPr>
          <w:rFonts w:cs="Arial"/>
        </w:rPr>
      </w:pPr>
      <w:r w:rsidRPr="00E879B8">
        <w:rPr>
          <w:rFonts w:cs="Arial"/>
        </w:rPr>
        <w:t>11% improvement of bus journey times (2.5 minutes)</w:t>
      </w:r>
    </w:p>
    <w:p w14:paraId="34D5DF5E" w14:textId="77777777" w:rsidR="00BB19E2" w:rsidRPr="00E879B8" w:rsidRDefault="00BB19E2" w:rsidP="0025036F">
      <w:pPr>
        <w:pStyle w:val="Style1"/>
        <w:numPr>
          <w:ilvl w:val="0"/>
          <w:numId w:val="51"/>
        </w:numPr>
        <w:spacing w:before="0" w:after="0" w:line="276" w:lineRule="auto"/>
        <w:rPr>
          <w:rFonts w:cs="Arial"/>
        </w:rPr>
      </w:pPr>
      <w:r w:rsidRPr="00E879B8">
        <w:rPr>
          <w:rFonts w:cs="Arial"/>
        </w:rPr>
        <w:t>10% improvement of bus journey time reliability relative to 2017/18 levels</w:t>
      </w:r>
    </w:p>
    <w:p w14:paraId="0BE6F996" w14:textId="77777777" w:rsidR="00BB19E2" w:rsidRPr="00E879B8" w:rsidRDefault="00BB19E2" w:rsidP="0025036F">
      <w:pPr>
        <w:pStyle w:val="Style1"/>
        <w:numPr>
          <w:ilvl w:val="0"/>
          <w:numId w:val="51"/>
        </w:numPr>
        <w:spacing w:before="0" w:after="0" w:line="276" w:lineRule="auto"/>
        <w:rPr>
          <w:rFonts w:cs="Arial"/>
        </w:rPr>
      </w:pPr>
      <w:r w:rsidRPr="00E879B8">
        <w:rPr>
          <w:rFonts w:cs="Arial"/>
        </w:rPr>
        <w:t xml:space="preserve">20% increase in passenger numbers relative to April 2022 </w:t>
      </w:r>
    </w:p>
    <w:p w14:paraId="37019A34" w14:textId="77777777" w:rsidR="00BB19E2" w:rsidRPr="00E879B8" w:rsidRDefault="00BB19E2" w:rsidP="0025036F">
      <w:pPr>
        <w:pStyle w:val="Style1"/>
        <w:numPr>
          <w:ilvl w:val="0"/>
          <w:numId w:val="51"/>
        </w:numPr>
        <w:spacing w:before="0" w:after="0" w:line="276" w:lineRule="auto"/>
        <w:rPr>
          <w:rFonts w:cs="Arial"/>
        </w:rPr>
      </w:pPr>
      <w:r w:rsidRPr="00E879B8">
        <w:rPr>
          <w:rFonts w:cs="Arial"/>
        </w:rPr>
        <w:t xml:space="preserve">10% increase in average passenger satisfaction in relation to accessibility, affordability, information availability and reliability. </w:t>
      </w:r>
    </w:p>
    <w:p w14:paraId="538584E5" w14:textId="77777777" w:rsidR="00BB19E2" w:rsidRDefault="00BB19E2" w:rsidP="00BB19E2">
      <w:pPr>
        <w:spacing w:after="0" w:line="276" w:lineRule="auto"/>
        <w:rPr>
          <w:rFonts w:cs="Arial"/>
        </w:rPr>
      </w:pPr>
    </w:p>
    <w:p w14:paraId="44483463" w14:textId="77777777" w:rsidR="00BB19E2" w:rsidRDefault="00BB19E2" w:rsidP="00BB19E2">
      <w:pPr>
        <w:pStyle w:val="Style1"/>
        <w:spacing w:before="0" w:after="0" w:line="276" w:lineRule="auto"/>
        <w:rPr>
          <w:rFonts w:cs="Arial"/>
        </w:rPr>
      </w:pPr>
      <w:r w:rsidRPr="00E879B8">
        <w:rPr>
          <w:rFonts w:cs="Arial"/>
        </w:rPr>
        <w:t xml:space="preserve">The BSIP is due a review </w:t>
      </w:r>
      <w:r>
        <w:rPr>
          <w:rFonts w:cs="Arial"/>
        </w:rPr>
        <w:t>in</w:t>
      </w:r>
      <w:r w:rsidRPr="00E879B8">
        <w:rPr>
          <w:rFonts w:cs="Arial"/>
        </w:rPr>
        <w:t xml:space="preserve"> March 2024 and it is expected that it will link and make reference to the measures outlined with the new AQAP. </w:t>
      </w:r>
    </w:p>
    <w:p w14:paraId="210E82B9" w14:textId="77777777" w:rsidR="00BB19E2" w:rsidRDefault="00BB19E2" w:rsidP="00BB19E2">
      <w:pPr>
        <w:pStyle w:val="Style1"/>
        <w:spacing w:before="0" w:after="0" w:line="276" w:lineRule="auto"/>
        <w:rPr>
          <w:rFonts w:cs="Arial"/>
        </w:rPr>
      </w:pPr>
    </w:p>
    <w:p w14:paraId="52B0D26F" w14:textId="77777777" w:rsidR="0062377C" w:rsidRDefault="0062377C" w:rsidP="00BB19E2">
      <w:pPr>
        <w:pStyle w:val="Style1"/>
        <w:spacing w:before="0" w:after="0" w:line="276" w:lineRule="auto"/>
        <w:rPr>
          <w:rFonts w:cs="Arial"/>
        </w:rPr>
      </w:pPr>
    </w:p>
    <w:p w14:paraId="7C51FC71" w14:textId="77777777" w:rsidR="0062377C" w:rsidRDefault="0062377C" w:rsidP="00BB19E2">
      <w:pPr>
        <w:pStyle w:val="Style1"/>
        <w:spacing w:before="0" w:after="0" w:line="276" w:lineRule="auto"/>
        <w:rPr>
          <w:rFonts w:cs="Arial"/>
        </w:rPr>
      </w:pPr>
    </w:p>
    <w:p w14:paraId="204DD12C" w14:textId="77777777" w:rsidR="0062377C" w:rsidRDefault="0062377C" w:rsidP="00BB19E2">
      <w:pPr>
        <w:pStyle w:val="Style1"/>
        <w:spacing w:before="0" w:after="0" w:line="276" w:lineRule="auto"/>
        <w:rPr>
          <w:rFonts w:cs="Arial"/>
        </w:rPr>
      </w:pPr>
    </w:p>
    <w:p w14:paraId="220B7F7E" w14:textId="77777777" w:rsidR="0062377C" w:rsidRDefault="0062377C" w:rsidP="00BB19E2">
      <w:pPr>
        <w:pStyle w:val="Style1"/>
        <w:spacing w:before="0" w:after="0" w:line="276" w:lineRule="auto"/>
        <w:rPr>
          <w:rFonts w:cs="Arial"/>
        </w:rPr>
      </w:pPr>
    </w:p>
    <w:p w14:paraId="0F7B0F40" w14:textId="77777777" w:rsidR="0062377C" w:rsidRPr="00E879B8" w:rsidRDefault="0062377C" w:rsidP="00BB19E2">
      <w:pPr>
        <w:pStyle w:val="Style1"/>
        <w:spacing w:before="0" w:after="0" w:line="276" w:lineRule="auto"/>
        <w:rPr>
          <w:rFonts w:cs="Arial"/>
        </w:rPr>
      </w:pPr>
    </w:p>
    <w:p w14:paraId="44B9B4FE" w14:textId="6E452E3B" w:rsidR="00BB19E2" w:rsidRPr="00B86E72" w:rsidRDefault="00EF0C21" w:rsidP="00BB19E2">
      <w:pPr>
        <w:pStyle w:val="Heading3"/>
        <w:numPr>
          <w:ilvl w:val="0"/>
          <w:numId w:val="0"/>
        </w:numPr>
        <w:spacing w:before="0" w:after="0" w:line="276" w:lineRule="auto"/>
        <w:ind w:left="570" w:hanging="567"/>
      </w:pPr>
      <w:bookmarkStart w:id="384" w:name="_Toc160129625"/>
      <w:r>
        <w:t xml:space="preserve">2.7 </w:t>
      </w:r>
      <w:r w:rsidR="00BB19E2" w:rsidRPr="00E879B8">
        <w:t>Planning Policy</w:t>
      </w:r>
      <w:bookmarkEnd w:id="384"/>
      <w:r w:rsidR="00BB19E2" w:rsidRPr="00E879B8">
        <w:t xml:space="preserve"> </w:t>
      </w:r>
    </w:p>
    <w:p w14:paraId="2361608C" w14:textId="77777777" w:rsidR="00BB19E2" w:rsidRDefault="00BB19E2" w:rsidP="00BB19E2">
      <w:pPr>
        <w:pStyle w:val="Heading3"/>
        <w:numPr>
          <w:ilvl w:val="0"/>
          <w:numId w:val="0"/>
        </w:numPr>
        <w:spacing w:before="0" w:after="0" w:line="276" w:lineRule="auto"/>
        <w:ind w:left="570" w:hanging="567"/>
      </w:pPr>
    </w:p>
    <w:p w14:paraId="44330BBF" w14:textId="028192A1" w:rsidR="00BB19E2" w:rsidRPr="00C87B57" w:rsidRDefault="00BB19E2" w:rsidP="00C87B57">
      <w:pPr>
        <w:spacing w:before="0" w:after="0"/>
        <w:rPr>
          <w:b/>
          <w:bCs/>
          <w:color w:val="008938"/>
        </w:rPr>
      </w:pPr>
      <w:r w:rsidRPr="00C41398">
        <w:rPr>
          <w:b/>
          <w:bCs/>
          <w:color w:val="008938"/>
        </w:rPr>
        <w:t>Local Development Plan (2006-2026)</w:t>
      </w:r>
    </w:p>
    <w:p w14:paraId="75567C0B" w14:textId="1DBE1C69" w:rsidR="00BB19E2" w:rsidRPr="00E879B8" w:rsidRDefault="00BB19E2" w:rsidP="00BB19E2">
      <w:pPr>
        <w:pStyle w:val="Style1"/>
        <w:spacing w:before="0" w:after="0" w:line="276" w:lineRule="auto"/>
        <w:rPr>
          <w:rFonts w:cs="Arial"/>
        </w:rPr>
      </w:pPr>
      <w:bookmarkStart w:id="385" w:name="_Hlk159581773"/>
      <w:r w:rsidRPr="00E879B8">
        <w:rPr>
          <w:rFonts w:cs="Arial"/>
        </w:rPr>
        <w:t>The Local Development Plan (LDP)</w:t>
      </w:r>
      <w:r w:rsidR="0062377C">
        <w:rPr>
          <w:rStyle w:val="FootnoteReference"/>
          <w:rFonts w:cs="Arial"/>
        </w:rPr>
        <w:footnoteReference w:id="41"/>
      </w:r>
      <w:r w:rsidRPr="00E879B8">
        <w:rPr>
          <w:rFonts w:cs="Arial"/>
        </w:rPr>
        <w:t xml:space="preserve"> sets out the vision for how Slough should develop and the strategy to enable this vision. The LDP consists of a core strategy development plan, site allocations, policies and proposals.</w:t>
      </w:r>
      <w:bookmarkEnd w:id="385"/>
      <w:r w:rsidRPr="00E879B8">
        <w:rPr>
          <w:rFonts w:cs="Arial"/>
        </w:rPr>
        <w:t xml:space="preserve"> </w:t>
      </w:r>
    </w:p>
    <w:p w14:paraId="11E1B426" w14:textId="77777777" w:rsidR="00BB19E2" w:rsidRDefault="00BB19E2" w:rsidP="00BB19E2">
      <w:pPr>
        <w:pStyle w:val="Style1"/>
        <w:spacing w:before="0" w:after="0" w:line="276" w:lineRule="auto"/>
        <w:rPr>
          <w:rFonts w:cs="Arial"/>
        </w:rPr>
      </w:pPr>
    </w:p>
    <w:p w14:paraId="1AC8DCEA" w14:textId="77777777" w:rsidR="00BB19E2" w:rsidRPr="00E879B8" w:rsidRDefault="00BB19E2" w:rsidP="00BB19E2">
      <w:pPr>
        <w:pStyle w:val="Style1"/>
        <w:spacing w:before="0" w:line="276" w:lineRule="auto"/>
        <w:rPr>
          <w:rFonts w:cs="Arial"/>
        </w:rPr>
      </w:pPr>
      <w:r w:rsidRPr="00E879B8">
        <w:rPr>
          <w:rFonts w:cs="Arial"/>
        </w:rPr>
        <w:t>The core strategy development plan summarises the spatial vision as Slough having a ‘positive image which will help create prosperous, confident and cohesive communities’ by 2026, ‘achieved by the comprehensive redevelopment of parts of the town centre…’. This is followed by a set of strategic objectives, many of which influence air quality or can be supported by the AQAP, including:</w:t>
      </w:r>
    </w:p>
    <w:p w14:paraId="26CFBEF2" w14:textId="77777777" w:rsidR="00BB19E2" w:rsidRPr="00E879B8" w:rsidRDefault="00BB19E2" w:rsidP="0025036F">
      <w:pPr>
        <w:pStyle w:val="Style1"/>
        <w:numPr>
          <w:ilvl w:val="0"/>
          <w:numId w:val="52"/>
        </w:numPr>
        <w:spacing w:before="0" w:after="0" w:line="276" w:lineRule="auto"/>
        <w:rPr>
          <w:rFonts w:cs="Arial"/>
        </w:rPr>
      </w:pPr>
      <w:r w:rsidRPr="00E879B8">
        <w:rPr>
          <w:rFonts w:cs="Arial"/>
        </w:rPr>
        <w:t>To focus development in the most accessible locations such as the town centre, district and neighbourhood centres and public transport hubs</w:t>
      </w:r>
      <w:r>
        <w:rPr>
          <w:rFonts w:cs="Arial"/>
        </w:rPr>
        <w:t>,</w:t>
      </w:r>
      <w:r w:rsidRPr="00E879B8">
        <w:rPr>
          <w:rFonts w:cs="Arial"/>
        </w:rPr>
        <w:t xml:space="preserve"> and make the best use of existing buildings, previously developed land and existing and proposed infrastructure</w:t>
      </w:r>
    </w:p>
    <w:p w14:paraId="0ADD1DC3" w14:textId="77777777" w:rsidR="00BB19E2" w:rsidRPr="00E879B8" w:rsidRDefault="00BB19E2" w:rsidP="0025036F">
      <w:pPr>
        <w:pStyle w:val="Style1"/>
        <w:numPr>
          <w:ilvl w:val="0"/>
          <w:numId w:val="52"/>
        </w:numPr>
        <w:spacing w:before="0" w:after="0" w:line="276" w:lineRule="auto"/>
        <w:rPr>
          <w:rFonts w:cs="Arial"/>
        </w:rPr>
      </w:pPr>
      <w:r w:rsidRPr="00E879B8">
        <w:rPr>
          <w:rFonts w:cs="Arial"/>
        </w:rPr>
        <w:t>To reduce the need to travel and create a transport system that encourages sustainable modes of travel such as walking, cycling and public transport.</w:t>
      </w:r>
    </w:p>
    <w:p w14:paraId="5FCB7F21" w14:textId="77777777" w:rsidR="00BB19E2" w:rsidRPr="00E879B8" w:rsidRDefault="00BB19E2" w:rsidP="0025036F">
      <w:pPr>
        <w:pStyle w:val="Style1"/>
        <w:numPr>
          <w:ilvl w:val="0"/>
          <w:numId w:val="52"/>
        </w:numPr>
        <w:spacing w:before="0" w:after="0" w:line="276" w:lineRule="auto"/>
        <w:rPr>
          <w:rFonts w:cs="Arial"/>
        </w:rPr>
      </w:pPr>
      <w:r w:rsidRPr="00E879B8">
        <w:rPr>
          <w:rFonts w:cs="Arial"/>
        </w:rPr>
        <w:t>To reduce areas subject to risk of flooding and pollution</w:t>
      </w:r>
      <w:r>
        <w:rPr>
          <w:rFonts w:cs="Arial"/>
        </w:rPr>
        <w:t>,</w:t>
      </w:r>
      <w:r w:rsidRPr="00E879B8">
        <w:rPr>
          <w:rFonts w:cs="Arial"/>
        </w:rPr>
        <w:t xml:space="preserve"> and control the location of development</w:t>
      </w:r>
      <w:r>
        <w:rPr>
          <w:rFonts w:cs="Arial"/>
        </w:rPr>
        <w:t>,</w:t>
      </w:r>
      <w:r w:rsidRPr="00E879B8">
        <w:rPr>
          <w:rFonts w:cs="Arial"/>
        </w:rPr>
        <w:t xml:space="preserve"> in order to protect people and their property from the effects of pollution and flooding. </w:t>
      </w:r>
    </w:p>
    <w:p w14:paraId="1CD90529" w14:textId="77777777" w:rsidR="00BB19E2" w:rsidRDefault="00BB19E2" w:rsidP="0025036F">
      <w:pPr>
        <w:pStyle w:val="Style1"/>
        <w:numPr>
          <w:ilvl w:val="0"/>
          <w:numId w:val="52"/>
        </w:numPr>
        <w:spacing w:before="0" w:after="0" w:line="276" w:lineRule="auto"/>
        <w:rPr>
          <w:rFonts w:cs="Arial"/>
        </w:rPr>
      </w:pPr>
      <w:r w:rsidRPr="00E879B8">
        <w:rPr>
          <w:rFonts w:cs="Arial"/>
        </w:rPr>
        <w:t xml:space="preserve">To promote a safe and healthy community that is inclusive of the needs of the </w:t>
      </w:r>
      <w:r>
        <w:rPr>
          <w:rFonts w:cs="Arial"/>
        </w:rPr>
        <w:t>b</w:t>
      </w:r>
      <w:r w:rsidRPr="00E879B8">
        <w:rPr>
          <w:rFonts w:cs="Arial"/>
        </w:rPr>
        <w:t>orough’s diverse population.</w:t>
      </w:r>
    </w:p>
    <w:p w14:paraId="4CA7A626" w14:textId="77777777" w:rsidR="00BB19E2" w:rsidRPr="00E879B8" w:rsidRDefault="00BB19E2" w:rsidP="00BB19E2">
      <w:pPr>
        <w:pStyle w:val="Style1"/>
        <w:spacing w:before="0" w:after="0" w:line="276" w:lineRule="auto"/>
        <w:ind w:left="360"/>
        <w:rPr>
          <w:rFonts w:cs="Arial"/>
        </w:rPr>
      </w:pPr>
    </w:p>
    <w:p w14:paraId="569DD8BE" w14:textId="77777777" w:rsidR="00BB19E2" w:rsidRPr="00E879B8" w:rsidRDefault="00BB19E2" w:rsidP="00BB19E2">
      <w:pPr>
        <w:pStyle w:val="Style1"/>
        <w:spacing w:before="0" w:line="276" w:lineRule="auto"/>
        <w:rPr>
          <w:rFonts w:cs="Arial"/>
        </w:rPr>
      </w:pPr>
      <w:bookmarkStart w:id="386" w:name="_Hlk159581797"/>
      <w:r w:rsidRPr="00E879B8">
        <w:rPr>
          <w:rFonts w:cs="Arial"/>
        </w:rPr>
        <w:t xml:space="preserve">The core strategy development plan also outlines core policies, two of which are </w:t>
      </w:r>
      <w:r>
        <w:rPr>
          <w:rFonts w:cs="Arial"/>
        </w:rPr>
        <w:t>relate</w:t>
      </w:r>
      <w:r w:rsidRPr="00E879B8">
        <w:rPr>
          <w:rFonts w:cs="Arial"/>
        </w:rPr>
        <w:t xml:space="preserve"> to air quality: Core Policy 7 (Transport)</w:t>
      </w:r>
      <w:r>
        <w:rPr>
          <w:rFonts w:cs="Arial"/>
        </w:rPr>
        <w:t xml:space="preserve">, and </w:t>
      </w:r>
      <w:r w:rsidRPr="00E879B8">
        <w:rPr>
          <w:rFonts w:cs="Arial"/>
        </w:rPr>
        <w:t>Core Policy 8 (Sustainability and The Environment)</w:t>
      </w:r>
      <w:r>
        <w:rPr>
          <w:rFonts w:cs="Arial"/>
        </w:rPr>
        <w:t>.</w:t>
      </w:r>
    </w:p>
    <w:bookmarkEnd w:id="386"/>
    <w:p w14:paraId="0090E22B" w14:textId="77777777" w:rsidR="00BB19E2" w:rsidRPr="00E879B8" w:rsidRDefault="00BB19E2" w:rsidP="00BB19E2">
      <w:pPr>
        <w:pStyle w:val="Style1"/>
        <w:spacing w:before="0" w:line="276" w:lineRule="auto"/>
        <w:rPr>
          <w:rFonts w:cs="Arial"/>
        </w:rPr>
      </w:pPr>
      <w:r>
        <w:rPr>
          <w:rFonts w:cs="Arial"/>
        </w:rPr>
        <w:t xml:space="preserve">Under </w:t>
      </w:r>
      <w:r w:rsidRPr="00E879B8">
        <w:rPr>
          <w:rFonts w:cs="Arial"/>
        </w:rPr>
        <w:t>Core Policy 7 (Transport)</w:t>
      </w:r>
      <w:r>
        <w:rPr>
          <w:rFonts w:cs="Arial"/>
        </w:rPr>
        <w:t>, a</w:t>
      </w:r>
      <w:r w:rsidRPr="00E879B8">
        <w:rPr>
          <w:rFonts w:cs="Arial"/>
        </w:rPr>
        <w:t xml:space="preserve">ll new development </w:t>
      </w:r>
      <w:r>
        <w:rPr>
          <w:rFonts w:cs="Arial"/>
        </w:rPr>
        <w:t>is required to</w:t>
      </w:r>
      <w:r w:rsidRPr="00E879B8">
        <w:rPr>
          <w:rFonts w:cs="Arial"/>
        </w:rPr>
        <w:t xml:space="preserve"> reinforce the principles of the transport strategy as set out in the </w:t>
      </w:r>
      <w:r>
        <w:rPr>
          <w:rFonts w:cs="Arial"/>
        </w:rPr>
        <w:t>C</w:t>
      </w:r>
      <w:r w:rsidRPr="00E879B8">
        <w:rPr>
          <w:rFonts w:cs="Arial"/>
        </w:rPr>
        <w:t xml:space="preserve">ouncil’s Local Transport Plan and Spatial Strategy, which seek to ensure that new development is sustainable and is located in the most accessible locations, thereby reducing the need to travel. Development proposals will, either individually or collectively, have to make appropriate provisions for: </w:t>
      </w:r>
    </w:p>
    <w:p w14:paraId="514149BC" w14:textId="77777777" w:rsidR="00BB19E2" w:rsidRPr="00B86E72" w:rsidRDefault="00BB19E2" w:rsidP="0025036F">
      <w:pPr>
        <w:pStyle w:val="Style1"/>
        <w:numPr>
          <w:ilvl w:val="0"/>
          <w:numId w:val="53"/>
        </w:numPr>
        <w:spacing w:before="0" w:after="0" w:line="276" w:lineRule="auto"/>
        <w:rPr>
          <w:rFonts w:cs="Arial"/>
        </w:rPr>
      </w:pPr>
      <w:r w:rsidRPr="00B86E72">
        <w:rPr>
          <w:rFonts w:cs="Arial"/>
        </w:rPr>
        <w:t xml:space="preserve">Reducing the need to travel; </w:t>
      </w:r>
    </w:p>
    <w:p w14:paraId="50B6A164" w14:textId="77777777" w:rsidR="00BB19E2" w:rsidRPr="00B86E72" w:rsidRDefault="00BB19E2" w:rsidP="0025036F">
      <w:pPr>
        <w:pStyle w:val="Style1"/>
        <w:numPr>
          <w:ilvl w:val="0"/>
          <w:numId w:val="53"/>
        </w:numPr>
        <w:spacing w:before="0" w:after="0" w:line="276" w:lineRule="auto"/>
        <w:rPr>
          <w:rFonts w:cs="Arial"/>
        </w:rPr>
      </w:pPr>
      <w:r w:rsidRPr="00B86E72">
        <w:rPr>
          <w:rFonts w:cs="Arial"/>
        </w:rPr>
        <w:t xml:space="preserve">Widening travel choices and making travel by sustainable means of transport more attractive than the private car; </w:t>
      </w:r>
    </w:p>
    <w:p w14:paraId="095A5472" w14:textId="77777777" w:rsidR="00BB19E2" w:rsidRPr="00B86E72" w:rsidRDefault="00BB19E2" w:rsidP="0025036F">
      <w:pPr>
        <w:pStyle w:val="Style1"/>
        <w:numPr>
          <w:ilvl w:val="0"/>
          <w:numId w:val="53"/>
        </w:numPr>
        <w:spacing w:before="0" w:after="0" w:line="276" w:lineRule="auto"/>
        <w:rPr>
          <w:rFonts w:cs="Arial"/>
        </w:rPr>
      </w:pPr>
      <w:r w:rsidRPr="00B86E72">
        <w:rPr>
          <w:rFonts w:cs="Arial"/>
        </w:rPr>
        <w:t xml:space="preserve">Improving road safety; and </w:t>
      </w:r>
    </w:p>
    <w:p w14:paraId="69664818" w14:textId="77777777" w:rsidR="00BB19E2" w:rsidRDefault="00BB19E2" w:rsidP="0025036F">
      <w:pPr>
        <w:pStyle w:val="Style1"/>
        <w:numPr>
          <w:ilvl w:val="0"/>
          <w:numId w:val="53"/>
        </w:numPr>
        <w:spacing w:before="0" w:after="0" w:line="276" w:lineRule="auto"/>
        <w:rPr>
          <w:rFonts w:cs="Arial"/>
        </w:rPr>
      </w:pPr>
      <w:bookmarkStart w:id="387" w:name="_Hlk159581952"/>
      <w:r w:rsidRPr="00B86E72">
        <w:rPr>
          <w:rFonts w:cs="Arial"/>
        </w:rPr>
        <w:t>Improving air quality and reducing the impact of travel upon the environment, in particular, climate change.</w:t>
      </w:r>
      <w:bookmarkEnd w:id="387"/>
      <w:r w:rsidRPr="00B86E72">
        <w:rPr>
          <w:rFonts w:cs="Arial"/>
        </w:rPr>
        <w:t xml:space="preserve"> </w:t>
      </w:r>
    </w:p>
    <w:p w14:paraId="13E8A0C8" w14:textId="77777777" w:rsidR="00BB19E2" w:rsidRPr="00B86E72" w:rsidRDefault="00BB19E2" w:rsidP="00BB19E2">
      <w:pPr>
        <w:pStyle w:val="Style1"/>
        <w:spacing w:before="0" w:after="0" w:line="276" w:lineRule="auto"/>
        <w:ind w:left="360"/>
        <w:rPr>
          <w:rFonts w:cs="Arial"/>
        </w:rPr>
      </w:pPr>
    </w:p>
    <w:p w14:paraId="5E6CC6E3" w14:textId="77777777" w:rsidR="00BB19E2" w:rsidRPr="00B86E72" w:rsidRDefault="00BB19E2" w:rsidP="00BB19E2">
      <w:pPr>
        <w:pStyle w:val="Style1"/>
        <w:spacing w:before="0" w:line="276" w:lineRule="auto"/>
        <w:rPr>
          <w:rFonts w:cs="Arial"/>
        </w:rPr>
      </w:pPr>
      <w:r w:rsidRPr="00B86E72">
        <w:rPr>
          <w:rFonts w:cs="Arial"/>
        </w:rPr>
        <w:t>Development proposals will also have</w:t>
      </w:r>
      <w:r>
        <w:rPr>
          <w:rFonts w:cs="Arial"/>
        </w:rPr>
        <w:t xml:space="preserve"> to</w:t>
      </w:r>
      <w:r w:rsidRPr="00B86E72">
        <w:rPr>
          <w:rFonts w:cs="Arial"/>
        </w:rPr>
        <w:t xml:space="preserve"> make contributions to</w:t>
      </w:r>
      <w:r>
        <w:rPr>
          <w:rFonts w:cs="Arial"/>
        </w:rPr>
        <w:t>wards</w:t>
      </w:r>
      <w:r w:rsidRPr="00B86E72">
        <w:rPr>
          <w:rFonts w:cs="Arial"/>
        </w:rPr>
        <w:t xml:space="preserve">, or provision for: </w:t>
      </w:r>
    </w:p>
    <w:p w14:paraId="0E16CF14" w14:textId="77777777" w:rsidR="00BB19E2" w:rsidRPr="00E879B8" w:rsidRDefault="00BB19E2" w:rsidP="0025036F">
      <w:pPr>
        <w:pStyle w:val="Style1"/>
        <w:numPr>
          <w:ilvl w:val="0"/>
          <w:numId w:val="53"/>
        </w:numPr>
        <w:spacing w:before="0" w:after="0" w:line="276" w:lineRule="auto"/>
        <w:rPr>
          <w:rFonts w:cs="Arial"/>
        </w:rPr>
      </w:pPr>
      <w:r w:rsidRPr="00E879B8">
        <w:rPr>
          <w:rFonts w:cs="Arial"/>
        </w:rPr>
        <w:t xml:space="preserve">The development of Slough town centre as a Regional Transport Hub; </w:t>
      </w:r>
    </w:p>
    <w:p w14:paraId="1C12F93A" w14:textId="77777777" w:rsidR="00BB19E2" w:rsidRPr="00E879B8" w:rsidRDefault="00BB19E2" w:rsidP="0025036F">
      <w:pPr>
        <w:pStyle w:val="Style1"/>
        <w:numPr>
          <w:ilvl w:val="0"/>
          <w:numId w:val="53"/>
        </w:numPr>
        <w:spacing w:before="0" w:after="0" w:line="276" w:lineRule="auto"/>
        <w:rPr>
          <w:rFonts w:cs="Arial"/>
        </w:rPr>
      </w:pPr>
      <w:r w:rsidRPr="00E879B8">
        <w:rPr>
          <w:rFonts w:cs="Arial"/>
        </w:rPr>
        <w:t xml:space="preserve">The improvement of key transport corridors such as the links to Heathrow Airport; </w:t>
      </w:r>
    </w:p>
    <w:p w14:paraId="1EEFDA13" w14:textId="77777777" w:rsidR="00BB19E2" w:rsidRPr="00E879B8" w:rsidRDefault="00BB19E2" w:rsidP="0025036F">
      <w:pPr>
        <w:pStyle w:val="Style1"/>
        <w:numPr>
          <w:ilvl w:val="0"/>
          <w:numId w:val="53"/>
        </w:numPr>
        <w:spacing w:before="0" w:after="0" w:line="276" w:lineRule="auto"/>
        <w:rPr>
          <w:rFonts w:cs="Arial"/>
        </w:rPr>
      </w:pPr>
      <w:r w:rsidRPr="00E879B8">
        <w:rPr>
          <w:rFonts w:cs="Arial"/>
        </w:rPr>
        <w:t>Improvements to Slough, Burnham and Langley railway stations</w:t>
      </w:r>
      <w:r>
        <w:rPr>
          <w:rFonts w:cs="Arial"/>
        </w:rPr>
        <w:t xml:space="preserve">, </w:t>
      </w:r>
      <w:r w:rsidRPr="00E879B8">
        <w:rPr>
          <w:rFonts w:cs="Arial"/>
        </w:rPr>
        <w:t xml:space="preserve">and </w:t>
      </w:r>
      <w:r>
        <w:rPr>
          <w:rFonts w:cs="Arial"/>
        </w:rPr>
        <w:t>t</w:t>
      </w:r>
      <w:r w:rsidRPr="00E879B8">
        <w:rPr>
          <w:rFonts w:cs="Arial"/>
        </w:rPr>
        <w:t xml:space="preserve">he creation of a transport hub within Slough Trading Estate. </w:t>
      </w:r>
    </w:p>
    <w:p w14:paraId="728DC0A0" w14:textId="77777777" w:rsidR="00BB19E2" w:rsidRDefault="00BB19E2" w:rsidP="0025036F">
      <w:pPr>
        <w:pStyle w:val="Style1"/>
        <w:numPr>
          <w:ilvl w:val="0"/>
          <w:numId w:val="53"/>
        </w:numPr>
        <w:spacing w:before="0" w:after="0" w:line="276" w:lineRule="auto"/>
        <w:rPr>
          <w:rFonts w:cs="Arial"/>
        </w:rPr>
      </w:pPr>
      <w:r>
        <w:rPr>
          <w:rFonts w:cs="Arial"/>
        </w:rPr>
        <w:t>N</w:t>
      </w:r>
      <w:r w:rsidRPr="00E879B8">
        <w:rPr>
          <w:rFonts w:cs="Arial"/>
        </w:rPr>
        <w:t>o overall increase in the number of parking spaces permitted within commercial redevelopment schemes unless this is required for local road safety or operational reasons. Maximum restraint will be applied to parking for residential schemes in the town centre. In the rest of the Borough, the level of parking within residential development will be appropriate to both its location and the scale of the development and taking account of local parking conditions, the impact upon the street scene and the need to overcome road safety problems and protect the amenities of adjoining residents.</w:t>
      </w:r>
    </w:p>
    <w:p w14:paraId="43239D08" w14:textId="77777777" w:rsidR="00BB19E2" w:rsidRPr="00B86E72" w:rsidRDefault="00BB19E2" w:rsidP="00BB19E2">
      <w:pPr>
        <w:pStyle w:val="Style1"/>
        <w:spacing w:before="0" w:after="0" w:line="276" w:lineRule="auto"/>
        <w:ind w:left="360"/>
        <w:rPr>
          <w:rFonts w:cs="Arial"/>
        </w:rPr>
      </w:pPr>
    </w:p>
    <w:p w14:paraId="484C0CC1" w14:textId="490E8795" w:rsidR="00BB19E2" w:rsidRDefault="00BB19E2" w:rsidP="00BB19E2">
      <w:pPr>
        <w:pStyle w:val="Style1"/>
        <w:spacing w:before="0" w:after="0" w:line="276" w:lineRule="auto"/>
        <w:rPr>
          <w:rFonts w:cs="Arial"/>
        </w:rPr>
      </w:pPr>
      <w:bookmarkStart w:id="388" w:name="_Hlk159582123"/>
      <w:r w:rsidRPr="00E879B8">
        <w:rPr>
          <w:rFonts w:cs="Arial"/>
        </w:rPr>
        <w:t>A specific target within Core Policy 7 is for the number of vehicles entering Slough town centre during the morning peak (07:00-10:00) to be a maximum of 30,000, and the annual mean NO</w:t>
      </w:r>
      <w:r w:rsidRPr="00863188">
        <w:rPr>
          <w:rFonts w:cs="Arial"/>
          <w:vertAlign w:val="subscript"/>
        </w:rPr>
        <w:t>2</w:t>
      </w:r>
      <w:r w:rsidRPr="00E879B8">
        <w:rPr>
          <w:rFonts w:cs="Arial"/>
        </w:rPr>
        <w:t xml:space="preserve"> air qu</w:t>
      </w:r>
      <w:r w:rsidRPr="008B385F">
        <w:rPr>
          <w:rFonts w:cs="Arial"/>
        </w:rPr>
        <w:t>ality levels to be 35</w:t>
      </w:r>
      <w:r w:rsidR="007B7676">
        <w:rPr>
          <w:rFonts w:cs="Arial"/>
          <w:color w:val="0B0C0C"/>
        </w:rPr>
        <w:t>µ</w:t>
      </w:r>
      <w:r w:rsidRPr="008B385F">
        <w:rPr>
          <w:rFonts w:cs="Arial"/>
        </w:rPr>
        <w:t>g/m</w:t>
      </w:r>
      <w:r w:rsidRPr="008B385F">
        <w:rPr>
          <w:rFonts w:cs="Arial"/>
          <w:vertAlign w:val="superscript"/>
        </w:rPr>
        <w:t>3</w:t>
      </w:r>
      <w:r w:rsidRPr="008B385F">
        <w:rPr>
          <w:rFonts w:cs="Arial"/>
        </w:rPr>
        <w:t xml:space="preserve"> by 2021. This target has unfortunately not been achieved however it will be re-established within the new AQAP, with a target date of 2028.</w:t>
      </w:r>
    </w:p>
    <w:bookmarkEnd w:id="388"/>
    <w:p w14:paraId="28922194" w14:textId="77777777" w:rsidR="00BB19E2" w:rsidRDefault="00BB19E2" w:rsidP="00BB19E2">
      <w:pPr>
        <w:pStyle w:val="Style1"/>
        <w:spacing w:before="0" w:after="0" w:line="276" w:lineRule="auto"/>
        <w:rPr>
          <w:rFonts w:cs="Arial"/>
        </w:rPr>
      </w:pPr>
    </w:p>
    <w:p w14:paraId="091EFFF6" w14:textId="77777777" w:rsidR="00BB19E2" w:rsidRPr="00863188" w:rsidRDefault="00BB19E2" w:rsidP="00BB19E2">
      <w:pPr>
        <w:pStyle w:val="Style1"/>
        <w:spacing w:before="0" w:line="276" w:lineRule="auto"/>
        <w:rPr>
          <w:rFonts w:cs="Arial"/>
        </w:rPr>
      </w:pPr>
      <w:r>
        <w:rPr>
          <w:rFonts w:cs="Arial"/>
        </w:rPr>
        <w:t xml:space="preserve">Under </w:t>
      </w:r>
      <w:r w:rsidRPr="00863188">
        <w:rPr>
          <w:rFonts w:cs="Arial"/>
        </w:rPr>
        <w:t>Core Policy 8 (Sustainability and The Environment)</w:t>
      </w:r>
      <w:r>
        <w:rPr>
          <w:rFonts w:cs="Arial"/>
        </w:rPr>
        <w:t xml:space="preserve">, </w:t>
      </w:r>
      <w:bookmarkStart w:id="389" w:name="_Hlk159582179"/>
      <w:r>
        <w:rPr>
          <w:rFonts w:cs="Arial"/>
        </w:rPr>
        <w:t>a</w:t>
      </w:r>
      <w:r w:rsidRPr="00863188">
        <w:rPr>
          <w:rFonts w:cs="Arial"/>
        </w:rPr>
        <w:t xml:space="preserve">ll development in the </w:t>
      </w:r>
      <w:r>
        <w:rPr>
          <w:rFonts w:cs="Arial"/>
        </w:rPr>
        <w:t>b</w:t>
      </w:r>
      <w:r w:rsidRPr="00863188">
        <w:rPr>
          <w:rFonts w:cs="Arial"/>
        </w:rPr>
        <w:t>orough shall be sustainable, of a high quality design, improve the quality of the environment and address the impact of climate change.</w:t>
      </w:r>
      <w:bookmarkEnd w:id="389"/>
    </w:p>
    <w:p w14:paraId="054E4801" w14:textId="77777777" w:rsidR="00BB19E2" w:rsidRDefault="00BB19E2" w:rsidP="00BB19E2">
      <w:pPr>
        <w:pStyle w:val="Style1"/>
        <w:spacing w:before="0" w:line="276" w:lineRule="auto"/>
        <w:rPr>
          <w:rFonts w:cs="Arial"/>
        </w:rPr>
      </w:pPr>
      <w:r w:rsidRPr="00863188">
        <w:rPr>
          <w:rFonts w:cs="Arial"/>
        </w:rPr>
        <w:t xml:space="preserve">Development shall not: </w:t>
      </w:r>
    </w:p>
    <w:p w14:paraId="272CF45B" w14:textId="77777777" w:rsidR="00BB19E2" w:rsidRDefault="00BB19E2" w:rsidP="0025036F">
      <w:pPr>
        <w:pStyle w:val="Style1"/>
        <w:numPr>
          <w:ilvl w:val="0"/>
          <w:numId w:val="54"/>
        </w:numPr>
        <w:spacing w:before="0" w:after="0" w:line="276" w:lineRule="auto"/>
        <w:rPr>
          <w:rFonts w:cs="Arial"/>
        </w:rPr>
      </w:pPr>
      <w:bookmarkStart w:id="390" w:name="_Hlk159582253"/>
      <w:r w:rsidRPr="00863188">
        <w:rPr>
          <w:rFonts w:cs="Arial"/>
        </w:rPr>
        <w:t xml:space="preserve">Give rise to unacceptable levels of pollution including air pollution, dust, odour, artificial lighting or noise; </w:t>
      </w:r>
    </w:p>
    <w:bookmarkEnd w:id="390"/>
    <w:p w14:paraId="02A6FE0F" w14:textId="77777777" w:rsidR="00BB19E2" w:rsidRDefault="00BB19E2" w:rsidP="0025036F">
      <w:pPr>
        <w:pStyle w:val="Style1"/>
        <w:numPr>
          <w:ilvl w:val="0"/>
          <w:numId w:val="54"/>
        </w:numPr>
        <w:spacing w:before="0" w:after="0" w:line="276" w:lineRule="auto"/>
        <w:rPr>
          <w:rFonts w:cs="Arial"/>
        </w:rPr>
      </w:pPr>
      <w:r w:rsidRPr="00863188">
        <w:rPr>
          <w:rFonts w:cs="Arial"/>
        </w:rPr>
        <w:t xml:space="preserve">Cause contamination or a deterioration in land, soil or water quality; and </w:t>
      </w:r>
    </w:p>
    <w:p w14:paraId="5B6D455D" w14:textId="77777777" w:rsidR="00BB19E2" w:rsidRDefault="00BB19E2" w:rsidP="0025036F">
      <w:pPr>
        <w:pStyle w:val="Style1"/>
        <w:numPr>
          <w:ilvl w:val="0"/>
          <w:numId w:val="54"/>
        </w:numPr>
        <w:spacing w:before="0" w:after="0" w:line="276" w:lineRule="auto"/>
        <w:rPr>
          <w:rFonts w:cs="Arial"/>
        </w:rPr>
      </w:pPr>
      <w:r w:rsidRPr="00863188">
        <w:rPr>
          <w:rFonts w:cs="Arial"/>
        </w:rPr>
        <w:t>Be located on polluted land, areas affected by air pollution or in noisy environments unless the development incorporates appropriate mitigation measures to limit the adverse effects on occupiers and other appropriate receptors.</w:t>
      </w:r>
    </w:p>
    <w:p w14:paraId="0A0AD84F" w14:textId="77777777" w:rsidR="00BB19E2" w:rsidRDefault="00BB19E2" w:rsidP="00BB19E2">
      <w:pPr>
        <w:pStyle w:val="Style1"/>
        <w:spacing w:before="0" w:after="0" w:line="276" w:lineRule="auto"/>
        <w:rPr>
          <w:rFonts w:cs="Arial"/>
        </w:rPr>
      </w:pPr>
    </w:p>
    <w:p w14:paraId="5D18F8CF" w14:textId="77777777" w:rsidR="00BB19E2" w:rsidRDefault="00BB19E2" w:rsidP="00BB19E2">
      <w:pPr>
        <w:pStyle w:val="Style1"/>
        <w:spacing w:after="0" w:line="276" w:lineRule="auto"/>
        <w:rPr>
          <w:rFonts w:cs="Arial"/>
        </w:rPr>
      </w:pPr>
      <w:r>
        <w:rPr>
          <w:rFonts w:cs="Arial"/>
        </w:rPr>
        <w:t>Paragraph 7.160 specifies that “</w:t>
      </w:r>
      <w:r w:rsidRPr="0002739C">
        <w:rPr>
          <w:rFonts w:cs="Arial"/>
        </w:rPr>
        <w:t>Developers will also have to carry out air</w:t>
      </w:r>
      <w:r>
        <w:rPr>
          <w:rFonts w:cs="Arial"/>
        </w:rPr>
        <w:t xml:space="preserve"> </w:t>
      </w:r>
      <w:r w:rsidRPr="0002739C">
        <w:rPr>
          <w:rFonts w:cs="Arial"/>
        </w:rPr>
        <w:t>quality modelling to show that the site is</w:t>
      </w:r>
      <w:r>
        <w:rPr>
          <w:rFonts w:cs="Arial"/>
        </w:rPr>
        <w:t xml:space="preserve"> </w:t>
      </w:r>
      <w:r w:rsidRPr="0002739C">
        <w:rPr>
          <w:rFonts w:cs="Arial"/>
        </w:rPr>
        <w:t>not affected by poor air quality and that the</w:t>
      </w:r>
      <w:r>
        <w:rPr>
          <w:rFonts w:cs="Arial"/>
        </w:rPr>
        <w:t xml:space="preserve"> </w:t>
      </w:r>
      <w:r w:rsidRPr="0002739C">
        <w:rPr>
          <w:rFonts w:cs="Arial"/>
        </w:rPr>
        <w:t>proposed activity will not make the air</w:t>
      </w:r>
      <w:r>
        <w:rPr>
          <w:rFonts w:cs="Arial"/>
        </w:rPr>
        <w:t xml:space="preserve"> </w:t>
      </w:r>
      <w:r w:rsidRPr="0002739C">
        <w:rPr>
          <w:rFonts w:cs="Arial"/>
        </w:rPr>
        <w:t>quality any worse</w:t>
      </w:r>
      <w:r>
        <w:rPr>
          <w:rFonts w:cs="Arial"/>
        </w:rPr>
        <w:t xml:space="preserve">”. </w:t>
      </w:r>
    </w:p>
    <w:p w14:paraId="220DFA30" w14:textId="77777777" w:rsidR="00BB19E2" w:rsidRPr="00863188" w:rsidRDefault="00BB19E2" w:rsidP="00BB19E2">
      <w:pPr>
        <w:pStyle w:val="Style1"/>
        <w:spacing w:before="0" w:after="0" w:line="276" w:lineRule="auto"/>
        <w:ind w:left="360"/>
        <w:rPr>
          <w:rFonts w:cs="Arial"/>
        </w:rPr>
      </w:pPr>
    </w:p>
    <w:p w14:paraId="7C314521" w14:textId="3FE2D892" w:rsidR="00BB19E2" w:rsidRPr="00C87B57" w:rsidRDefault="00BB19E2" w:rsidP="00C87B57">
      <w:pPr>
        <w:spacing w:before="0" w:after="0"/>
        <w:rPr>
          <w:b/>
          <w:bCs/>
          <w:color w:val="008938"/>
        </w:rPr>
      </w:pPr>
      <w:r w:rsidRPr="00C41398">
        <w:rPr>
          <w:b/>
          <w:bCs/>
          <w:color w:val="008938"/>
        </w:rPr>
        <w:t>Local Plan (2016-2036)</w:t>
      </w:r>
    </w:p>
    <w:p w14:paraId="09360751" w14:textId="77777777" w:rsidR="00BB19E2" w:rsidRDefault="00BB19E2" w:rsidP="00BB19E2">
      <w:pPr>
        <w:pStyle w:val="Style1"/>
        <w:spacing w:before="0" w:after="0" w:line="276" w:lineRule="auto"/>
        <w:rPr>
          <w:rFonts w:cs="Arial"/>
        </w:rPr>
      </w:pPr>
      <w:r w:rsidRPr="00E879B8">
        <w:rPr>
          <w:rFonts w:cs="Arial"/>
        </w:rPr>
        <w:t xml:space="preserve">A new Local Plan is currently being developed as an update to the existing Core Strategy, Site Allocations and Local Plan Saved Policies. The emerging Local Plan brings a refreshed vision for Slough to be a place where people want to “work, rest, play and stay”, achieved by key aspirations such as creating a vibrant centre with high quality buildings, becoming an </w:t>
      </w:r>
      <w:r>
        <w:rPr>
          <w:rFonts w:cs="Arial"/>
        </w:rPr>
        <w:t>‘</w:t>
      </w:r>
      <w:r w:rsidRPr="00E879B8">
        <w:rPr>
          <w:rFonts w:cs="Arial"/>
        </w:rPr>
        <w:t>economic powerhouse</w:t>
      </w:r>
      <w:r>
        <w:rPr>
          <w:rFonts w:cs="Arial"/>
        </w:rPr>
        <w:t xml:space="preserve">’ </w:t>
      </w:r>
      <w:r w:rsidRPr="00E879B8">
        <w:rPr>
          <w:rFonts w:cs="Arial"/>
        </w:rPr>
        <w:t xml:space="preserve">with a skilled workforce and developing excellent accessibility via Crossrail and the western rail link to Heathrow. This vision is supported by 14 objectives, </w:t>
      </w:r>
      <w:r>
        <w:rPr>
          <w:rFonts w:cs="Arial"/>
        </w:rPr>
        <w:t>two</w:t>
      </w:r>
      <w:r w:rsidRPr="00E879B8">
        <w:rPr>
          <w:rFonts w:cs="Arial"/>
        </w:rPr>
        <w:t xml:space="preserve"> of which can be supported by the new AQAP:</w:t>
      </w:r>
    </w:p>
    <w:p w14:paraId="78C35982" w14:textId="77777777" w:rsidR="00BB19E2" w:rsidRDefault="00BB19E2" w:rsidP="00BB19E2">
      <w:pPr>
        <w:pStyle w:val="Style1"/>
        <w:spacing w:before="0" w:after="0" w:line="276" w:lineRule="auto"/>
        <w:ind w:left="426" w:hanging="426"/>
        <w:rPr>
          <w:rFonts w:cs="Arial"/>
        </w:rPr>
      </w:pPr>
      <w:r>
        <w:rPr>
          <w:rFonts w:cs="Arial"/>
        </w:rPr>
        <w:t xml:space="preserve">G.  </w:t>
      </w:r>
      <w:r w:rsidRPr="00E879B8">
        <w:rPr>
          <w:rFonts w:cs="Arial"/>
        </w:rPr>
        <w:t>Make public transport the most dominant mode of travel, ensure walking, cycling are attractive options, by reducing the need to travel by making non-car modes the best choice for short journeys. H. To improve the health and wellbeing of all residents and reduce deprivation through providing opportunities for our residents to live positive, healthy, active and independent lives.</w:t>
      </w:r>
    </w:p>
    <w:p w14:paraId="794DBB12" w14:textId="77777777" w:rsidR="00BB19E2" w:rsidRPr="00E879B8" w:rsidRDefault="00BB19E2" w:rsidP="00BB19E2">
      <w:pPr>
        <w:pStyle w:val="Style1"/>
        <w:spacing w:before="0" w:after="0" w:line="276" w:lineRule="auto"/>
        <w:ind w:left="426" w:hanging="426"/>
        <w:rPr>
          <w:rFonts w:cs="Arial"/>
        </w:rPr>
      </w:pPr>
      <w:r w:rsidRPr="00E879B8">
        <w:rPr>
          <w:rFonts w:cs="Arial"/>
        </w:rPr>
        <w:t>M.  Protecting and enhancing the natural environment, adapting and mitigating the effects of climate change, reducing energy use, addressing flood risk, carbon emissions, energy use and pollution.</w:t>
      </w:r>
    </w:p>
    <w:p w14:paraId="360EA2A4" w14:textId="77777777" w:rsidR="00BB19E2" w:rsidRDefault="00BB19E2" w:rsidP="00BB19E2">
      <w:pPr>
        <w:spacing w:line="276" w:lineRule="auto"/>
        <w:rPr>
          <w:rFonts w:cs="Arial"/>
          <w:u w:val="single"/>
        </w:rPr>
      </w:pPr>
    </w:p>
    <w:p w14:paraId="22CCA79D" w14:textId="7C9B27B6" w:rsidR="00BB19E2" w:rsidRPr="00C87B57" w:rsidRDefault="00BB19E2" w:rsidP="00C87B57">
      <w:pPr>
        <w:spacing w:before="0" w:after="0"/>
        <w:rPr>
          <w:b/>
          <w:bCs/>
          <w:color w:val="008938"/>
        </w:rPr>
      </w:pPr>
      <w:r w:rsidRPr="00C41398">
        <w:rPr>
          <w:b/>
          <w:bCs/>
          <w:color w:val="008938"/>
        </w:rPr>
        <w:t xml:space="preserve">Spatial Strategy </w:t>
      </w:r>
    </w:p>
    <w:p w14:paraId="204700A3" w14:textId="7F322342" w:rsidR="00BB19E2" w:rsidRPr="00E879B8" w:rsidRDefault="00BB19E2" w:rsidP="00BB19E2">
      <w:pPr>
        <w:pStyle w:val="Style1"/>
        <w:spacing w:before="0" w:after="0" w:line="276" w:lineRule="auto"/>
        <w:rPr>
          <w:rFonts w:cs="Arial"/>
        </w:rPr>
      </w:pPr>
      <w:r w:rsidRPr="00E879B8">
        <w:rPr>
          <w:rFonts w:cs="Arial"/>
        </w:rPr>
        <w:t>In preparation of the new Local Plan, a new Spatial Strategy</w:t>
      </w:r>
      <w:r w:rsidR="0062377C">
        <w:rPr>
          <w:rStyle w:val="FootnoteReference"/>
          <w:rFonts w:cs="Arial"/>
        </w:rPr>
        <w:footnoteReference w:id="42"/>
      </w:r>
      <w:r w:rsidRPr="00E879B8">
        <w:rPr>
          <w:rFonts w:cs="Arial"/>
        </w:rPr>
        <w:t xml:space="preserve"> </w:t>
      </w:r>
      <w:r>
        <w:rPr>
          <w:rFonts w:cs="Arial"/>
        </w:rPr>
        <w:t>has</w:t>
      </w:r>
      <w:r w:rsidRPr="00E879B8">
        <w:rPr>
          <w:rFonts w:cs="Arial"/>
        </w:rPr>
        <w:t xml:space="preserve"> be</w:t>
      </w:r>
      <w:r>
        <w:rPr>
          <w:rFonts w:cs="Arial"/>
        </w:rPr>
        <w:t>en</w:t>
      </w:r>
      <w:r w:rsidRPr="00E879B8">
        <w:rPr>
          <w:rFonts w:cs="Arial"/>
        </w:rPr>
        <w:t xml:space="preserve"> developed</w:t>
      </w:r>
      <w:r>
        <w:rPr>
          <w:rFonts w:cs="Arial"/>
        </w:rPr>
        <w:t>.</w:t>
      </w:r>
    </w:p>
    <w:p w14:paraId="5EF03572" w14:textId="77777777" w:rsidR="00BB19E2" w:rsidRDefault="00BB19E2" w:rsidP="00BB19E2">
      <w:pPr>
        <w:pStyle w:val="Style1"/>
        <w:spacing w:before="0" w:after="0" w:line="276" w:lineRule="auto"/>
        <w:rPr>
          <w:rFonts w:cs="Arial"/>
        </w:rPr>
      </w:pPr>
      <w:r w:rsidRPr="00E879B8">
        <w:rPr>
          <w:rFonts w:cs="Arial"/>
        </w:rPr>
        <w:t xml:space="preserve">It is noted within the </w:t>
      </w:r>
      <w:r>
        <w:rPr>
          <w:rFonts w:cs="Arial"/>
        </w:rPr>
        <w:t>S</w:t>
      </w:r>
      <w:r w:rsidRPr="00E879B8">
        <w:rPr>
          <w:rFonts w:cs="Arial"/>
        </w:rPr>
        <w:t xml:space="preserve">trategy that Slough’s poor air quality and high levels of traffic congestion contribute to the poor image of the town whilst impacting health and wellbeing of residents, therefore one of the guiding principles of the strategy is that development should be located in the most accessible locations, which have greatest capacity to absorb growth and deliver social and environmental benefits. This will also reduce the need to travel and encourage use of sustainable modes, resulting in cleaner air. </w:t>
      </w:r>
    </w:p>
    <w:p w14:paraId="403F3426" w14:textId="77777777" w:rsidR="00BB19E2" w:rsidRPr="00E879B8" w:rsidRDefault="00BB19E2" w:rsidP="00BB19E2">
      <w:pPr>
        <w:pStyle w:val="Style1"/>
        <w:spacing w:before="0" w:after="0" w:line="276" w:lineRule="auto"/>
        <w:rPr>
          <w:rFonts w:cs="Arial"/>
        </w:rPr>
      </w:pPr>
    </w:p>
    <w:p w14:paraId="53C0788F" w14:textId="77777777" w:rsidR="00BB19E2" w:rsidRPr="00E879B8" w:rsidRDefault="00BB19E2" w:rsidP="00BB19E2">
      <w:pPr>
        <w:pStyle w:val="Style1"/>
        <w:spacing w:before="0" w:after="0" w:line="276" w:lineRule="auto"/>
        <w:rPr>
          <w:rFonts w:cs="Arial"/>
        </w:rPr>
      </w:pPr>
      <w:r w:rsidRPr="00E879B8">
        <w:rPr>
          <w:rFonts w:cs="Arial"/>
        </w:rPr>
        <w:t xml:space="preserve">One of the challenges the emerging Local Plan aims to address is how to tackle congestion on Slough’s roads, which in turn could lead to air quality improvements. </w:t>
      </w:r>
    </w:p>
    <w:p w14:paraId="19DDEF3A" w14:textId="77777777" w:rsidR="00BB19E2" w:rsidRPr="00E879B8" w:rsidRDefault="00BB19E2" w:rsidP="00BB19E2">
      <w:pPr>
        <w:spacing w:line="276" w:lineRule="auto"/>
        <w:rPr>
          <w:rFonts w:cs="Arial"/>
          <w:u w:val="single"/>
        </w:rPr>
      </w:pPr>
    </w:p>
    <w:p w14:paraId="19A099F4" w14:textId="674F7DAE" w:rsidR="00BB19E2" w:rsidRPr="00C87B57" w:rsidRDefault="00BB19E2" w:rsidP="00C87B57">
      <w:pPr>
        <w:spacing w:before="0" w:after="0"/>
        <w:rPr>
          <w:b/>
          <w:bCs/>
          <w:color w:val="008938"/>
        </w:rPr>
      </w:pPr>
      <w:r w:rsidRPr="00C41398">
        <w:rPr>
          <w:b/>
          <w:bCs/>
          <w:color w:val="008938"/>
        </w:rPr>
        <w:t>Developers Guide</w:t>
      </w:r>
    </w:p>
    <w:p w14:paraId="413EF464" w14:textId="53E73321" w:rsidR="00BB19E2" w:rsidRPr="00E879B8" w:rsidRDefault="00BB19E2" w:rsidP="00BB19E2">
      <w:pPr>
        <w:pStyle w:val="Style1"/>
        <w:spacing w:before="0" w:after="0" w:line="276" w:lineRule="auto"/>
        <w:rPr>
          <w:rFonts w:cs="Arial"/>
        </w:rPr>
      </w:pPr>
      <w:r w:rsidRPr="00E879B8">
        <w:rPr>
          <w:rFonts w:cs="Arial"/>
        </w:rPr>
        <w:t>The Developers Guide</w:t>
      </w:r>
      <w:r w:rsidR="0062377C">
        <w:rPr>
          <w:rStyle w:val="FootnoteReference"/>
          <w:rFonts w:cs="Arial"/>
        </w:rPr>
        <w:footnoteReference w:id="43"/>
      </w:r>
      <w:r w:rsidRPr="00E879B8">
        <w:rPr>
          <w:rFonts w:cs="Arial"/>
        </w:rPr>
        <w:t xml:space="preserve"> sets out the Councils planning requirements and processes, to aid developers submitting planning applications, based on Local Plan and Core Strategy Policies. Part 4 General Development Guidance contains a chapter specific </w:t>
      </w:r>
      <w:r>
        <w:rPr>
          <w:rFonts w:cs="Arial"/>
        </w:rPr>
        <w:t>on</w:t>
      </w:r>
      <w:r w:rsidRPr="00E879B8">
        <w:rPr>
          <w:rFonts w:cs="Arial"/>
        </w:rPr>
        <w:t xml:space="preserve"> air quality, setting out local air quality context and when to consider completing an air quality assessment. This information is very outdated (2008) and does not accurately represent existing air quality conditions in Slough. This document is in the process of being refreshed in line with existing, up to date guidance. Once the AQAP has been developed, any changes regarding the planning process and required mitigation will be incorporated into the Guide. </w:t>
      </w:r>
    </w:p>
    <w:p w14:paraId="247FCF01" w14:textId="77777777" w:rsidR="00BB19E2" w:rsidRDefault="00BB19E2" w:rsidP="001529CE"/>
    <w:p w14:paraId="4C45E542" w14:textId="77777777" w:rsidR="00EF0C21" w:rsidRDefault="00EF0C21" w:rsidP="001529CE"/>
    <w:p w14:paraId="0836556E" w14:textId="3079043F" w:rsidR="00EF0C21" w:rsidRDefault="00EF0C21">
      <w:pPr>
        <w:spacing w:before="0" w:after="0" w:line="240" w:lineRule="auto"/>
      </w:pPr>
      <w:r>
        <w:br w:type="page"/>
      </w:r>
    </w:p>
    <w:p w14:paraId="2529B072" w14:textId="77777777" w:rsidR="00EF0C21" w:rsidRPr="00C41398" w:rsidRDefault="00EF0C21" w:rsidP="00F77171">
      <w:pPr>
        <w:pStyle w:val="Heading1"/>
      </w:pPr>
      <w:bookmarkStart w:id="392" w:name="_Toc160129626"/>
      <w:r w:rsidRPr="00C41398">
        <w:t>E.2 Behaviours and Attitudes Towards Healthy Choices: Prior Consultation Review</w:t>
      </w:r>
      <w:bookmarkEnd w:id="392"/>
      <w:r w:rsidRPr="00C41398">
        <w:t xml:space="preserve"> </w:t>
      </w:r>
    </w:p>
    <w:p w14:paraId="491A2348" w14:textId="7076D031" w:rsidR="00EF0C21" w:rsidRPr="00AC04DF" w:rsidRDefault="00EF0C21" w:rsidP="00EF0C21">
      <w:pPr>
        <w:spacing w:line="276" w:lineRule="auto"/>
      </w:pPr>
      <w:r w:rsidRPr="00AC04DF">
        <w:t xml:space="preserve">A number of consultations and public engagement exercises undertaken across various service areas has provided </w:t>
      </w:r>
      <w:r>
        <w:t>people who work, live and visit Slough</w:t>
      </w:r>
      <w:r w:rsidRPr="00AC04DF">
        <w:t xml:space="preserve"> the opportunity to voice their views on matters regarding air quality, public health and transport, which provides invaluable insight into the behaviours and attitudes of </w:t>
      </w:r>
      <w:r w:rsidR="00C87B57">
        <w:t>people in Slough</w:t>
      </w:r>
      <w:r w:rsidRPr="00AC04DF">
        <w:t xml:space="preserve"> </w:t>
      </w:r>
      <w:r>
        <w:t>towards</w:t>
      </w:r>
      <w:r w:rsidRPr="00AC04DF">
        <w:t xml:space="preserve"> the environment, physical activity and travelling in an active, sustainable way. </w:t>
      </w:r>
    </w:p>
    <w:p w14:paraId="0AC85215" w14:textId="681176D9" w:rsidR="00EF0C21" w:rsidRPr="00AC04DF" w:rsidRDefault="00EF0C21" w:rsidP="00EF0C21">
      <w:pPr>
        <w:spacing w:line="276" w:lineRule="auto"/>
      </w:pPr>
      <w:r w:rsidRPr="00AC04DF">
        <w:t xml:space="preserve">The following consultation feedback results have been reviewed to draw out the behaviours and attitudes in relation to these themes and has been used as part of the evidence base to inform the </w:t>
      </w:r>
      <w:r w:rsidR="00C87B57">
        <w:t>AQAP.</w:t>
      </w:r>
    </w:p>
    <w:p w14:paraId="4201A9B3" w14:textId="77777777" w:rsidR="00EF0C21" w:rsidRPr="005D7008" w:rsidRDefault="00EF0C21" w:rsidP="0025036F">
      <w:pPr>
        <w:pStyle w:val="ListParagraph"/>
        <w:numPr>
          <w:ilvl w:val="0"/>
          <w:numId w:val="55"/>
        </w:numPr>
        <w:spacing w:before="0" w:after="160" w:line="276" w:lineRule="auto"/>
        <w:contextualSpacing/>
        <w:rPr>
          <w:rFonts w:cs="Arial"/>
        </w:rPr>
      </w:pPr>
      <w:r w:rsidRPr="005D7008">
        <w:rPr>
          <w:rFonts w:cs="Arial"/>
        </w:rPr>
        <w:t xml:space="preserve">Slough 2040 Vision (July </w:t>
      </w:r>
      <w:r>
        <w:rPr>
          <w:rFonts w:cs="Arial"/>
        </w:rPr>
        <w:t xml:space="preserve">– </w:t>
      </w:r>
      <w:r w:rsidRPr="005D7008">
        <w:rPr>
          <w:rFonts w:cs="Arial"/>
        </w:rPr>
        <w:t>October 2020)</w:t>
      </w:r>
    </w:p>
    <w:p w14:paraId="54D80919" w14:textId="77777777" w:rsidR="00EF0C21" w:rsidRPr="005D7008" w:rsidRDefault="00EF0C21" w:rsidP="0025036F">
      <w:pPr>
        <w:pStyle w:val="ListParagraph"/>
        <w:numPr>
          <w:ilvl w:val="0"/>
          <w:numId w:val="55"/>
        </w:numPr>
        <w:spacing w:before="0" w:after="160" w:line="276" w:lineRule="auto"/>
        <w:contextualSpacing/>
        <w:rPr>
          <w:rFonts w:cs="Arial"/>
        </w:rPr>
      </w:pPr>
      <w:r w:rsidRPr="005D7008">
        <w:rPr>
          <w:rFonts w:cs="Arial"/>
        </w:rPr>
        <w:t xml:space="preserve">Healthy Behaviours </w:t>
      </w:r>
      <w:r>
        <w:rPr>
          <w:rFonts w:cs="Arial"/>
        </w:rPr>
        <w:t>s</w:t>
      </w:r>
      <w:r w:rsidRPr="005D7008">
        <w:rPr>
          <w:rFonts w:cs="Arial"/>
        </w:rPr>
        <w:t xml:space="preserve">urvey (June </w:t>
      </w:r>
      <w:r>
        <w:rPr>
          <w:rFonts w:cs="Arial"/>
        </w:rPr>
        <w:t xml:space="preserve">– </w:t>
      </w:r>
      <w:r w:rsidRPr="005D7008">
        <w:rPr>
          <w:rFonts w:cs="Arial"/>
        </w:rPr>
        <w:t>July 2022)</w:t>
      </w:r>
    </w:p>
    <w:p w14:paraId="7EE1F273" w14:textId="77777777" w:rsidR="00EF0C21" w:rsidRDefault="00EF0C21" w:rsidP="0025036F">
      <w:pPr>
        <w:pStyle w:val="ListParagraph"/>
        <w:numPr>
          <w:ilvl w:val="0"/>
          <w:numId w:val="55"/>
        </w:numPr>
        <w:spacing w:before="0" w:after="0" w:line="276" w:lineRule="auto"/>
        <w:contextualSpacing/>
        <w:rPr>
          <w:rFonts w:cs="Arial"/>
        </w:rPr>
      </w:pPr>
      <w:r w:rsidRPr="003F184A">
        <w:rPr>
          <w:rFonts w:cs="Arial"/>
        </w:rPr>
        <w:t xml:space="preserve">A4 cycle lane scheme (August – September 2023) </w:t>
      </w:r>
    </w:p>
    <w:p w14:paraId="3D1F14F9" w14:textId="77777777" w:rsidR="00EF0C21" w:rsidRPr="003F184A" w:rsidRDefault="00EF0C21" w:rsidP="0025036F">
      <w:pPr>
        <w:pStyle w:val="ListParagraph"/>
        <w:numPr>
          <w:ilvl w:val="0"/>
          <w:numId w:val="55"/>
        </w:numPr>
        <w:spacing w:before="0" w:after="0" w:line="276" w:lineRule="auto"/>
        <w:contextualSpacing/>
        <w:rPr>
          <w:rFonts w:cs="Arial"/>
        </w:rPr>
      </w:pPr>
      <w:r w:rsidRPr="003F184A">
        <w:rPr>
          <w:rFonts w:cs="Arial"/>
        </w:rPr>
        <w:t>Thinks public engagement survey (June – October 2023</w:t>
      </w:r>
    </w:p>
    <w:p w14:paraId="6C745D36" w14:textId="77777777" w:rsidR="00EF0C21" w:rsidRDefault="00EF0C21" w:rsidP="0025036F">
      <w:pPr>
        <w:pStyle w:val="ListParagraph"/>
        <w:numPr>
          <w:ilvl w:val="0"/>
          <w:numId w:val="55"/>
        </w:numPr>
        <w:spacing w:before="0" w:after="0" w:line="276" w:lineRule="auto"/>
        <w:contextualSpacing/>
        <w:rPr>
          <w:rFonts w:cs="Arial"/>
        </w:rPr>
      </w:pPr>
      <w:r>
        <w:rPr>
          <w:rFonts w:cs="Arial"/>
        </w:rPr>
        <w:t xml:space="preserve">School engagement survey (January 2024) </w:t>
      </w:r>
    </w:p>
    <w:p w14:paraId="4728C8C4" w14:textId="77777777" w:rsidR="00EF0C21" w:rsidRPr="00AC04DF" w:rsidRDefault="00EF0C21" w:rsidP="0025036F">
      <w:pPr>
        <w:pStyle w:val="ListParagraph"/>
        <w:numPr>
          <w:ilvl w:val="0"/>
          <w:numId w:val="55"/>
        </w:numPr>
        <w:spacing w:before="0" w:after="0" w:line="276" w:lineRule="auto"/>
        <w:contextualSpacing/>
        <w:rPr>
          <w:rFonts w:cs="Arial"/>
        </w:rPr>
      </w:pPr>
      <w:r>
        <w:rPr>
          <w:rFonts w:cs="Arial"/>
        </w:rPr>
        <w:t xml:space="preserve">School Hands Up surveys (2018 – 2022) </w:t>
      </w:r>
    </w:p>
    <w:p w14:paraId="02AAF3A1" w14:textId="1F0B5D72" w:rsidR="00EF0C21" w:rsidRPr="00C07E70" w:rsidRDefault="00EF0C21" w:rsidP="0025036F">
      <w:pPr>
        <w:pStyle w:val="Heading2"/>
        <w:numPr>
          <w:ilvl w:val="0"/>
          <w:numId w:val="81"/>
        </w:numPr>
        <w:spacing w:after="0"/>
      </w:pPr>
      <w:bookmarkStart w:id="393" w:name="_Toc160129627"/>
      <w:r w:rsidRPr="00C07E70">
        <w:rPr>
          <w:rStyle w:val="Hyperlink"/>
          <w:color w:val="008938"/>
          <w:u w:val="none"/>
        </w:rPr>
        <w:t>Slough 2040 Vision</w:t>
      </w:r>
      <w:bookmarkEnd w:id="393"/>
      <w:r w:rsidRPr="00C07E70">
        <w:rPr>
          <w:rStyle w:val="Hyperlink"/>
          <w:color w:val="008938"/>
          <w:u w:val="none"/>
        </w:rPr>
        <w:t xml:space="preserve"> </w:t>
      </w:r>
    </w:p>
    <w:p w14:paraId="73511498" w14:textId="77777777" w:rsidR="00EF0C21" w:rsidRDefault="00EF0C21" w:rsidP="00C07E70">
      <w:pPr>
        <w:spacing w:after="0" w:line="276" w:lineRule="auto"/>
        <w:rPr>
          <w:rFonts w:cs="Arial"/>
        </w:rPr>
      </w:pPr>
      <w:r w:rsidRPr="005D7008">
        <w:rPr>
          <w:rFonts w:cs="Arial"/>
        </w:rPr>
        <w:t>The Slough 2040 Vision was a project undertaken in 2020 which aimed to gain a view of what the people of Slough wanted the town to be like in the future.</w:t>
      </w:r>
      <w:r>
        <w:rPr>
          <w:rFonts w:cs="Arial"/>
        </w:rPr>
        <w:t xml:space="preserve"> This engagement considered the views of f</w:t>
      </w:r>
      <w:r w:rsidRPr="005D7008">
        <w:rPr>
          <w:rFonts w:cs="Arial"/>
        </w:rPr>
        <w:t xml:space="preserve">ive different stakeholder groups including residents, council officers, council members, partners (including the NHS, police and voluntary sector) and businesses, who were engaged with between July and October 2020. </w:t>
      </w:r>
    </w:p>
    <w:p w14:paraId="4C5946F7" w14:textId="77777777" w:rsidR="00C87B57" w:rsidRDefault="00C87B57" w:rsidP="00C07E70">
      <w:pPr>
        <w:spacing w:after="0" w:line="276" w:lineRule="auto"/>
        <w:rPr>
          <w:rFonts w:cs="Arial"/>
        </w:rPr>
      </w:pPr>
    </w:p>
    <w:p w14:paraId="088FF267" w14:textId="2FEA714B" w:rsidR="00EF0C21" w:rsidRPr="00C07E70" w:rsidRDefault="00C07E70" w:rsidP="00C87B57">
      <w:pPr>
        <w:pStyle w:val="Heading3"/>
        <w:numPr>
          <w:ilvl w:val="1"/>
          <w:numId w:val="76"/>
        </w:numPr>
        <w:spacing w:before="0" w:after="0"/>
      </w:pPr>
      <w:r>
        <w:rPr>
          <w:rStyle w:val="Hyperlink"/>
          <w:color w:val="008938"/>
          <w:u w:val="none"/>
        </w:rPr>
        <w:t xml:space="preserve"> </w:t>
      </w:r>
      <w:bookmarkStart w:id="394" w:name="_Toc160129628"/>
      <w:r w:rsidR="00EF0C21" w:rsidRPr="00C07E70">
        <w:rPr>
          <w:rStyle w:val="Hyperlink"/>
          <w:color w:val="008938"/>
          <w:u w:val="none"/>
        </w:rPr>
        <w:t>Methodology</w:t>
      </w:r>
      <w:bookmarkEnd w:id="394"/>
      <w:r w:rsidR="00EF0C21" w:rsidRPr="00C07E70">
        <w:rPr>
          <w:rStyle w:val="Hyperlink"/>
          <w:color w:val="008938"/>
          <w:u w:val="none"/>
        </w:rPr>
        <w:t xml:space="preserve"> </w:t>
      </w:r>
    </w:p>
    <w:p w14:paraId="1553021B" w14:textId="2C3B40E0" w:rsidR="00EF0C21" w:rsidRPr="005D7008" w:rsidRDefault="00EF0C21" w:rsidP="00C87B57">
      <w:pPr>
        <w:spacing w:before="0" w:after="0" w:line="276" w:lineRule="auto"/>
        <w:rPr>
          <w:rFonts w:cs="Arial"/>
        </w:rPr>
      </w:pPr>
      <w:r w:rsidRPr="005D7008">
        <w:rPr>
          <w:rFonts w:cs="Arial"/>
        </w:rPr>
        <w:t xml:space="preserve">Due to the COVID-19 outbreak, engagement was </w:t>
      </w:r>
      <w:r>
        <w:rPr>
          <w:rFonts w:cs="Arial"/>
        </w:rPr>
        <w:t>undertaken</w:t>
      </w:r>
      <w:r w:rsidRPr="005D7008">
        <w:rPr>
          <w:rFonts w:cs="Arial"/>
        </w:rPr>
        <w:t xml:space="preserve"> entirely remotely, using video and telephone calls, and Mural software, and consisted of interviews, surveys, online tasks, participatory mapping and focus groups at the Partnership Conference in July 2020. This data was then analysed using thematic analysis on Computer Aided Qualitative Data Analysis Software (CAQDAS), which identified 64 themes. These themes covered a wide range of topics, including environment, transport, education, community and </w:t>
      </w:r>
      <w:r>
        <w:rPr>
          <w:rFonts w:cs="Arial"/>
        </w:rPr>
        <w:t xml:space="preserve">public </w:t>
      </w:r>
      <w:r w:rsidRPr="005D7008">
        <w:rPr>
          <w:rFonts w:cs="Arial"/>
        </w:rPr>
        <w:t xml:space="preserve">perception. </w:t>
      </w:r>
      <w:r w:rsidR="00C87B57">
        <w:rPr>
          <w:rFonts w:cs="Arial"/>
        </w:rPr>
        <w:t>Over 350 responses were received from the surveys.</w:t>
      </w:r>
    </w:p>
    <w:p w14:paraId="2C84917D" w14:textId="77777777" w:rsidR="00EF0C21" w:rsidRPr="005D7008" w:rsidRDefault="00EF0C21" w:rsidP="00EF0C21">
      <w:pPr>
        <w:spacing w:line="276" w:lineRule="auto"/>
        <w:rPr>
          <w:rFonts w:cs="Arial"/>
        </w:rPr>
      </w:pPr>
      <w:r w:rsidRPr="005D7008">
        <w:rPr>
          <w:rFonts w:cs="Arial"/>
        </w:rPr>
        <w:t xml:space="preserve">Several themes identified in </w:t>
      </w:r>
      <w:r>
        <w:rPr>
          <w:rFonts w:cs="Arial"/>
        </w:rPr>
        <w:t xml:space="preserve">the </w:t>
      </w:r>
      <w:r w:rsidRPr="005D7008">
        <w:rPr>
          <w:rFonts w:cs="Arial"/>
        </w:rPr>
        <w:t xml:space="preserve">analysis related to the topic of air quality, including: </w:t>
      </w:r>
    </w:p>
    <w:p w14:paraId="74CE2D6B"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Reduced Air Pollution </w:t>
      </w:r>
    </w:p>
    <w:p w14:paraId="24B146E0"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Car Free/Less Cars </w:t>
      </w:r>
    </w:p>
    <w:p w14:paraId="3FF8D385"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Keep the Bus Lane/More Bus Lanes </w:t>
      </w:r>
    </w:p>
    <w:p w14:paraId="47D76E7B"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Low Emission Vehicles </w:t>
      </w:r>
    </w:p>
    <w:p w14:paraId="2EB6445E"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Public Transport System </w:t>
      </w:r>
    </w:p>
    <w:p w14:paraId="2169A244"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 xml:space="preserve">Walking Encouraged </w:t>
      </w:r>
    </w:p>
    <w:p w14:paraId="6C82D58E"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Cycling Encouraged</w:t>
      </w:r>
    </w:p>
    <w:p w14:paraId="72479408" w14:textId="77777777" w:rsidR="00EF0C21" w:rsidRPr="005D7008" w:rsidRDefault="00EF0C21" w:rsidP="0025036F">
      <w:pPr>
        <w:pStyle w:val="ListParagraph"/>
        <w:numPr>
          <w:ilvl w:val="0"/>
          <w:numId w:val="61"/>
        </w:numPr>
        <w:spacing w:before="0" w:after="200" w:line="276" w:lineRule="auto"/>
        <w:contextualSpacing/>
        <w:rPr>
          <w:rFonts w:cs="Arial"/>
        </w:rPr>
      </w:pPr>
      <w:r w:rsidRPr="005D7008">
        <w:rPr>
          <w:rFonts w:cs="Arial"/>
        </w:rPr>
        <w:t>Park and Ride</w:t>
      </w:r>
    </w:p>
    <w:p w14:paraId="3F06E307" w14:textId="77777777" w:rsidR="00EF0C21" w:rsidRPr="005D7008" w:rsidRDefault="00EF0C21" w:rsidP="00EF0C21">
      <w:pPr>
        <w:spacing w:line="276" w:lineRule="auto"/>
        <w:rPr>
          <w:rFonts w:cs="Arial"/>
        </w:rPr>
      </w:pPr>
      <w:r w:rsidRPr="005D7008">
        <w:rPr>
          <w:rFonts w:cs="Arial"/>
        </w:rPr>
        <w:t>However, some of the data collected also showed some of the tensions around this topic, as some topics which appear to contradict these earlier themes</w:t>
      </w:r>
      <w:r>
        <w:rPr>
          <w:rFonts w:cs="Arial"/>
        </w:rPr>
        <w:t xml:space="preserve"> were </w:t>
      </w:r>
      <w:r w:rsidRPr="005D7008">
        <w:rPr>
          <w:rFonts w:cs="Arial"/>
        </w:rPr>
        <w:t>also discussed. These themes are:</w:t>
      </w:r>
    </w:p>
    <w:p w14:paraId="06406195" w14:textId="77777777" w:rsidR="00EF0C21" w:rsidRPr="005D7008" w:rsidRDefault="00EF0C21" w:rsidP="0025036F">
      <w:pPr>
        <w:pStyle w:val="ListParagraph"/>
        <w:numPr>
          <w:ilvl w:val="0"/>
          <w:numId w:val="62"/>
        </w:numPr>
        <w:spacing w:before="0" w:after="200" w:line="276" w:lineRule="auto"/>
        <w:contextualSpacing/>
        <w:rPr>
          <w:rFonts w:cs="Arial"/>
        </w:rPr>
      </w:pPr>
      <w:r w:rsidRPr="005D7008">
        <w:rPr>
          <w:rFonts w:cs="Arial"/>
        </w:rPr>
        <w:t xml:space="preserve">Parking/Car Friendly Town </w:t>
      </w:r>
    </w:p>
    <w:p w14:paraId="6EEC4307" w14:textId="77777777" w:rsidR="00EF0C21" w:rsidRPr="005D7008" w:rsidRDefault="00EF0C21" w:rsidP="0025036F">
      <w:pPr>
        <w:pStyle w:val="ListParagraph"/>
        <w:numPr>
          <w:ilvl w:val="0"/>
          <w:numId w:val="62"/>
        </w:numPr>
        <w:spacing w:before="0" w:after="200" w:line="276" w:lineRule="auto"/>
        <w:contextualSpacing/>
        <w:rPr>
          <w:rFonts w:cs="Arial"/>
        </w:rPr>
      </w:pPr>
      <w:r w:rsidRPr="005D7008">
        <w:rPr>
          <w:rFonts w:cs="Arial"/>
        </w:rPr>
        <w:t xml:space="preserve">Remove the Bus Lane </w:t>
      </w:r>
    </w:p>
    <w:p w14:paraId="78D462B1" w14:textId="048BEC28" w:rsidR="00EF0C21" w:rsidRPr="00C07E70" w:rsidRDefault="00C07E70" w:rsidP="0025036F">
      <w:pPr>
        <w:pStyle w:val="Heading3"/>
        <w:numPr>
          <w:ilvl w:val="1"/>
          <w:numId w:val="76"/>
        </w:numPr>
        <w:rPr>
          <w:rStyle w:val="Hyperlink"/>
          <w:color w:val="008938"/>
          <w:u w:val="none"/>
        </w:rPr>
      </w:pPr>
      <w:r>
        <w:rPr>
          <w:rStyle w:val="Hyperlink"/>
          <w:color w:val="008938"/>
          <w:u w:val="none"/>
        </w:rPr>
        <w:t xml:space="preserve"> </w:t>
      </w:r>
      <w:bookmarkStart w:id="395" w:name="_Toc160129629"/>
      <w:r w:rsidR="00EF0C21" w:rsidRPr="00C07E70">
        <w:rPr>
          <w:rStyle w:val="Hyperlink"/>
          <w:color w:val="008938"/>
          <w:u w:val="none"/>
        </w:rPr>
        <w:t>Results</w:t>
      </w:r>
      <w:bookmarkEnd w:id="395"/>
      <w:r w:rsidR="00EF0C21" w:rsidRPr="00C07E70">
        <w:rPr>
          <w:rStyle w:val="Hyperlink"/>
          <w:color w:val="008938"/>
          <w:u w:val="none"/>
        </w:rPr>
        <w:t xml:space="preserve"> </w:t>
      </w:r>
    </w:p>
    <w:p w14:paraId="06DB29F3" w14:textId="77777777" w:rsidR="00EF0C21" w:rsidRPr="005D7008" w:rsidRDefault="00EF0C21" w:rsidP="00EF0C21">
      <w:pPr>
        <w:spacing w:line="276" w:lineRule="auto"/>
        <w:rPr>
          <w:rFonts w:cs="Arial"/>
        </w:rPr>
      </w:pPr>
      <w:r w:rsidRPr="005D7008">
        <w:rPr>
          <w:rFonts w:cs="Arial"/>
        </w:rPr>
        <w:t xml:space="preserve">Below is a summary of the responses and the themes ranked in order of most frequently mentioned by participants. The rankings are split between ‘partners’ (to include council officers, members, partner organisations and businesses) and ‘residents’, to show points of agreement and tension between the main categories of different stakeholders </w:t>
      </w:r>
      <w:r>
        <w:rPr>
          <w:rFonts w:cs="Arial"/>
        </w:rPr>
        <w:t xml:space="preserve">in </w:t>
      </w:r>
      <w:r w:rsidRPr="005D7008">
        <w:rPr>
          <w:rFonts w:cs="Arial"/>
        </w:rPr>
        <w:t xml:space="preserve">the area.  </w:t>
      </w:r>
    </w:p>
    <w:p w14:paraId="20E4F651" w14:textId="77777777" w:rsidR="00EF0C21" w:rsidRPr="00C07E70" w:rsidRDefault="00EF0C21" w:rsidP="00C07E70">
      <w:pPr>
        <w:rPr>
          <w:rStyle w:val="Hyperlink"/>
          <w:b/>
          <w:bCs/>
          <w:color w:val="auto"/>
          <w:u w:val="none"/>
        </w:rPr>
      </w:pPr>
      <w:r w:rsidRPr="00C07E70">
        <w:rPr>
          <w:rStyle w:val="Hyperlink"/>
          <w:b/>
          <w:bCs/>
          <w:color w:val="auto"/>
          <w:u w:val="none"/>
        </w:rPr>
        <w:t>Reduced air pollution</w:t>
      </w:r>
    </w:p>
    <w:p w14:paraId="0ACA4D42" w14:textId="77777777" w:rsidR="00EF0C21" w:rsidRPr="005D7008" w:rsidRDefault="00EF0C21" w:rsidP="00EF0C21">
      <w:pPr>
        <w:spacing w:after="200" w:line="276" w:lineRule="auto"/>
        <w:rPr>
          <w:rFonts w:cs="Arial"/>
        </w:rPr>
      </w:pPr>
      <w:r w:rsidRPr="005D7008">
        <w:rPr>
          <w:rFonts w:cs="Arial"/>
        </w:rPr>
        <w:t xml:space="preserve">‘Reduced </w:t>
      </w:r>
      <w:r>
        <w:rPr>
          <w:rFonts w:cs="Arial"/>
        </w:rPr>
        <w:t>a</w:t>
      </w:r>
      <w:r w:rsidRPr="005D7008">
        <w:rPr>
          <w:rFonts w:cs="Arial"/>
        </w:rPr>
        <w:t xml:space="preserve">ir </w:t>
      </w:r>
      <w:r>
        <w:rPr>
          <w:rFonts w:cs="Arial"/>
        </w:rPr>
        <w:t>p</w:t>
      </w:r>
      <w:r w:rsidRPr="005D7008">
        <w:rPr>
          <w:rFonts w:cs="Arial"/>
        </w:rPr>
        <w:t xml:space="preserve">ollution’ was the 28th most commonly mentioned theme by residents, and 35th most commonly mentioned by partners. </w:t>
      </w:r>
    </w:p>
    <w:p w14:paraId="0E028990" w14:textId="77777777" w:rsidR="00EF0C21" w:rsidRPr="005D7008" w:rsidRDefault="00EF0C21" w:rsidP="00EF0C21">
      <w:pPr>
        <w:spacing w:after="200" w:line="276" w:lineRule="auto"/>
        <w:rPr>
          <w:rFonts w:cs="Arial"/>
        </w:rPr>
      </w:pPr>
      <w:r w:rsidRPr="005D7008">
        <w:rPr>
          <w:rFonts w:cs="Arial"/>
        </w:rPr>
        <w:t xml:space="preserve">Overall, the feedback indicated that Slough’s residents and partners would like air pollution to be lower in Slough by 2040. They would also like more warnings and data about air pollution to be made public to Slough residents. </w:t>
      </w:r>
    </w:p>
    <w:p w14:paraId="12640FB7" w14:textId="77777777" w:rsidR="00EF0C21" w:rsidRPr="005D7008" w:rsidRDefault="00EF0C21" w:rsidP="00EF0C21">
      <w:pPr>
        <w:spacing w:after="200" w:line="276" w:lineRule="auto"/>
        <w:rPr>
          <w:rFonts w:cs="Arial"/>
        </w:rPr>
      </w:pPr>
      <w:r w:rsidRPr="005D7008">
        <w:rPr>
          <w:rFonts w:cs="Arial"/>
        </w:rPr>
        <w:t xml:space="preserve">As </w:t>
      </w:r>
      <w:r>
        <w:rPr>
          <w:rFonts w:cs="Arial"/>
        </w:rPr>
        <w:t>S</w:t>
      </w:r>
      <w:r w:rsidRPr="005D7008">
        <w:rPr>
          <w:rFonts w:cs="Arial"/>
        </w:rPr>
        <w:t xml:space="preserve">lough Borough Council continually monitor air quality and have publicly accessible webpages which display </w:t>
      </w:r>
      <w:r>
        <w:rPr>
          <w:rFonts w:cs="Arial"/>
        </w:rPr>
        <w:t>air quality</w:t>
      </w:r>
      <w:r w:rsidRPr="005D7008">
        <w:rPr>
          <w:rFonts w:cs="Arial"/>
        </w:rPr>
        <w:t xml:space="preserve"> data, this response suggests that the accessibility of air quality information requires improvement. </w:t>
      </w:r>
      <w:r>
        <w:rPr>
          <w:rFonts w:cs="Arial"/>
        </w:rPr>
        <w:t>This will be considered in the action plan.</w:t>
      </w:r>
    </w:p>
    <w:p w14:paraId="23BB8E03" w14:textId="77777777" w:rsidR="00EF0C21" w:rsidRPr="00C07E70" w:rsidRDefault="00EF0C21" w:rsidP="00C07E70">
      <w:pPr>
        <w:rPr>
          <w:rStyle w:val="Hyperlink"/>
          <w:b/>
          <w:bCs/>
          <w:color w:val="auto"/>
          <w:u w:val="none"/>
        </w:rPr>
      </w:pPr>
      <w:r w:rsidRPr="00C07E70">
        <w:rPr>
          <w:rStyle w:val="Hyperlink"/>
          <w:b/>
          <w:bCs/>
          <w:color w:val="auto"/>
          <w:u w:val="none"/>
        </w:rPr>
        <w:t xml:space="preserve">Private car use </w:t>
      </w:r>
    </w:p>
    <w:p w14:paraId="6D43DB35" w14:textId="77777777" w:rsidR="00EF0C21" w:rsidRPr="00DD76C9" w:rsidRDefault="00EF0C21" w:rsidP="00EF0C21">
      <w:pPr>
        <w:spacing w:after="200" w:line="276" w:lineRule="auto"/>
        <w:rPr>
          <w:rFonts w:cs="Arial"/>
        </w:rPr>
      </w:pPr>
      <w:r>
        <w:rPr>
          <w:rFonts w:cs="Arial"/>
        </w:rPr>
        <w:t xml:space="preserve">‘Car Free / Less Cars’ </w:t>
      </w:r>
      <w:r w:rsidRPr="00DD76C9">
        <w:rPr>
          <w:rFonts w:cs="Arial"/>
        </w:rPr>
        <w:t>was the 12</w:t>
      </w:r>
      <w:r w:rsidRPr="00DD76C9">
        <w:rPr>
          <w:rFonts w:cs="Arial"/>
          <w:vertAlign w:val="superscript"/>
        </w:rPr>
        <w:t>th</w:t>
      </w:r>
      <w:r w:rsidRPr="00DD76C9">
        <w:rPr>
          <w:rFonts w:cs="Arial"/>
        </w:rPr>
        <w:t xml:space="preserve"> most common </w:t>
      </w:r>
      <w:r>
        <w:rPr>
          <w:rFonts w:cs="Arial"/>
        </w:rPr>
        <w:t xml:space="preserve">theme </w:t>
      </w:r>
      <w:r w:rsidRPr="00DD76C9">
        <w:rPr>
          <w:rFonts w:cs="Arial"/>
        </w:rPr>
        <w:t>mentioned by partners. However, it was discussed less frequently by residents, ranked as the 40</w:t>
      </w:r>
      <w:r w:rsidRPr="00DD76C9">
        <w:rPr>
          <w:rFonts w:cs="Arial"/>
          <w:vertAlign w:val="superscript"/>
        </w:rPr>
        <w:t>th</w:t>
      </w:r>
      <w:r w:rsidRPr="00DD76C9">
        <w:rPr>
          <w:rFonts w:cs="Arial"/>
        </w:rPr>
        <w:t xml:space="preserve"> most commonly mentioned theme. </w:t>
      </w:r>
    </w:p>
    <w:p w14:paraId="5F3D8374" w14:textId="77777777" w:rsidR="00EF0C21" w:rsidRDefault="00EF0C21" w:rsidP="00EF0C21">
      <w:pPr>
        <w:spacing w:after="200" w:line="276" w:lineRule="auto"/>
        <w:rPr>
          <w:rFonts w:cs="Arial"/>
        </w:rPr>
      </w:pPr>
      <w:r>
        <w:rPr>
          <w:rFonts w:cs="Arial"/>
        </w:rPr>
        <w:t>In contrast, ‘p</w:t>
      </w:r>
      <w:r w:rsidRPr="00DD76C9">
        <w:rPr>
          <w:rFonts w:cs="Arial"/>
        </w:rPr>
        <w:t>arking/</w:t>
      </w:r>
      <w:r>
        <w:rPr>
          <w:rFonts w:cs="Arial"/>
        </w:rPr>
        <w:t>c</w:t>
      </w:r>
      <w:r w:rsidRPr="00DD76C9">
        <w:rPr>
          <w:rFonts w:cs="Arial"/>
        </w:rPr>
        <w:t xml:space="preserve">ar </w:t>
      </w:r>
      <w:r>
        <w:rPr>
          <w:rFonts w:cs="Arial"/>
        </w:rPr>
        <w:t>f</w:t>
      </w:r>
      <w:r w:rsidRPr="00DD76C9">
        <w:rPr>
          <w:rFonts w:cs="Arial"/>
        </w:rPr>
        <w:t xml:space="preserve">riendly </w:t>
      </w:r>
      <w:r>
        <w:rPr>
          <w:rFonts w:cs="Arial"/>
        </w:rPr>
        <w:t>t</w:t>
      </w:r>
      <w:r w:rsidRPr="00DD76C9">
        <w:rPr>
          <w:rFonts w:cs="Arial"/>
        </w:rPr>
        <w:t>own’ was a topic discussed relatively frequently by residents, for whom it was the 7</w:t>
      </w:r>
      <w:r w:rsidRPr="00DD76C9">
        <w:rPr>
          <w:rFonts w:cs="Arial"/>
          <w:vertAlign w:val="superscript"/>
        </w:rPr>
        <w:t>th</w:t>
      </w:r>
      <w:r w:rsidRPr="00DD76C9">
        <w:rPr>
          <w:rFonts w:cs="Arial"/>
        </w:rPr>
        <w:t xml:space="preserve"> most frequently discussed topi</w:t>
      </w:r>
      <w:r>
        <w:rPr>
          <w:rFonts w:cs="Arial"/>
        </w:rPr>
        <w:t xml:space="preserve">c, whereas this topic </w:t>
      </w:r>
      <w:r w:rsidRPr="00DD76C9">
        <w:rPr>
          <w:rFonts w:cs="Arial"/>
        </w:rPr>
        <w:t>was mentioned relatively infrequently by partners, ranking 43</w:t>
      </w:r>
      <w:r w:rsidRPr="00DD76C9">
        <w:rPr>
          <w:rFonts w:cs="Arial"/>
          <w:vertAlign w:val="superscript"/>
        </w:rPr>
        <w:t>rd</w:t>
      </w:r>
      <w:r w:rsidRPr="00DD76C9">
        <w:rPr>
          <w:rFonts w:cs="Arial"/>
        </w:rPr>
        <w:t xml:space="preserve"> most commonly discussed theme.  </w:t>
      </w:r>
    </w:p>
    <w:p w14:paraId="55E8D514" w14:textId="6D06E69E" w:rsidR="00EF0C21" w:rsidRDefault="00EF0C21" w:rsidP="00EF0C21">
      <w:pPr>
        <w:spacing w:after="200" w:line="276" w:lineRule="auto"/>
        <w:rPr>
          <w:rFonts w:cs="Arial"/>
        </w:rPr>
      </w:pPr>
      <w:r>
        <w:rPr>
          <w:rFonts w:cs="Arial"/>
        </w:rPr>
        <w:t xml:space="preserve">This highlights the difference of views on private cars in Slough between partners and residents, and indicates that residents do not have a strong interest in reducing the amount of private cars in Slough. Due to the high quantum of vehicle ownership per household in Slough (see </w:t>
      </w:r>
      <w:r w:rsidR="00E34B3D">
        <w:rPr>
          <w:rFonts w:cs="Arial"/>
        </w:rPr>
        <w:t>Appendix E.3</w:t>
      </w:r>
      <w:r>
        <w:rPr>
          <w:rFonts w:cs="Arial"/>
        </w:rPr>
        <w:t xml:space="preserve">), this is an expected result. </w:t>
      </w:r>
    </w:p>
    <w:p w14:paraId="6043353C" w14:textId="77777777" w:rsidR="00EF0C21" w:rsidRDefault="00EF0C21" w:rsidP="00EF0C21">
      <w:pPr>
        <w:spacing w:after="200" w:line="276" w:lineRule="auto"/>
        <w:rPr>
          <w:rFonts w:cs="Arial"/>
        </w:rPr>
      </w:pPr>
      <w:r>
        <w:rPr>
          <w:rFonts w:cs="Arial"/>
        </w:rPr>
        <w:t xml:space="preserve">However, specific feedback received from residents and partners indicates that in the future, residents should be encouraged to not use their cars as frequently, and would like the use of cars for short journeys to be reduced. To promote less car use, they think that electric vehicles should be made available to rent easily, so that people are encouraged to not own cars, and only rent one when it is absolutely necessary.  </w:t>
      </w:r>
    </w:p>
    <w:p w14:paraId="0D5E17E4" w14:textId="77777777" w:rsidR="00EF0C21" w:rsidRPr="00DD76C9" w:rsidRDefault="00EF0C21" w:rsidP="00EF0C21">
      <w:pPr>
        <w:spacing w:after="200" w:line="276" w:lineRule="auto"/>
        <w:rPr>
          <w:rFonts w:cs="Arial"/>
        </w:rPr>
      </w:pPr>
      <w:r>
        <w:rPr>
          <w:rFonts w:cs="Arial"/>
        </w:rPr>
        <w:t>This suggests that there is some appetite in Slough for reducing vehicle use. It is clear that further education and awareness on the benefits of reducing car use, such as improved health outcomes and reduced air pollution, is needed to help support modal shift ambitions. In addition, providing viable alternatives to private car use will be key aim within the action plan to help support residents to make more sustainable choices in how they travel within Slough.</w:t>
      </w:r>
    </w:p>
    <w:p w14:paraId="6DC7382D" w14:textId="77777777" w:rsidR="00EF0C21" w:rsidRPr="00C07E70" w:rsidRDefault="00EF0C21" w:rsidP="00C07E70">
      <w:pPr>
        <w:rPr>
          <w:rStyle w:val="Hyperlink"/>
          <w:b/>
          <w:bCs/>
          <w:color w:val="auto"/>
          <w:u w:val="none"/>
        </w:rPr>
      </w:pPr>
      <w:r w:rsidRPr="00C07E70">
        <w:rPr>
          <w:rStyle w:val="Hyperlink"/>
          <w:b/>
          <w:bCs/>
          <w:color w:val="auto"/>
          <w:u w:val="none"/>
        </w:rPr>
        <w:t xml:space="preserve">Public Transport and Bus Lanes </w:t>
      </w:r>
    </w:p>
    <w:p w14:paraId="0EC318F3" w14:textId="77777777" w:rsidR="00EF0C21" w:rsidRPr="00651D88" w:rsidRDefault="00EF0C21" w:rsidP="00EF0C21">
      <w:pPr>
        <w:spacing w:after="200" w:line="276" w:lineRule="auto"/>
        <w:rPr>
          <w:rFonts w:cs="Arial"/>
        </w:rPr>
      </w:pPr>
      <w:r w:rsidRPr="00651D88">
        <w:rPr>
          <w:rFonts w:cs="Arial"/>
        </w:rPr>
        <w:t xml:space="preserve">‘Public Transport System’ was seen as incredibly important to both </w:t>
      </w:r>
      <w:r>
        <w:rPr>
          <w:rFonts w:cs="Arial"/>
        </w:rPr>
        <w:t>partners and residents</w:t>
      </w:r>
      <w:r w:rsidRPr="00651D88">
        <w:rPr>
          <w:rFonts w:cs="Arial"/>
        </w:rPr>
        <w:t>. It was the most commonly discussed theme by partners, ranking 1</w:t>
      </w:r>
      <w:r w:rsidRPr="00651D88">
        <w:rPr>
          <w:rFonts w:cs="Arial"/>
          <w:vertAlign w:val="superscript"/>
        </w:rPr>
        <w:t>st</w:t>
      </w:r>
      <w:r w:rsidRPr="00651D88">
        <w:rPr>
          <w:rFonts w:cs="Arial"/>
        </w:rPr>
        <w:t xml:space="preserve"> in most commonly discussed topics. It also ranked highly for residents, being the 6</w:t>
      </w:r>
      <w:r w:rsidRPr="00651D88">
        <w:rPr>
          <w:rFonts w:cs="Arial"/>
          <w:vertAlign w:val="superscript"/>
        </w:rPr>
        <w:t>th</w:t>
      </w:r>
      <w:r w:rsidRPr="00651D88">
        <w:rPr>
          <w:rFonts w:cs="Arial"/>
        </w:rPr>
        <w:t xml:space="preserve"> most commonly discussed theme by residents. </w:t>
      </w:r>
    </w:p>
    <w:p w14:paraId="6DA0ECD4" w14:textId="77777777" w:rsidR="00EF0C21" w:rsidRDefault="00EF0C21" w:rsidP="00EF0C21">
      <w:pPr>
        <w:spacing w:after="200" w:line="276" w:lineRule="auto"/>
        <w:rPr>
          <w:rFonts w:cs="Arial"/>
        </w:rPr>
      </w:pPr>
      <w:r>
        <w:rPr>
          <w:rFonts w:cs="Arial"/>
        </w:rPr>
        <w:t xml:space="preserve">However, </w:t>
      </w:r>
      <w:r w:rsidRPr="00F205FB">
        <w:rPr>
          <w:rFonts w:cs="Arial"/>
        </w:rPr>
        <w:t>‘Keep the Bus Lane/More Bus Lanes’ was mentioned very infrequently by both groups. In particular, residents did not often voice support for the bus lane, and it was ranked 62</w:t>
      </w:r>
      <w:r w:rsidRPr="00F205FB">
        <w:rPr>
          <w:rFonts w:cs="Arial"/>
          <w:vertAlign w:val="superscript"/>
        </w:rPr>
        <w:t>nd</w:t>
      </w:r>
      <w:r w:rsidRPr="00F205FB">
        <w:rPr>
          <w:rFonts w:cs="Arial"/>
        </w:rPr>
        <w:t xml:space="preserve"> most commonly mentioned theme by residents. In contrast, ‘Remove the Bus Lane’ was very commonly mentioned. It was the 14</w:t>
      </w:r>
      <w:r w:rsidRPr="00F205FB">
        <w:rPr>
          <w:rFonts w:cs="Arial"/>
          <w:vertAlign w:val="superscript"/>
        </w:rPr>
        <w:t>th</w:t>
      </w:r>
      <w:r w:rsidRPr="00F205FB">
        <w:rPr>
          <w:rFonts w:cs="Arial"/>
        </w:rPr>
        <w:t xml:space="preserve"> most frequently mentioned topic by residents and was ranked 51</w:t>
      </w:r>
      <w:r w:rsidRPr="00F205FB">
        <w:rPr>
          <w:rFonts w:cs="Arial"/>
          <w:vertAlign w:val="superscript"/>
        </w:rPr>
        <w:t>st</w:t>
      </w:r>
      <w:r w:rsidRPr="00F205FB">
        <w:rPr>
          <w:rFonts w:cs="Arial"/>
        </w:rPr>
        <w:t xml:space="preserve"> most commonly discussed by partners. </w:t>
      </w:r>
    </w:p>
    <w:p w14:paraId="51AA76F4" w14:textId="1D77393C" w:rsidR="00EF0C21" w:rsidRDefault="00EF0C21" w:rsidP="00EF0C21">
      <w:pPr>
        <w:spacing w:line="276" w:lineRule="auto"/>
        <w:rPr>
          <w:rFonts w:cs="Arial"/>
        </w:rPr>
      </w:pPr>
      <w:r>
        <w:rPr>
          <w:rFonts w:cs="Arial"/>
        </w:rPr>
        <w:t>Based on the responses received, partners and residents in Slough think that in the future, Slough should have a bus o</w:t>
      </w:r>
      <w:r w:rsidR="001A6DF8">
        <w:rPr>
          <w:rFonts w:cs="Arial"/>
        </w:rPr>
        <w:t>r</w:t>
      </w:r>
      <w:r>
        <w:rPr>
          <w:rFonts w:cs="Arial"/>
        </w:rPr>
        <w:t xml:space="preserve"> tram system that is reliable, cheap, safe, and not crowded. They would like this system to </w:t>
      </w:r>
      <w:r w:rsidR="001A6DF8">
        <w:rPr>
          <w:rFonts w:cs="Arial"/>
        </w:rPr>
        <w:t>have</w:t>
      </w:r>
      <w:r>
        <w:rPr>
          <w:rFonts w:cs="Arial"/>
        </w:rPr>
        <w:t xml:space="preserve"> good links to the train stations and a park and ride system. They would like it to be easy to use, with a jump on/off system, or a tap/oyster card system. They would also like improved links to Heathrow, and the existing train stations to be upgraded. Finally, they would like public transport to be accessible, and for there to be free transport for the elderly, carers and young people. </w:t>
      </w:r>
    </w:p>
    <w:p w14:paraId="13A244E3" w14:textId="77777777" w:rsidR="00EF0C21" w:rsidRPr="00F205FB" w:rsidRDefault="00EF0C21" w:rsidP="00EF0C21">
      <w:pPr>
        <w:spacing w:after="200" w:line="276" w:lineRule="auto"/>
        <w:rPr>
          <w:rFonts w:cs="Arial"/>
        </w:rPr>
      </w:pPr>
      <w:r>
        <w:rPr>
          <w:rFonts w:cs="Arial"/>
        </w:rPr>
        <w:t xml:space="preserve">This indicates that both groups put value on having an effective public transport system, which suggests that with the correct provision, increased uptake may be successful. It is evident that strong engagement work is needed to understand the existing barriers to public transport use and the type of system residents want in Slough. </w:t>
      </w:r>
    </w:p>
    <w:p w14:paraId="53396E90" w14:textId="77777777" w:rsidR="00EF0C21" w:rsidRPr="00C07E70" w:rsidRDefault="00EF0C21" w:rsidP="00C07E70">
      <w:pPr>
        <w:rPr>
          <w:rStyle w:val="Hyperlink"/>
          <w:b/>
          <w:bCs/>
          <w:color w:val="auto"/>
          <w:u w:val="none"/>
        </w:rPr>
      </w:pPr>
      <w:r w:rsidRPr="00C07E70">
        <w:rPr>
          <w:rStyle w:val="Hyperlink"/>
          <w:b/>
          <w:bCs/>
          <w:color w:val="auto"/>
          <w:u w:val="none"/>
        </w:rPr>
        <w:t xml:space="preserve">Low Emission Vehicles </w:t>
      </w:r>
    </w:p>
    <w:p w14:paraId="5D5369B2" w14:textId="77777777" w:rsidR="00EF0C21" w:rsidRDefault="00EF0C21" w:rsidP="00EF0C21">
      <w:pPr>
        <w:spacing w:after="200" w:line="276" w:lineRule="auto"/>
        <w:rPr>
          <w:rFonts w:cs="Arial"/>
        </w:rPr>
      </w:pPr>
      <w:r w:rsidRPr="00651D88">
        <w:rPr>
          <w:rFonts w:cs="Arial"/>
        </w:rPr>
        <w:t>‘Low-Emission Vehicles’ was seen as relatively important by both groups, with partners making this their 22</w:t>
      </w:r>
      <w:r w:rsidRPr="00651D88">
        <w:rPr>
          <w:rFonts w:cs="Arial"/>
          <w:vertAlign w:val="superscript"/>
        </w:rPr>
        <w:t>nd</w:t>
      </w:r>
      <w:r w:rsidRPr="00651D88">
        <w:rPr>
          <w:rFonts w:cs="Arial"/>
        </w:rPr>
        <w:t xml:space="preserve"> most commonly discussed theme, while residents made this their 30</w:t>
      </w:r>
      <w:r w:rsidRPr="00651D88">
        <w:rPr>
          <w:rFonts w:cs="Arial"/>
          <w:vertAlign w:val="superscript"/>
        </w:rPr>
        <w:t>th</w:t>
      </w:r>
      <w:r w:rsidRPr="00651D88">
        <w:rPr>
          <w:rFonts w:cs="Arial"/>
        </w:rPr>
        <w:t xml:space="preserve"> most commonly discussed theme. </w:t>
      </w:r>
    </w:p>
    <w:p w14:paraId="640AB445" w14:textId="77777777" w:rsidR="00EF0C21" w:rsidRPr="00595846" w:rsidRDefault="00EF0C21" w:rsidP="00EF0C21">
      <w:pPr>
        <w:spacing w:line="276" w:lineRule="auto"/>
        <w:rPr>
          <w:rFonts w:cs="Arial"/>
        </w:rPr>
      </w:pPr>
      <w:r>
        <w:rPr>
          <w:rFonts w:cs="Arial"/>
        </w:rPr>
        <w:t xml:space="preserve">Overall, respondents have raised that they would like to see more electric and hybrid vehicles, including private cars and buses. To support this, they would like improved infrastructure such as charging points, and incentives to car owners. In addition, they would like more low-emission and zero-emission vehicles in the town centre, which could be hired for short journeys in Slough.    </w:t>
      </w:r>
    </w:p>
    <w:p w14:paraId="09B29668" w14:textId="77777777" w:rsidR="00EF0C21" w:rsidRPr="00651D88" w:rsidRDefault="00EF0C21" w:rsidP="00EF0C21">
      <w:pPr>
        <w:spacing w:after="200" w:line="276" w:lineRule="auto"/>
        <w:rPr>
          <w:rFonts w:cs="Arial"/>
        </w:rPr>
      </w:pPr>
      <w:r>
        <w:rPr>
          <w:rFonts w:cs="Arial"/>
        </w:rPr>
        <w:t>The Council are making good progress towards increasing the quantity of charging options in the borough and the continued implementation of the Slough Electric Vehicle Programme will be a key action within the plan to support residents to upgrade to low emission vehicles.  In addition, implementation of the Slough Electric Vehicle Car Club will provide residents and partners the opportunity to travel within Slough using a more sustainable mode without having to rely on their own vehicles for these journeys.</w:t>
      </w:r>
    </w:p>
    <w:p w14:paraId="2340D75E" w14:textId="77777777" w:rsidR="00EF0C21" w:rsidRPr="00C07E70" w:rsidRDefault="00EF0C21" w:rsidP="00C07E70">
      <w:pPr>
        <w:rPr>
          <w:rStyle w:val="Hyperlink"/>
          <w:b/>
          <w:bCs/>
          <w:color w:val="auto"/>
          <w:u w:val="none"/>
        </w:rPr>
      </w:pPr>
      <w:r w:rsidRPr="00C07E70">
        <w:rPr>
          <w:rStyle w:val="Hyperlink"/>
          <w:b/>
          <w:bCs/>
          <w:color w:val="auto"/>
          <w:u w:val="none"/>
        </w:rPr>
        <w:t xml:space="preserve">Walking and Cycling </w:t>
      </w:r>
    </w:p>
    <w:p w14:paraId="099304D9" w14:textId="77777777" w:rsidR="00EF0C21" w:rsidRPr="0096087B" w:rsidRDefault="00EF0C21" w:rsidP="00EF0C21">
      <w:pPr>
        <w:spacing w:after="200" w:line="276" w:lineRule="auto"/>
        <w:rPr>
          <w:rFonts w:cs="Arial"/>
        </w:rPr>
      </w:pPr>
      <w:r w:rsidRPr="0096087B">
        <w:rPr>
          <w:rFonts w:cs="Arial"/>
        </w:rPr>
        <w:t>‘Walking Encouraged’ and ‘Cycling Encouraged’ was discussed frequently by both partners and residents. For partners, the two themes were the 8</w:t>
      </w:r>
      <w:r w:rsidRPr="0096087B">
        <w:rPr>
          <w:rFonts w:cs="Arial"/>
          <w:vertAlign w:val="superscript"/>
        </w:rPr>
        <w:t>th</w:t>
      </w:r>
      <w:r w:rsidRPr="0096087B">
        <w:rPr>
          <w:rFonts w:cs="Arial"/>
        </w:rPr>
        <w:t xml:space="preserve"> most commonly discussed topics, while for residents ‘Cycling Encouraged’ was the 18</w:t>
      </w:r>
      <w:r w:rsidRPr="0096087B">
        <w:rPr>
          <w:rFonts w:cs="Arial"/>
          <w:vertAlign w:val="superscript"/>
        </w:rPr>
        <w:t>th</w:t>
      </w:r>
      <w:r w:rsidRPr="0096087B">
        <w:rPr>
          <w:rFonts w:cs="Arial"/>
        </w:rPr>
        <w:t xml:space="preserve"> most commonly discussed theme, </w:t>
      </w:r>
      <w:r>
        <w:rPr>
          <w:rFonts w:cs="Arial"/>
        </w:rPr>
        <w:t>whilst</w:t>
      </w:r>
      <w:r w:rsidRPr="0096087B">
        <w:rPr>
          <w:rFonts w:cs="Arial"/>
        </w:rPr>
        <w:t xml:space="preserve"> ‘Walking Encouraged’ was discussed less often, being the 40</w:t>
      </w:r>
      <w:r w:rsidRPr="0096087B">
        <w:rPr>
          <w:rFonts w:cs="Arial"/>
          <w:vertAlign w:val="superscript"/>
        </w:rPr>
        <w:t>th</w:t>
      </w:r>
      <w:r w:rsidRPr="0096087B">
        <w:rPr>
          <w:rFonts w:cs="Arial"/>
        </w:rPr>
        <w:t xml:space="preserve"> most commonly discussed theme.</w:t>
      </w:r>
    </w:p>
    <w:p w14:paraId="682DA82F" w14:textId="77777777" w:rsidR="00EF0C21" w:rsidRPr="00595846" w:rsidRDefault="00EF0C21" w:rsidP="00EF0C21">
      <w:pPr>
        <w:spacing w:line="276" w:lineRule="auto"/>
        <w:rPr>
          <w:rFonts w:cs="Arial"/>
        </w:rPr>
      </w:pPr>
      <w:r>
        <w:rPr>
          <w:rFonts w:cs="Arial"/>
        </w:rPr>
        <w:t xml:space="preserve">Feedback from respondents indicates that more cycling should be encouraged, supported by improved cycle lanes. These lanes should be safe, away from cars (ideally in a Copenhagen/Netherlands style) and well linked. They would also like more bike storage throughout the town, and for this storage to be safer. Finally, they would like the existing cycle hire scheme to be continued, and if possible, extended.   </w:t>
      </w:r>
    </w:p>
    <w:p w14:paraId="3A9A0B7C" w14:textId="77777777" w:rsidR="00EF0C21" w:rsidRDefault="00EF0C21" w:rsidP="00EF0C21">
      <w:pPr>
        <w:spacing w:line="276" w:lineRule="auto"/>
        <w:rPr>
          <w:rFonts w:cs="Arial"/>
        </w:rPr>
      </w:pPr>
      <w:r>
        <w:rPr>
          <w:rFonts w:cs="Arial"/>
        </w:rPr>
        <w:t xml:space="preserve">In regards to walking, partners and residents have raised that more residents should make journeys by foot, supported by provision of good walking paths that are green and safe. </w:t>
      </w:r>
    </w:p>
    <w:p w14:paraId="42B769EA" w14:textId="77777777" w:rsidR="00EF0C21" w:rsidRPr="005D7008" w:rsidRDefault="00EF0C21" w:rsidP="00EF0C21">
      <w:pPr>
        <w:spacing w:line="276" w:lineRule="auto"/>
        <w:rPr>
          <w:rFonts w:cs="Arial"/>
        </w:rPr>
      </w:pPr>
      <w:r>
        <w:rPr>
          <w:rFonts w:cs="Arial"/>
        </w:rPr>
        <w:t xml:space="preserve">The Council are delivering a number of active travel schemes such high priority cycle lane developments identified within the LCWIP, which meet the quality requirements that the partners and residents have identified in their responses.  It is therefore expected that these schemes will result in more residents choosing active travel options for shorter journeys and support modal shift ambitions. </w:t>
      </w:r>
    </w:p>
    <w:p w14:paraId="116715FE" w14:textId="1FE99A56" w:rsidR="00EF0C21" w:rsidRPr="00C07E70" w:rsidRDefault="00C07E70" w:rsidP="0025036F">
      <w:pPr>
        <w:pStyle w:val="Heading3"/>
        <w:numPr>
          <w:ilvl w:val="1"/>
          <w:numId w:val="76"/>
        </w:numPr>
        <w:rPr>
          <w:rStyle w:val="Hyperlink"/>
          <w:color w:val="008938"/>
          <w:u w:val="none"/>
        </w:rPr>
      </w:pPr>
      <w:r>
        <w:rPr>
          <w:rStyle w:val="Hyperlink"/>
          <w:color w:val="008938"/>
          <w:u w:val="none"/>
        </w:rPr>
        <w:t xml:space="preserve"> </w:t>
      </w:r>
      <w:bookmarkStart w:id="396" w:name="_Toc160129630"/>
      <w:r w:rsidR="00EF0C21" w:rsidRPr="00C07E70">
        <w:rPr>
          <w:rStyle w:val="Hyperlink"/>
          <w:color w:val="008938"/>
          <w:u w:val="none"/>
        </w:rPr>
        <w:t>Summary</w:t>
      </w:r>
      <w:bookmarkEnd w:id="396"/>
    </w:p>
    <w:p w14:paraId="3AC37EE6" w14:textId="77777777" w:rsidR="00EF0C21" w:rsidRDefault="00EF0C21" w:rsidP="00EF0C21">
      <w:pPr>
        <w:spacing w:line="276" w:lineRule="auto"/>
        <w:rPr>
          <w:rFonts w:cs="Arial"/>
        </w:rPr>
      </w:pPr>
      <w:r>
        <w:rPr>
          <w:rFonts w:cs="Arial"/>
        </w:rPr>
        <w:t xml:space="preserve">In summary, partners and residents in Slough would like to see improvements in air quality, but require support through increases in reliable public transport, improved provision of cycle lanes, low emission travel alternatives, and access to electric vehicles and charging infrastructure. </w:t>
      </w:r>
    </w:p>
    <w:p w14:paraId="7BDEC376" w14:textId="01DB64A1" w:rsidR="00EF0C21" w:rsidRPr="00E222B4" w:rsidRDefault="00EF0C21" w:rsidP="00EF0C21">
      <w:pPr>
        <w:spacing w:line="276" w:lineRule="auto"/>
        <w:rPr>
          <w:rFonts w:cs="Arial"/>
        </w:rPr>
      </w:pPr>
      <w:r>
        <w:rPr>
          <w:rFonts w:cs="Arial"/>
        </w:rPr>
        <w:t>However, the nature of the responses suggest that schemes which negatively impact private car users are unlikely to receive full public support. As such, a focus of the action plan will be on increasing opportunities for partners and residents to make more regular healthy / active travel choices, for example, choosing to cycle rather than travel via private car when undertaking short journeys. Where the option to travel actively is not available or suitable for an individual, these individuals should be supported to travel using alternative modes such as via a car club, or supported to upgrade to a cleaner vehicle so the effect of their journey is less impactful on air quality. This will be supported by increasing education and awareness of poor air quality and the actions that partners and residents can take to reduce exposure and emissions of air pollution.</w:t>
      </w:r>
    </w:p>
    <w:p w14:paraId="2BFD8A44" w14:textId="77777777" w:rsidR="00EF0C21" w:rsidRDefault="00EF0C21" w:rsidP="00EF0C21">
      <w:pPr>
        <w:spacing w:after="0" w:line="276" w:lineRule="auto"/>
        <w:rPr>
          <w:rFonts w:cs="Arial"/>
          <w:b/>
          <w:bCs/>
          <w:u w:val="single"/>
        </w:rPr>
      </w:pPr>
    </w:p>
    <w:p w14:paraId="38AE2B0B" w14:textId="77777777" w:rsidR="00EF0C21" w:rsidRDefault="00EF0C21" w:rsidP="00EF0C21">
      <w:pPr>
        <w:spacing w:line="276" w:lineRule="auto"/>
        <w:rPr>
          <w:rFonts w:cs="Arial"/>
          <w:b/>
          <w:bCs/>
          <w:u w:val="single"/>
        </w:rPr>
      </w:pPr>
      <w:r>
        <w:rPr>
          <w:rFonts w:cs="Arial"/>
          <w:b/>
          <w:bCs/>
          <w:u w:val="single"/>
        </w:rPr>
        <w:br w:type="page"/>
      </w:r>
    </w:p>
    <w:p w14:paraId="0CB624C2" w14:textId="77777777" w:rsidR="00EF0C21" w:rsidRPr="00C07E70" w:rsidRDefault="00EF0C21" w:rsidP="0025036F">
      <w:pPr>
        <w:pStyle w:val="Heading2"/>
        <w:numPr>
          <w:ilvl w:val="0"/>
          <w:numId w:val="81"/>
        </w:numPr>
        <w:spacing w:after="0"/>
        <w:rPr>
          <w:rStyle w:val="Hyperlink"/>
          <w:color w:val="008938"/>
          <w:u w:val="none"/>
        </w:rPr>
      </w:pPr>
      <w:bookmarkStart w:id="397" w:name="_Toc160129631"/>
      <w:r w:rsidRPr="00C07E70">
        <w:rPr>
          <w:rStyle w:val="Hyperlink"/>
          <w:color w:val="008938"/>
          <w:u w:val="none"/>
        </w:rPr>
        <w:t>Healthy Behaviours Survey</w:t>
      </w:r>
      <w:bookmarkEnd w:id="397"/>
    </w:p>
    <w:p w14:paraId="42ACDF33" w14:textId="77777777" w:rsidR="00EF0C21" w:rsidRPr="005D7008" w:rsidRDefault="00EF0C21" w:rsidP="00EF0C21">
      <w:pPr>
        <w:spacing w:line="276" w:lineRule="auto"/>
        <w:rPr>
          <w:rFonts w:cs="Arial"/>
        </w:rPr>
      </w:pPr>
      <w:r w:rsidRPr="005D7008">
        <w:rPr>
          <w:rFonts w:cs="Arial"/>
        </w:rPr>
        <w:t xml:space="preserve">Between </w:t>
      </w:r>
      <w:r>
        <w:rPr>
          <w:rFonts w:cs="Arial"/>
        </w:rPr>
        <w:t>7</w:t>
      </w:r>
      <w:r w:rsidRPr="001F418A">
        <w:rPr>
          <w:rFonts w:cs="Arial"/>
          <w:vertAlign w:val="superscript"/>
        </w:rPr>
        <w:t>th</w:t>
      </w:r>
      <w:r w:rsidRPr="005D7008">
        <w:rPr>
          <w:rFonts w:cs="Arial"/>
        </w:rPr>
        <w:t xml:space="preserve"> June and 19</w:t>
      </w:r>
      <w:r w:rsidRPr="001F418A">
        <w:rPr>
          <w:rFonts w:cs="Arial"/>
          <w:vertAlign w:val="superscript"/>
        </w:rPr>
        <w:t>th</w:t>
      </w:r>
      <w:r w:rsidRPr="005D7008">
        <w:rPr>
          <w:rFonts w:cs="Arial"/>
        </w:rPr>
        <w:t xml:space="preserve"> July 2022</w:t>
      </w:r>
      <w:r>
        <w:rPr>
          <w:rFonts w:cs="Arial"/>
        </w:rPr>
        <w:t>,</w:t>
      </w:r>
      <w:r w:rsidRPr="005D7008">
        <w:rPr>
          <w:rFonts w:cs="Arial"/>
        </w:rPr>
        <w:t xml:space="preserve"> Slough Borough Council conducted a survey to gain information </w:t>
      </w:r>
      <w:r>
        <w:rPr>
          <w:rFonts w:cs="Arial"/>
        </w:rPr>
        <w:t xml:space="preserve">on the </w:t>
      </w:r>
      <w:r w:rsidRPr="005D7008">
        <w:rPr>
          <w:rFonts w:cs="Arial"/>
        </w:rPr>
        <w:t>type of support residents need with improving their health</w:t>
      </w:r>
      <w:r>
        <w:rPr>
          <w:rFonts w:cs="Arial"/>
        </w:rPr>
        <w:t xml:space="preserve">, </w:t>
      </w:r>
      <w:r w:rsidRPr="005D7008">
        <w:rPr>
          <w:rFonts w:cs="Arial"/>
        </w:rPr>
        <w:t xml:space="preserve">to inform a Healthy Behaviours Health Needs Analysis. </w:t>
      </w:r>
    </w:p>
    <w:p w14:paraId="7CFB6E42" w14:textId="77777777" w:rsidR="00EF0C21" w:rsidRPr="005D7008" w:rsidRDefault="00EF0C21" w:rsidP="00EF0C21">
      <w:pPr>
        <w:spacing w:line="276" w:lineRule="auto"/>
        <w:rPr>
          <w:rFonts w:cs="Arial"/>
        </w:rPr>
      </w:pPr>
      <w:r w:rsidRPr="005D7008">
        <w:rPr>
          <w:rFonts w:cs="Arial"/>
        </w:rPr>
        <w:t>The survey focused on asking about support needed in relation to four key behaviours that are recognised to have the greatest impact on health:</w:t>
      </w:r>
    </w:p>
    <w:p w14:paraId="54C1C5CC" w14:textId="77777777" w:rsidR="00EF0C21" w:rsidRPr="005D7008" w:rsidRDefault="00EF0C21" w:rsidP="0025036F">
      <w:pPr>
        <w:pStyle w:val="ListParagraph"/>
        <w:numPr>
          <w:ilvl w:val="0"/>
          <w:numId w:val="56"/>
        </w:numPr>
        <w:spacing w:before="0" w:after="160" w:line="276" w:lineRule="auto"/>
        <w:contextualSpacing/>
        <w:rPr>
          <w:rFonts w:cs="Arial"/>
        </w:rPr>
      </w:pPr>
      <w:r w:rsidRPr="005D7008">
        <w:rPr>
          <w:rFonts w:cs="Arial"/>
        </w:rPr>
        <w:t>Smoking</w:t>
      </w:r>
    </w:p>
    <w:p w14:paraId="28CE0BA3" w14:textId="77777777" w:rsidR="00EF0C21" w:rsidRPr="005D7008" w:rsidRDefault="00EF0C21" w:rsidP="0025036F">
      <w:pPr>
        <w:pStyle w:val="ListParagraph"/>
        <w:numPr>
          <w:ilvl w:val="0"/>
          <w:numId w:val="56"/>
        </w:numPr>
        <w:spacing w:before="0" w:after="160" w:line="276" w:lineRule="auto"/>
        <w:contextualSpacing/>
        <w:rPr>
          <w:rFonts w:cs="Arial"/>
        </w:rPr>
      </w:pPr>
      <w:r w:rsidRPr="005D7008">
        <w:rPr>
          <w:rFonts w:cs="Arial"/>
        </w:rPr>
        <w:t>Drinking alcohol</w:t>
      </w:r>
    </w:p>
    <w:p w14:paraId="03A12E9B" w14:textId="77777777" w:rsidR="00EF0C21" w:rsidRPr="005D7008" w:rsidRDefault="00EF0C21" w:rsidP="0025036F">
      <w:pPr>
        <w:pStyle w:val="ListParagraph"/>
        <w:numPr>
          <w:ilvl w:val="0"/>
          <w:numId w:val="56"/>
        </w:numPr>
        <w:spacing w:before="0" w:after="160" w:line="276" w:lineRule="auto"/>
        <w:contextualSpacing/>
        <w:rPr>
          <w:rFonts w:cs="Arial"/>
        </w:rPr>
      </w:pPr>
      <w:r w:rsidRPr="005D7008">
        <w:rPr>
          <w:rFonts w:cs="Arial"/>
        </w:rPr>
        <w:t>Diet</w:t>
      </w:r>
    </w:p>
    <w:p w14:paraId="5985A13C" w14:textId="77777777" w:rsidR="00EF0C21" w:rsidRPr="005D7008" w:rsidRDefault="00EF0C21" w:rsidP="0025036F">
      <w:pPr>
        <w:pStyle w:val="ListParagraph"/>
        <w:numPr>
          <w:ilvl w:val="0"/>
          <w:numId w:val="56"/>
        </w:numPr>
        <w:spacing w:before="0" w:after="160" w:line="276" w:lineRule="auto"/>
        <w:contextualSpacing/>
        <w:rPr>
          <w:rFonts w:cs="Arial"/>
        </w:rPr>
      </w:pPr>
      <w:r w:rsidRPr="005D7008">
        <w:rPr>
          <w:rFonts w:cs="Arial"/>
        </w:rPr>
        <w:t>Physical activity</w:t>
      </w:r>
    </w:p>
    <w:p w14:paraId="76876C16" w14:textId="77777777" w:rsidR="00EF0C21" w:rsidRPr="005D7008" w:rsidRDefault="00EF0C21" w:rsidP="00EF0C21">
      <w:pPr>
        <w:spacing w:line="276" w:lineRule="auto"/>
        <w:rPr>
          <w:rFonts w:cs="Arial"/>
          <w:b/>
          <w:bCs/>
        </w:rPr>
      </w:pPr>
      <w:r w:rsidRPr="005D7008">
        <w:rPr>
          <w:rFonts w:cs="Arial"/>
        </w:rPr>
        <w:t>The survey sought views from Slough residents and from professionals working in health and other frontline services.</w:t>
      </w:r>
    </w:p>
    <w:p w14:paraId="444A7A68" w14:textId="0AEA3D18" w:rsidR="00EF0C21" w:rsidRPr="00C07E70" w:rsidRDefault="00C07E70" w:rsidP="0025036F">
      <w:pPr>
        <w:pStyle w:val="Heading3"/>
        <w:numPr>
          <w:ilvl w:val="1"/>
          <w:numId w:val="45"/>
        </w:numPr>
        <w:rPr>
          <w:rStyle w:val="Hyperlink"/>
          <w:color w:val="008938"/>
          <w:u w:val="none"/>
        </w:rPr>
      </w:pPr>
      <w:r>
        <w:rPr>
          <w:rStyle w:val="Hyperlink"/>
          <w:color w:val="008938"/>
          <w:u w:val="none"/>
        </w:rPr>
        <w:t xml:space="preserve"> </w:t>
      </w:r>
      <w:bookmarkStart w:id="398" w:name="_Toc160129632"/>
      <w:r w:rsidR="00EF0C21" w:rsidRPr="00C07E70">
        <w:rPr>
          <w:rStyle w:val="Hyperlink"/>
          <w:color w:val="008938"/>
          <w:u w:val="none"/>
        </w:rPr>
        <w:t>Methodology</w:t>
      </w:r>
      <w:bookmarkEnd w:id="398"/>
      <w:r w:rsidR="00EF0C21" w:rsidRPr="00C07E70">
        <w:rPr>
          <w:rStyle w:val="Hyperlink"/>
          <w:color w:val="008938"/>
          <w:u w:val="none"/>
        </w:rPr>
        <w:t xml:space="preserve"> </w:t>
      </w:r>
    </w:p>
    <w:p w14:paraId="7846CFB4" w14:textId="57F8EE19" w:rsidR="00EF0C21" w:rsidRPr="005D7008" w:rsidRDefault="00EF0C21" w:rsidP="00EF0C21">
      <w:pPr>
        <w:spacing w:line="276" w:lineRule="auto"/>
        <w:rPr>
          <w:rFonts w:cs="Arial"/>
        </w:rPr>
      </w:pPr>
      <w:r w:rsidRPr="005D7008">
        <w:rPr>
          <w:rFonts w:cs="Arial"/>
        </w:rPr>
        <w:t>The survey questions were developed by a Healthy Behaviours steering  group comprising of colleagues from Public Health, Communications, Community Engagement, and Primary Care, across East Berkshire</w:t>
      </w:r>
      <w:r>
        <w:rPr>
          <w:rFonts w:cs="Arial"/>
        </w:rPr>
        <w:t xml:space="preserve">, in addition to advice from a </w:t>
      </w:r>
      <w:r w:rsidRPr="005D7008">
        <w:rPr>
          <w:rFonts w:cs="Arial"/>
        </w:rPr>
        <w:t xml:space="preserve">Senior Researcher in the Nuffield Department of Primary Health Care Sciences at </w:t>
      </w:r>
      <w:r w:rsidR="001A6DF8">
        <w:rPr>
          <w:rFonts w:cs="Arial"/>
        </w:rPr>
        <w:t xml:space="preserve">the </w:t>
      </w:r>
      <w:r w:rsidRPr="005D7008">
        <w:rPr>
          <w:rFonts w:cs="Arial"/>
        </w:rPr>
        <w:t xml:space="preserve">University of Oxford. </w:t>
      </w:r>
    </w:p>
    <w:p w14:paraId="4F9B2A1F" w14:textId="19ABD9C1" w:rsidR="00EF0C21" w:rsidRPr="005D7008" w:rsidRDefault="00EF0C21" w:rsidP="00EF0C21">
      <w:pPr>
        <w:spacing w:line="276" w:lineRule="auto"/>
        <w:rPr>
          <w:rFonts w:cs="Arial"/>
        </w:rPr>
      </w:pPr>
      <w:r w:rsidRPr="005D7008">
        <w:rPr>
          <w:rFonts w:cs="Arial"/>
        </w:rPr>
        <w:t xml:space="preserve">The survey was produced </w:t>
      </w:r>
      <w:r>
        <w:rPr>
          <w:rFonts w:cs="Arial"/>
        </w:rPr>
        <w:t>as</w:t>
      </w:r>
      <w:r w:rsidRPr="005D7008">
        <w:rPr>
          <w:rFonts w:cs="Arial"/>
        </w:rPr>
        <w:t xml:space="preserve"> two versions; a survey for the public and a survey for professionals. Both surveys were launched digitally on Survey Monkey (</w:t>
      </w:r>
      <w:r w:rsidR="001A6DF8">
        <w:rPr>
          <w:rFonts w:cs="Arial"/>
        </w:rPr>
        <w:t>survey website).</w:t>
      </w:r>
      <w:r w:rsidRPr="005D7008">
        <w:rPr>
          <w:rFonts w:cs="Arial"/>
        </w:rPr>
        <w:t xml:space="preserve"> </w:t>
      </w:r>
    </w:p>
    <w:p w14:paraId="0EABB950" w14:textId="77777777" w:rsidR="00EF0C21" w:rsidRPr="005D7008" w:rsidRDefault="00EF0C21" w:rsidP="00EF0C21">
      <w:pPr>
        <w:spacing w:line="276" w:lineRule="auto"/>
        <w:rPr>
          <w:rFonts w:cs="Arial"/>
        </w:rPr>
      </w:pPr>
      <w:r w:rsidRPr="005D7008">
        <w:rPr>
          <w:rFonts w:cs="Arial"/>
        </w:rPr>
        <w:t>The surveys were widely promoted to stakeholders through different communication channels, including:</w:t>
      </w:r>
    </w:p>
    <w:p w14:paraId="6CF0E191"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SBC Social Media channels (Twitter, Facebook, etc.)</w:t>
      </w:r>
    </w:p>
    <w:p w14:paraId="700A57A8"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The SBC Members’ newsletter</w:t>
      </w:r>
    </w:p>
    <w:p w14:paraId="57D1BC18"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The GP newsletter</w:t>
      </w:r>
    </w:p>
    <w:p w14:paraId="2429CC7F"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Adult Social Care</w:t>
      </w:r>
    </w:p>
    <w:p w14:paraId="7296ED90"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Children’s First</w:t>
      </w:r>
    </w:p>
    <w:p w14:paraId="2324ADD1"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Directly to commissioned services</w:t>
      </w:r>
    </w:p>
    <w:p w14:paraId="512CF22F" w14:textId="77777777" w:rsidR="00EF0C21" w:rsidRPr="005D7008" w:rsidRDefault="00EF0C21" w:rsidP="0025036F">
      <w:pPr>
        <w:pStyle w:val="ListParagraph"/>
        <w:numPr>
          <w:ilvl w:val="0"/>
          <w:numId w:val="57"/>
        </w:numPr>
        <w:spacing w:before="0" w:after="160" w:line="276" w:lineRule="auto"/>
        <w:contextualSpacing/>
        <w:rPr>
          <w:rFonts w:cs="Arial"/>
        </w:rPr>
      </w:pPr>
      <w:r w:rsidRPr="005D7008">
        <w:rPr>
          <w:rFonts w:cs="Arial"/>
        </w:rPr>
        <w:t>With our Voluntary Sector organisation</w:t>
      </w:r>
    </w:p>
    <w:p w14:paraId="4453C4F3" w14:textId="77777777" w:rsidR="00EF0C21" w:rsidRPr="005D7008" w:rsidRDefault="00EF0C21" w:rsidP="00EF0C21">
      <w:pPr>
        <w:spacing w:line="276" w:lineRule="auto"/>
        <w:rPr>
          <w:rFonts w:cs="Arial"/>
        </w:rPr>
      </w:pPr>
      <w:r w:rsidRPr="005D7008">
        <w:rPr>
          <w:rFonts w:cs="Arial"/>
        </w:rPr>
        <w:t>In total 133 survey responses were received from:</w:t>
      </w:r>
    </w:p>
    <w:p w14:paraId="5CB769E1" w14:textId="77777777" w:rsidR="00EF0C21" w:rsidRPr="005D7008" w:rsidRDefault="00EF0C21" w:rsidP="0025036F">
      <w:pPr>
        <w:pStyle w:val="ListParagraph"/>
        <w:numPr>
          <w:ilvl w:val="0"/>
          <w:numId w:val="58"/>
        </w:numPr>
        <w:spacing w:before="0" w:after="160" w:line="276" w:lineRule="auto"/>
        <w:contextualSpacing/>
        <w:rPr>
          <w:rFonts w:cs="Arial"/>
        </w:rPr>
      </w:pPr>
      <w:r w:rsidRPr="005D7008">
        <w:rPr>
          <w:rFonts w:cs="Arial"/>
        </w:rPr>
        <w:t>Residents: 114 responses (86%).</w:t>
      </w:r>
    </w:p>
    <w:p w14:paraId="0365C125" w14:textId="77777777" w:rsidR="00EF0C21" w:rsidRPr="00804ADE" w:rsidRDefault="00EF0C21" w:rsidP="0025036F">
      <w:pPr>
        <w:pStyle w:val="ListParagraph"/>
        <w:numPr>
          <w:ilvl w:val="0"/>
          <w:numId w:val="58"/>
        </w:numPr>
        <w:spacing w:before="0" w:after="160" w:line="276" w:lineRule="auto"/>
        <w:contextualSpacing/>
        <w:rPr>
          <w:rFonts w:cs="Arial"/>
        </w:rPr>
      </w:pPr>
      <w:r w:rsidRPr="005D7008">
        <w:rPr>
          <w:rFonts w:cs="Arial"/>
        </w:rPr>
        <w:t>Professionals: 19 responses (14%).</w:t>
      </w:r>
    </w:p>
    <w:p w14:paraId="71AF6B33" w14:textId="77777777" w:rsidR="00EF0C21" w:rsidRPr="005D7008" w:rsidRDefault="00EF0C21" w:rsidP="00EF0C21">
      <w:pPr>
        <w:spacing w:line="276" w:lineRule="auto"/>
        <w:rPr>
          <w:rFonts w:cs="Arial"/>
        </w:rPr>
      </w:pPr>
      <w:r w:rsidRPr="005D7008">
        <w:rPr>
          <w:rFonts w:cs="Arial"/>
        </w:rPr>
        <w:t>Of the 19 responses from Professionals, these were received from:</w:t>
      </w:r>
    </w:p>
    <w:p w14:paraId="71B07DA8" w14:textId="77777777" w:rsidR="00EF0C21" w:rsidRPr="005D7008" w:rsidRDefault="00EF0C21" w:rsidP="0025036F">
      <w:pPr>
        <w:pStyle w:val="ListParagraph"/>
        <w:numPr>
          <w:ilvl w:val="0"/>
          <w:numId w:val="59"/>
        </w:numPr>
        <w:spacing w:before="0" w:after="160" w:line="276" w:lineRule="auto"/>
        <w:contextualSpacing/>
        <w:rPr>
          <w:rFonts w:cs="Arial"/>
        </w:rPr>
      </w:pPr>
      <w:r w:rsidRPr="005D7008">
        <w:rPr>
          <w:rFonts w:cs="Arial"/>
        </w:rPr>
        <w:t>Social workers – 4 (21%)</w:t>
      </w:r>
    </w:p>
    <w:p w14:paraId="1AD1993C" w14:textId="77777777" w:rsidR="00EF0C21" w:rsidRPr="005D7008" w:rsidRDefault="00EF0C21" w:rsidP="0025036F">
      <w:pPr>
        <w:pStyle w:val="ListParagraph"/>
        <w:numPr>
          <w:ilvl w:val="0"/>
          <w:numId w:val="59"/>
        </w:numPr>
        <w:spacing w:before="0" w:after="160" w:line="276" w:lineRule="auto"/>
        <w:contextualSpacing/>
        <w:rPr>
          <w:rFonts w:cs="Arial"/>
        </w:rPr>
      </w:pPr>
      <w:r w:rsidRPr="005D7008">
        <w:rPr>
          <w:rFonts w:cs="Arial"/>
        </w:rPr>
        <w:t>Allied Health Professional – 3 (16%)</w:t>
      </w:r>
    </w:p>
    <w:p w14:paraId="75F0485E" w14:textId="77777777" w:rsidR="00EF0C21" w:rsidRPr="005D7008" w:rsidRDefault="00EF0C21" w:rsidP="0025036F">
      <w:pPr>
        <w:pStyle w:val="ListParagraph"/>
        <w:numPr>
          <w:ilvl w:val="0"/>
          <w:numId w:val="59"/>
        </w:numPr>
        <w:spacing w:before="0" w:after="160" w:line="276" w:lineRule="auto"/>
        <w:contextualSpacing/>
        <w:rPr>
          <w:rFonts w:cs="Arial"/>
        </w:rPr>
      </w:pPr>
      <w:r w:rsidRPr="005D7008">
        <w:rPr>
          <w:rFonts w:cs="Arial"/>
        </w:rPr>
        <w:t>Care co-ordinator – 1 (5%)</w:t>
      </w:r>
    </w:p>
    <w:p w14:paraId="1E15397C" w14:textId="77777777" w:rsidR="00EF0C21" w:rsidRPr="005D7008" w:rsidRDefault="00EF0C21" w:rsidP="0025036F">
      <w:pPr>
        <w:pStyle w:val="ListParagraph"/>
        <w:numPr>
          <w:ilvl w:val="0"/>
          <w:numId w:val="59"/>
        </w:numPr>
        <w:spacing w:before="0" w:after="160" w:line="276" w:lineRule="auto"/>
        <w:contextualSpacing/>
        <w:rPr>
          <w:rFonts w:cs="Arial"/>
        </w:rPr>
      </w:pPr>
      <w:r w:rsidRPr="005D7008">
        <w:rPr>
          <w:rFonts w:cs="Arial"/>
        </w:rPr>
        <w:t>Public health professional – 2 (11%)</w:t>
      </w:r>
    </w:p>
    <w:p w14:paraId="2F4AFCED" w14:textId="4816F629" w:rsidR="00EF0C21" w:rsidRPr="00C07E70" w:rsidRDefault="00C07E70" w:rsidP="0025036F">
      <w:pPr>
        <w:pStyle w:val="Heading3"/>
        <w:numPr>
          <w:ilvl w:val="1"/>
          <w:numId w:val="45"/>
        </w:numPr>
        <w:rPr>
          <w:rStyle w:val="Hyperlink"/>
          <w:color w:val="008938"/>
          <w:u w:val="none"/>
        </w:rPr>
      </w:pPr>
      <w:r>
        <w:rPr>
          <w:rStyle w:val="Hyperlink"/>
          <w:color w:val="008938"/>
          <w:u w:val="none"/>
        </w:rPr>
        <w:t xml:space="preserve"> </w:t>
      </w:r>
      <w:bookmarkStart w:id="399" w:name="_Toc160129633"/>
      <w:r w:rsidR="00EF0C21" w:rsidRPr="00C07E70">
        <w:rPr>
          <w:rStyle w:val="Hyperlink"/>
          <w:color w:val="008938"/>
          <w:u w:val="none"/>
        </w:rPr>
        <w:t>Results</w:t>
      </w:r>
      <w:bookmarkEnd w:id="399"/>
    </w:p>
    <w:p w14:paraId="6AD5D062" w14:textId="77777777" w:rsidR="00EF0C21" w:rsidRPr="00C07E70" w:rsidRDefault="00EF0C21" w:rsidP="00C07E70">
      <w:pPr>
        <w:rPr>
          <w:rStyle w:val="Hyperlink"/>
          <w:b/>
          <w:bCs/>
          <w:color w:val="auto"/>
          <w:u w:val="none"/>
        </w:rPr>
      </w:pPr>
      <w:r w:rsidRPr="00C07E70">
        <w:rPr>
          <w:rStyle w:val="Hyperlink"/>
          <w:b/>
          <w:bCs/>
          <w:color w:val="auto"/>
          <w:u w:val="none"/>
        </w:rPr>
        <w:t>Respondent characteristics</w:t>
      </w:r>
    </w:p>
    <w:p w14:paraId="27A839F6" w14:textId="77777777" w:rsidR="00EF0C21" w:rsidRPr="00A03BA5" w:rsidRDefault="00EF0C21" w:rsidP="00EF0C21">
      <w:pPr>
        <w:spacing w:line="276" w:lineRule="auto"/>
        <w:jc w:val="both"/>
        <w:rPr>
          <w:rFonts w:cs="Arial"/>
        </w:rPr>
      </w:pPr>
      <w:r w:rsidRPr="005D7008">
        <w:rPr>
          <w:rFonts w:cs="Arial"/>
        </w:rPr>
        <w:t>Responses were received from residents living across a variety of wards in Slough</w:t>
      </w:r>
      <w:r>
        <w:rPr>
          <w:rFonts w:cs="Arial"/>
        </w:rPr>
        <w:t xml:space="preserve">, whilst a small quantity of responses </w:t>
      </w:r>
      <w:r w:rsidRPr="005D7008">
        <w:rPr>
          <w:rFonts w:cs="Arial"/>
        </w:rPr>
        <w:t>were received from residents outside of Slough.</w:t>
      </w:r>
      <w:r>
        <w:rPr>
          <w:rFonts w:cs="Arial"/>
          <w:i/>
          <w:iCs/>
        </w:rPr>
        <w:t xml:space="preserve"> </w:t>
      </w:r>
      <w:r>
        <w:rPr>
          <w:rFonts w:cs="Arial"/>
        </w:rPr>
        <w:t xml:space="preserve">The age of respondents ranged from under 17 to over 65, with the majority of respondents aged 55 to 64 (29.2%). 55.1% of respondents were White - British, whilst 28.1% were Asian - Asian British. The majority of respondents (70.3%) had no impairment or disability. </w:t>
      </w:r>
    </w:p>
    <w:p w14:paraId="7BC45DAB" w14:textId="77777777" w:rsidR="00EF0C21" w:rsidRPr="00C07E70" w:rsidRDefault="00EF0C21" w:rsidP="00C07E70">
      <w:pPr>
        <w:rPr>
          <w:rStyle w:val="Hyperlink"/>
          <w:b/>
          <w:bCs/>
          <w:color w:val="auto"/>
          <w:u w:val="none"/>
        </w:rPr>
      </w:pPr>
      <w:r w:rsidRPr="00C07E70">
        <w:rPr>
          <w:rStyle w:val="Hyperlink"/>
          <w:b/>
          <w:bCs/>
          <w:color w:val="auto"/>
          <w:u w:val="none"/>
        </w:rPr>
        <w:t>Health results</w:t>
      </w:r>
    </w:p>
    <w:p w14:paraId="374A5804" w14:textId="1ACCE556" w:rsidR="00EF0C21" w:rsidRDefault="00EF0C21" w:rsidP="00EF0C21">
      <w:pPr>
        <w:spacing w:line="276" w:lineRule="auto"/>
        <w:jc w:val="both"/>
        <w:rPr>
          <w:rFonts w:cs="Arial"/>
        </w:rPr>
      </w:pPr>
      <w:r w:rsidRPr="005D7008">
        <w:rPr>
          <w:rFonts w:cs="Arial"/>
        </w:rPr>
        <w:t xml:space="preserve">In regards to health and physical activity, 67.3% (74) </w:t>
      </w:r>
      <w:r>
        <w:rPr>
          <w:rFonts w:cs="Arial"/>
        </w:rPr>
        <w:t xml:space="preserve">of </w:t>
      </w:r>
      <w:r w:rsidRPr="005D7008">
        <w:rPr>
          <w:rFonts w:cs="Arial"/>
        </w:rPr>
        <w:t xml:space="preserve">respondents reported concerns about their weight (112 responses, 2 skipped), and 65.8% (73) </w:t>
      </w:r>
      <w:r>
        <w:rPr>
          <w:rFonts w:cs="Arial"/>
        </w:rPr>
        <w:t xml:space="preserve">of </w:t>
      </w:r>
      <w:r w:rsidRPr="005D7008">
        <w:rPr>
          <w:rFonts w:cs="Arial"/>
        </w:rPr>
        <w:t>respondents reported concerns about their activity levels (112 responses, 2 skipped)</w:t>
      </w:r>
      <w:r w:rsidR="00887760">
        <w:rPr>
          <w:rFonts w:cs="Arial"/>
        </w:rPr>
        <w:t xml:space="preserve"> (Figure E.1)</w:t>
      </w:r>
      <w:r w:rsidRPr="005D7008">
        <w:rPr>
          <w:rFonts w:cs="Arial"/>
        </w:rPr>
        <w:t xml:space="preserve">. </w:t>
      </w:r>
      <w:r w:rsidRPr="005D7008">
        <w:rPr>
          <w:rFonts w:cs="Arial"/>
          <w:bCs/>
        </w:rPr>
        <w:t>When asked if they were looking to make healthy changes (Q5</w:t>
      </w:r>
      <w:r w:rsidR="00887760">
        <w:rPr>
          <w:rFonts w:cs="Arial"/>
          <w:bCs/>
        </w:rPr>
        <w:t>, Figure E.2</w:t>
      </w:r>
      <w:r w:rsidRPr="005D7008">
        <w:rPr>
          <w:rFonts w:cs="Arial"/>
          <w:bCs/>
        </w:rPr>
        <w:t>),</w:t>
      </w:r>
      <w:r w:rsidRPr="005D7008">
        <w:rPr>
          <w:rFonts w:cs="Arial"/>
          <w:b/>
        </w:rPr>
        <w:t xml:space="preserve"> </w:t>
      </w:r>
      <w:r w:rsidRPr="005D7008">
        <w:rPr>
          <w:rFonts w:cs="Arial"/>
        </w:rPr>
        <w:t>84 (77.8%) respondents wanted to get active.</w:t>
      </w:r>
      <w:r w:rsidRPr="007A7997">
        <w:rPr>
          <w:rFonts w:cs="Arial"/>
        </w:rPr>
        <w:t xml:space="preserve"> </w:t>
      </w:r>
      <w:r>
        <w:rPr>
          <w:rFonts w:cs="Arial"/>
        </w:rPr>
        <w:t>This scored highly compared to other healthy behaviours, for example, a</w:t>
      </w:r>
      <w:r w:rsidRPr="005D7008">
        <w:rPr>
          <w:rFonts w:cs="Arial"/>
        </w:rPr>
        <w:t xml:space="preserve"> lesser proportion </w:t>
      </w:r>
      <w:r>
        <w:rPr>
          <w:rFonts w:cs="Arial"/>
        </w:rPr>
        <w:t xml:space="preserve">of respondents </w:t>
      </w:r>
      <w:r w:rsidRPr="005D7008">
        <w:rPr>
          <w:rFonts w:cs="Arial"/>
        </w:rPr>
        <w:t>wanted to give up smoking or drink less alcohol, with just 16% and 15% of respondents agreeing respectively.</w:t>
      </w:r>
    </w:p>
    <w:p w14:paraId="1DACBB3E" w14:textId="5BE43DFD" w:rsidR="00887760" w:rsidRDefault="00887760" w:rsidP="00887760">
      <w:pPr>
        <w:pStyle w:val="Figures"/>
      </w:pPr>
      <w:bookmarkStart w:id="400" w:name="_Toc160129369"/>
      <w:r>
        <w:t>Figure E.1: Distribution of unhealthy behaviour concerns</w:t>
      </w:r>
      <w:bookmarkEnd w:id="400"/>
      <w:r>
        <w:t xml:space="preserve">  </w:t>
      </w:r>
    </w:p>
    <w:p w14:paraId="3A1F64B3" w14:textId="77777777" w:rsidR="00EF0C21" w:rsidRDefault="00EF0C21" w:rsidP="00EF0C21">
      <w:pPr>
        <w:spacing w:line="276" w:lineRule="auto"/>
        <w:jc w:val="both"/>
        <w:rPr>
          <w:rFonts w:cs="Arial"/>
        </w:rPr>
      </w:pPr>
      <w:r w:rsidRPr="001A6DF8">
        <w:rPr>
          <w:rFonts w:cs="Arial"/>
          <w:noProof/>
        </w:rPr>
        <w:drawing>
          <wp:inline distT="0" distB="0" distL="0" distR="0" wp14:anchorId="481A25FA" wp14:editId="30AAC92A">
            <wp:extent cx="5791200" cy="2924569"/>
            <wp:effectExtent l="0" t="0" r="0" b="9525"/>
            <wp:docPr id="535833121" name="Chart 1" descr="Figure E.1: distribution of unhealthy behaviour concerns. The graph shows that a higher proportion of residents have concerns about weight and activity levels when compared to concerns about smoking and alcohol consumption ">
              <a:extLst xmlns:a="http://schemas.openxmlformats.org/drawingml/2006/main">
                <a:ext uri="{FF2B5EF4-FFF2-40B4-BE49-F238E27FC236}">
                  <a16:creationId xmlns:a16="http://schemas.microsoft.com/office/drawing/2014/main" id="{91E8D837-3065-B56D-9786-342D10A65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143B92" w14:textId="77777777" w:rsidR="00887760" w:rsidRDefault="00887760" w:rsidP="00EF0C21">
      <w:pPr>
        <w:spacing w:line="276" w:lineRule="auto"/>
        <w:jc w:val="both"/>
        <w:rPr>
          <w:rFonts w:cs="Arial"/>
        </w:rPr>
      </w:pPr>
    </w:p>
    <w:p w14:paraId="08721E94" w14:textId="790BDF32" w:rsidR="00887760" w:rsidRDefault="00887760" w:rsidP="00887760">
      <w:pPr>
        <w:pStyle w:val="Figures"/>
      </w:pPr>
      <w:bookmarkStart w:id="401" w:name="_Toc160129370"/>
      <w:r>
        <w:t>Figure E.2: Distribution of healthy changes</w:t>
      </w:r>
      <w:bookmarkEnd w:id="401"/>
      <w:r>
        <w:t xml:space="preserve"> </w:t>
      </w:r>
    </w:p>
    <w:p w14:paraId="6166F94C" w14:textId="77777777" w:rsidR="00EF0C21" w:rsidRDefault="00EF0C21" w:rsidP="00EF0C21">
      <w:pPr>
        <w:spacing w:line="276" w:lineRule="auto"/>
        <w:jc w:val="both"/>
        <w:rPr>
          <w:rFonts w:cs="Arial"/>
        </w:rPr>
      </w:pPr>
      <w:r>
        <w:rPr>
          <w:noProof/>
        </w:rPr>
        <w:drawing>
          <wp:inline distT="0" distB="0" distL="0" distR="0" wp14:anchorId="7ABD6FB3" wp14:editId="04F2C602">
            <wp:extent cx="5791200" cy="3211735"/>
            <wp:effectExtent l="0" t="0" r="0" b="8255"/>
            <wp:docPr id="241978498" name="Chart 1" descr="Figure E.2: Distribution of healthy changes. The percentage of respondents who would like to get active and lose weight is greater than quitting smoking and drinking less alcohol ">
              <a:extLst xmlns:a="http://schemas.openxmlformats.org/drawingml/2006/main">
                <a:ext uri="{FF2B5EF4-FFF2-40B4-BE49-F238E27FC236}">
                  <a16:creationId xmlns:a16="http://schemas.microsoft.com/office/drawing/2014/main" id="{073887B7-1E8D-F782-B091-8FD3F7BC06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676C362" w14:textId="77777777" w:rsidR="00EF0C21" w:rsidRPr="005D7008" w:rsidRDefault="00EF0C21" w:rsidP="00EF0C21">
      <w:pPr>
        <w:autoSpaceDE w:val="0"/>
        <w:autoSpaceDN w:val="0"/>
        <w:adjustRightInd w:val="0"/>
        <w:spacing w:after="0" w:line="276" w:lineRule="auto"/>
        <w:jc w:val="both"/>
        <w:rPr>
          <w:rFonts w:cs="Arial"/>
        </w:rPr>
      </w:pPr>
      <w:r w:rsidRPr="005D7008">
        <w:rPr>
          <w:rFonts w:cs="Arial"/>
        </w:rPr>
        <w:t xml:space="preserve">It’s clear from </w:t>
      </w:r>
      <w:r>
        <w:rPr>
          <w:rFonts w:cs="Arial"/>
        </w:rPr>
        <w:t xml:space="preserve">these </w:t>
      </w:r>
      <w:r w:rsidRPr="005D7008">
        <w:rPr>
          <w:rFonts w:cs="Arial"/>
        </w:rPr>
        <w:t>responses that Slough residents are keen on making changes to their lifestyle to improve their health.</w:t>
      </w:r>
      <w:r>
        <w:rPr>
          <w:rFonts w:cs="Arial"/>
        </w:rPr>
        <w:t xml:space="preserve"> </w:t>
      </w:r>
      <w:r w:rsidRPr="005D7008">
        <w:rPr>
          <w:rFonts w:cs="Arial"/>
        </w:rPr>
        <w:t>Despite the number of respondents to the survey that reported wanting to make healthy lifestyle changes, 77% of respondents stated that they had never used any of SBCs support services – the answers to ‘Is there anything else you would like to say?’ would appear to indicate that a lack of information regarding what is available is amongst the causes of this. These findings indicate that there is an opportunity to improve knowledge, and uptake, of effective health improvement services offered by SBC.</w:t>
      </w:r>
    </w:p>
    <w:p w14:paraId="07BC0B76" w14:textId="243AC101" w:rsidR="00EF0C21" w:rsidRDefault="00EF0C21" w:rsidP="00EF0C21">
      <w:pPr>
        <w:autoSpaceDE w:val="0"/>
        <w:autoSpaceDN w:val="0"/>
        <w:adjustRightInd w:val="0"/>
        <w:spacing w:after="0" w:line="276" w:lineRule="auto"/>
        <w:jc w:val="both"/>
        <w:rPr>
          <w:rFonts w:cs="Arial"/>
        </w:rPr>
      </w:pPr>
      <w:r>
        <w:rPr>
          <w:rFonts w:cs="Arial"/>
        </w:rPr>
        <w:t xml:space="preserve">The survey </w:t>
      </w:r>
      <w:r w:rsidRPr="005D7008">
        <w:rPr>
          <w:rFonts w:cs="Arial"/>
        </w:rPr>
        <w:t>conducted for healthcare professionals</w:t>
      </w:r>
      <w:r>
        <w:rPr>
          <w:rFonts w:cs="Arial"/>
        </w:rPr>
        <w:t xml:space="preserve"> </w:t>
      </w:r>
      <w:r w:rsidRPr="005D7008">
        <w:rPr>
          <w:rFonts w:cs="Arial"/>
        </w:rPr>
        <w:t xml:space="preserve">indicated that 78% </w:t>
      </w:r>
      <w:r w:rsidR="001A6DF8">
        <w:rPr>
          <w:rFonts w:cs="Arial"/>
        </w:rPr>
        <w:t xml:space="preserve"> respondents </w:t>
      </w:r>
      <w:r w:rsidRPr="005D7008">
        <w:rPr>
          <w:rFonts w:cs="Arial"/>
        </w:rPr>
        <w:t>thought that the right support services were not in place to help people make healthy behaviour changes, and were asked to provide the</w:t>
      </w:r>
      <w:r w:rsidR="001A6DF8">
        <w:rPr>
          <w:rFonts w:cs="Arial"/>
        </w:rPr>
        <w:t>ir</w:t>
      </w:r>
      <w:r w:rsidRPr="005D7008">
        <w:rPr>
          <w:rFonts w:cs="Arial"/>
        </w:rPr>
        <w:t xml:space="preserve"> views on what else was needed to support resident</w:t>
      </w:r>
      <w:r>
        <w:rPr>
          <w:rFonts w:cs="Arial"/>
        </w:rPr>
        <w:t xml:space="preserve">s. This included residents not knowing what is available and how to access services, and a lack of education and understanding the impact of positive changes. </w:t>
      </w:r>
    </w:p>
    <w:p w14:paraId="12E664FB" w14:textId="77777777" w:rsidR="00EF0C21" w:rsidRPr="00413ADD" w:rsidRDefault="00EF0C21" w:rsidP="00EF0C21">
      <w:pPr>
        <w:autoSpaceDE w:val="0"/>
        <w:autoSpaceDN w:val="0"/>
        <w:adjustRightInd w:val="0"/>
        <w:spacing w:after="0" w:line="276" w:lineRule="auto"/>
        <w:jc w:val="both"/>
        <w:rPr>
          <w:rFonts w:cs="Arial"/>
          <w:b/>
        </w:rPr>
      </w:pPr>
      <w:r>
        <w:rPr>
          <w:rFonts w:cs="Arial"/>
        </w:rPr>
        <w:t xml:space="preserve">These themes align with similar conclusions drawn from the Slough 2040 Vision engagement study and highlights that these are common issues across service areas. This also means therefore that collaborative work across service areas that focuses on improving areas such as education, awareness and access to information to help inform healthy choices is likely to have co-benefits across multiple service areas. </w:t>
      </w:r>
    </w:p>
    <w:p w14:paraId="7C59942F" w14:textId="77777777" w:rsidR="00171AE4" w:rsidRDefault="00171AE4" w:rsidP="00171AE4">
      <w:pPr>
        <w:pStyle w:val="AQAPText"/>
        <w:spacing w:after="0"/>
        <w:rPr>
          <w:rStyle w:val="Hyperlink"/>
          <w:b/>
          <w:bCs/>
          <w:color w:val="auto"/>
          <w:u w:val="none"/>
        </w:rPr>
      </w:pPr>
    </w:p>
    <w:p w14:paraId="2BBCAE54" w14:textId="6AA2A324" w:rsidR="00EF0C21" w:rsidRDefault="00EF0C21" w:rsidP="00171AE4">
      <w:pPr>
        <w:pStyle w:val="AQAPText"/>
        <w:spacing w:after="0"/>
        <w:rPr>
          <w:rStyle w:val="Hyperlink"/>
          <w:b/>
          <w:bCs/>
          <w:color w:val="auto"/>
          <w:u w:val="none"/>
        </w:rPr>
      </w:pPr>
      <w:r w:rsidRPr="00171AE4">
        <w:rPr>
          <w:rStyle w:val="Hyperlink"/>
          <w:b/>
          <w:bCs/>
          <w:color w:val="auto"/>
          <w:u w:val="none"/>
        </w:rPr>
        <w:t>Barriers to health improvement</w:t>
      </w:r>
    </w:p>
    <w:p w14:paraId="3C9ABA16" w14:textId="77777777" w:rsidR="00171AE4" w:rsidRPr="00171AE4" w:rsidRDefault="00171AE4" w:rsidP="00171AE4">
      <w:pPr>
        <w:pStyle w:val="AQAPText"/>
        <w:spacing w:after="0"/>
        <w:rPr>
          <w:b/>
          <w:bCs/>
        </w:rPr>
      </w:pPr>
    </w:p>
    <w:p w14:paraId="00788863" w14:textId="77777777" w:rsidR="00EF0C21" w:rsidRPr="005D7008" w:rsidRDefault="00EF0C21" w:rsidP="00171AE4">
      <w:pPr>
        <w:autoSpaceDE w:val="0"/>
        <w:autoSpaceDN w:val="0"/>
        <w:adjustRightInd w:val="0"/>
        <w:spacing w:before="0" w:after="0" w:line="276" w:lineRule="auto"/>
        <w:jc w:val="both"/>
        <w:rPr>
          <w:rFonts w:cs="Arial"/>
        </w:rPr>
      </w:pPr>
      <w:r w:rsidRPr="005D7008">
        <w:rPr>
          <w:rFonts w:cs="Arial"/>
        </w:rPr>
        <w:t>The public survey highlighted a number of barriers that residents felt were inhibiting their ability to access services to support them make healthy choices. These included:</w:t>
      </w:r>
    </w:p>
    <w:p w14:paraId="2B14F676" w14:textId="77777777" w:rsidR="00EF0C21" w:rsidRPr="005D7008" w:rsidRDefault="00EF0C21" w:rsidP="00EF0C21">
      <w:pPr>
        <w:autoSpaceDE w:val="0"/>
        <w:autoSpaceDN w:val="0"/>
        <w:adjustRightInd w:val="0"/>
        <w:spacing w:after="0" w:line="276" w:lineRule="auto"/>
        <w:jc w:val="both"/>
        <w:rPr>
          <w:rFonts w:cs="Arial"/>
        </w:rPr>
      </w:pPr>
    </w:p>
    <w:p w14:paraId="5E3FE50F"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Lack of classes</w:t>
      </w:r>
    </w:p>
    <w:p w14:paraId="54434DC6"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Poor promotion of available services resulting in lack of knowledge of offering</w:t>
      </w:r>
    </w:p>
    <w:p w14:paraId="350B7481"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Other duties such as caring for family members</w:t>
      </w:r>
    </w:p>
    <w:p w14:paraId="13814EF5"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Cost</w:t>
      </w:r>
    </w:p>
    <w:p w14:paraId="62BEDB87"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Lack of council support</w:t>
      </w:r>
    </w:p>
    <w:p w14:paraId="4EF8B1AB" w14:textId="77777777" w:rsidR="00EF0C21" w:rsidRPr="005D7008" w:rsidRDefault="00EF0C21" w:rsidP="0025036F">
      <w:pPr>
        <w:pStyle w:val="ListParagraph"/>
        <w:numPr>
          <w:ilvl w:val="0"/>
          <w:numId w:val="60"/>
        </w:numPr>
        <w:autoSpaceDE w:val="0"/>
        <w:autoSpaceDN w:val="0"/>
        <w:adjustRightInd w:val="0"/>
        <w:spacing w:before="0" w:after="0" w:line="276" w:lineRule="auto"/>
        <w:contextualSpacing/>
        <w:jc w:val="both"/>
        <w:rPr>
          <w:rFonts w:cs="Arial"/>
        </w:rPr>
      </w:pPr>
      <w:r w:rsidRPr="005D7008">
        <w:rPr>
          <w:rFonts w:cs="Arial"/>
        </w:rPr>
        <w:t>Inability to attend mainstream classes due to medical conditions</w:t>
      </w:r>
    </w:p>
    <w:p w14:paraId="35C4CEFA" w14:textId="77777777" w:rsidR="00EF0C21" w:rsidRPr="005D7008" w:rsidRDefault="00EF0C21" w:rsidP="00171AE4">
      <w:pPr>
        <w:autoSpaceDE w:val="0"/>
        <w:autoSpaceDN w:val="0"/>
        <w:adjustRightInd w:val="0"/>
        <w:spacing w:before="0" w:after="0" w:line="276" w:lineRule="auto"/>
        <w:jc w:val="both"/>
        <w:rPr>
          <w:rFonts w:cs="Arial"/>
        </w:rPr>
      </w:pPr>
    </w:p>
    <w:p w14:paraId="5A452F33" w14:textId="77777777" w:rsidR="00EF0C21" w:rsidRPr="005D7008" w:rsidRDefault="00EF0C21" w:rsidP="00171AE4">
      <w:pPr>
        <w:autoSpaceDE w:val="0"/>
        <w:autoSpaceDN w:val="0"/>
        <w:adjustRightInd w:val="0"/>
        <w:spacing w:before="0" w:after="0" w:line="276" w:lineRule="auto"/>
        <w:jc w:val="both"/>
        <w:rPr>
          <w:rFonts w:cs="Arial"/>
        </w:rPr>
      </w:pPr>
      <w:r w:rsidRPr="005D7008">
        <w:rPr>
          <w:rFonts w:cs="Arial"/>
        </w:rPr>
        <w:t>The professional survey indicated that the majority of respondents do not think the right support services are in place at present. In addition to this, a majority of respondents thought that lack of time; location of services being inaccessible and existing services not being the right fit all contribute to the barriers residents face. However 76% and 65% of respondents thought that residents were ‘Not ready to change’ or ‘Struggling to maintain change’ respectively. This suggests that education and communication campaigns need to be strengthened alongside core services such as exercise classes.</w:t>
      </w:r>
    </w:p>
    <w:p w14:paraId="2B30A453" w14:textId="3117C74B" w:rsidR="00EF0C21" w:rsidRPr="00C07E70" w:rsidRDefault="00C07E70" w:rsidP="0025036F">
      <w:pPr>
        <w:pStyle w:val="Heading3"/>
        <w:numPr>
          <w:ilvl w:val="1"/>
          <w:numId w:val="45"/>
        </w:numPr>
        <w:rPr>
          <w:rStyle w:val="Hyperlink"/>
          <w:color w:val="008938"/>
          <w:u w:val="none"/>
        </w:rPr>
      </w:pPr>
      <w:r>
        <w:rPr>
          <w:rStyle w:val="Hyperlink"/>
          <w:color w:val="008938"/>
          <w:u w:val="none"/>
        </w:rPr>
        <w:t xml:space="preserve"> </w:t>
      </w:r>
      <w:bookmarkStart w:id="402" w:name="_Toc160129634"/>
      <w:r w:rsidR="00EF0C21" w:rsidRPr="00C07E70">
        <w:rPr>
          <w:rStyle w:val="Hyperlink"/>
          <w:color w:val="008938"/>
          <w:u w:val="none"/>
        </w:rPr>
        <w:t>Summary</w:t>
      </w:r>
      <w:bookmarkEnd w:id="402"/>
    </w:p>
    <w:p w14:paraId="041CD41B" w14:textId="77777777" w:rsidR="00EF0C21" w:rsidRDefault="00EF0C21" w:rsidP="00EF0C21">
      <w:pPr>
        <w:spacing w:line="276" w:lineRule="auto"/>
        <w:jc w:val="both"/>
        <w:rPr>
          <w:rFonts w:cs="Arial"/>
        </w:rPr>
      </w:pPr>
      <w:r>
        <w:rPr>
          <w:rFonts w:cs="Arial"/>
        </w:rPr>
        <w:t xml:space="preserve">In summary, the results of the surveys indicate that Slough residents have an ambition to improve their health by becoming more physically active, however the responses suggest that there is a lack of support to assist residents in making this change. This is reinforced by the healthcare professionals survey, which indicated that there is a lack of awareness of available resources alongside a lack of education on the benefits of physical activity. </w:t>
      </w:r>
    </w:p>
    <w:p w14:paraId="6101BC04" w14:textId="77777777" w:rsidR="00EF0C21" w:rsidRDefault="00EF0C21" w:rsidP="00EF0C21">
      <w:pPr>
        <w:spacing w:line="276" w:lineRule="auto"/>
        <w:jc w:val="both"/>
        <w:rPr>
          <w:rFonts w:cs="Arial"/>
        </w:rPr>
      </w:pPr>
      <w:r>
        <w:rPr>
          <w:rFonts w:cs="Arial"/>
        </w:rPr>
        <w:t xml:space="preserve">This indicates that improving education and awareness of physical activity and its benefits, plus improving availability of resources and information, will assist Slough’s residents in becoming more physically active, and is likely to assist in modal shift targets regarding active travel. </w:t>
      </w:r>
    </w:p>
    <w:p w14:paraId="1A96C5BD" w14:textId="77777777" w:rsidR="00EF0C21" w:rsidRDefault="00EF0C21" w:rsidP="00EF0C21">
      <w:pPr>
        <w:spacing w:line="276" w:lineRule="auto"/>
        <w:jc w:val="both"/>
        <w:rPr>
          <w:rFonts w:cs="Arial"/>
        </w:rPr>
      </w:pPr>
    </w:p>
    <w:p w14:paraId="252CA6CC" w14:textId="77777777" w:rsidR="00EF0C21" w:rsidRDefault="00EF0C21" w:rsidP="00EF0C21">
      <w:pPr>
        <w:spacing w:line="276" w:lineRule="auto"/>
        <w:rPr>
          <w:rFonts w:cs="Arial"/>
          <w:b/>
          <w:bCs/>
          <w:u w:val="single"/>
        </w:rPr>
      </w:pPr>
      <w:r>
        <w:rPr>
          <w:rFonts w:cs="Arial"/>
          <w:b/>
          <w:bCs/>
          <w:u w:val="single"/>
        </w:rPr>
        <w:br w:type="page"/>
      </w:r>
    </w:p>
    <w:p w14:paraId="3D07B05C" w14:textId="77777777" w:rsidR="00EF0C21" w:rsidRPr="00C07E70" w:rsidRDefault="00EF0C21" w:rsidP="0025036F">
      <w:pPr>
        <w:pStyle w:val="Heading2"/>
        <w:numPr>
          <w:ilvl w:val="0"/>
          <w:numId w:val="81"/>
        </w:numPr>
        <w:spacing w:after="0"/>
        <w:rPr>
          <w:rStyle w:val="Hyperlink"/>
          <w:color w:val="008938"/>
          <w:u w:val="none"/>
        </w:rPr>
      </w:pPr>
      <w:bookmarkStart w:id="403" w:name="_Toc160129635"/>
      <w:r w:rsidRPr="00C07E70">
        <w:rPr>
          <w:rStyle w:val="Hyperlink"/>
          <w:color w:val="008938"/>
          <w:u w:val="none"/>
        </w:rPr>
        <w:t>A4 Cycle Route and Road Safety Improvements Consultation</w:t>
      </w:r>
      <w:bookmarkEnd w:id="403"/>
      <w:r w:rsidRPr="00C07E70">
        <w:rPr>
          <w:rStyle w:val="Hyperlink"/>
          <w:color w:val="008938"/>
          <w:u w:val="none"/>
        </w:rPr>
        <w:t xml:space="preserve"> </w:t>
      </w:r>
    </w:p>
    <w:p w14:paraId="6B058180" w14:textId="77777777" w:rsidR="00EF0C21" w:rsidRDefault="00EF0C21" w:rsidP="00EF0C21">
      <w:pPr>
        <w:spacing w:line="276" w:lineRule="auto"/>
        <w:jc w:val="both"/>
        <w:rPr>
          <w:rFonts w:cs="Arial"/>
        </w:rPr>
      </w:pPr>
      <w:r>
        <w:rPr>
          <w:rFonts w:cs="Arial"/>
        </w:rPr>
        <w:t xml:space="preserve">In 2021, Slough Borough Council undertook an assessment of the existing cycling and walking facilities along the A4 between Huntercombe Lane and Uxbridge Road, to assess how the route could be upgraded to accommodate all levels of cycling ability and improve the walking environment. This engagement was used to inform a proposal for a new off-road, mostly segregated, two way cycle route alongside the A4, in conjunction with road safety improvements. </w:t>
      </w:r>
    </w:p>
    <w:p w14:paraId="4D4601A9" w14:textId="0DBA81B3" w:rsidR="00EF0C21" w:rsidRDefault="00EF0C21" w:rsidP="00EF0C21">
      <w:pPr>
        <w:spacing w:line="276" w:lineRule="auto"/>
        <w:jc w:val="both"/>
        <w:rPr>
          <w:rFonts w:cs="Arial"/>
        </w:rPr>
      </w:pPr>
      <w:r>
        <w:rPr>
          <w:rFonts w:cs="Arial"/>
        </w:rPr>
        <w:t>The scheme was consulted upon from August to September 2023. In total, responses</w:t>
      </w:r>
      <w:r w:rsidR="007E73EA">
        <w:rPr>
          <w:rFonts w:cs="Arial"/>
        </w:rPr>
        <w:t xml:space="preserve"> to the online survey</w:t>
      </w:r>
      <w:r>
        <w:rPr>
          <w:rFonts w:cs="Arial"/>
        </w:rPr>
        <w:t xml:space="preserve"> were received from 193 individual respondents, 9 of which responded via email or post</w:t>
      </w:r>
      <w:r w:rsidR="00171AE4">
        <w:rPr>
          <w:rFonts w:cs="Arial"/>
        </w:rPr>
        <w:t xml:space="preserve">. These nine respondents did not answer the specific consultation questions, therefore the total number of respondent responses to be analysed standards at </w:t>
      </w:r>
      <w:r>
        <w:rPr>
          <w:rFonts w:cs="Arial"/>
        </w:rPr>
        <w:t>184</w:t>
      </w:r>
      <w:r w:rsidR="00171AE4">
        <w:rPr>
          <w:rFonts w:cs="Arial"/>
        </w:rPr>
        <w:t xml:space="preserve">. </w:t>
      </w:r>
      <w:r>
        <w:rPr>
          <w:rFonts w:cs="Arial"/>
        </w:rPr>
        <w:t xml:space="preserve">In addition to this, there were 9 ‘other’ respondents which consisted of 3 elected members and 6 businesses / organisations. </w:t>
      </w:r>
    </w:p>
    <w:p w14:paraId="11BA9B78" w14:textId="77777777" w:rsidR="00EF0C21" w:rsidRDefault="00EF0C21" w:rsidP="00EF0C21">
      <w:pPr>
        <w:spacing w:line="276" w:lineRule="auto"/>
        <w:jc w:val="both"/>
        <w:rPr>
          <w:rFonts w:cs="Arial"/>
        </w:rPr>
      </w:pPr>
      <w:r>
        <w:rPr>
          <w:rFonts w:cs="Arial"/>
        </w:rPr>
        <w:t xml:space="preserve">A summary of the responses to each of the specific questions of the consultation survey (i.e. excluding introductory questions) is provided below. </w:t>
      </w:r>
    </w:p>
    <w:p w14:paraId="68BD2262" w14:textId="06016032" w:rsidR="00AC4217" w:rsidRPr="00AC4217" w:rsidRDefault="00AC4217" w:rsidP="0025036F">
      <w:pPr>
        <w:pStyle w:val="Heading3"/>
        <w:numPr>
          <w:ilvl w:val="1"/>
          <w:numId w:val="77"/>
        </w:numPr>
        <w:rPr>
          <w:rStyle w:val="Hyperlink"/>
          <w:color w:val="008938"/>
          <w:u w:val="none"/>
        </w:rPr>
      </w:pPr>
      <w:bookmarkStart w:id="404" w:name="_Toc160129636"/>
      <w:r w:rsidRPr="00AC4217">
        <w:rPr>
          <w:rStyle w:val="Hyperlink"/>
          <w:color w:val="008938"/>
          <w:u w:val="none"/>
        </w:rPr>
        <w:t>Results</w:t>
      </w:r>
      <w:bookmarkEnd w:id="404"/>
    </w:p>
    <w:p w14:paraId="3EEB13B9" w14:textId="587B5D89" w:rsidR="00EF0C21" w:rsidRPr="00AC4217" w:rsidRDefault="00EF0C21" w:rsidP="00AC4217">
      <w:pPr>
        <w:rPr>
          <w:rStyle w:val="Hyperlink"/>
          <w:b/>
          <w:bCs/>
          <w:color w:val="auto"/>
          <w:u w:val="none"/>
        </w:rPr>
      </w:pPr>
      <w:r w:rsidRPr="00AC4217">
        <w:rPr>
          <w:rStyle w:val="Hyperlink"/>
          <w:b/>
          <w:bCs/>
          <w:color w:val="auto"/>
          <w:u w:val="none"/>
        </w:rPr>
        <w:t>Transport mode</w:t>
      </w:r>
    </w:p>
    <w:p w14:paraId="5B6084D6" w14:textId="71F4FB71" w:rsidR="00EF0C21" w:rsidRDefault="00EF0C21" w:rsidP="00EF0C21">
      <w:pPr>
        <w:spacing w:line="276" w:lineRule="auto"/>
        <w:jc w:val="both"/>
        <w:rPr>
          <w:rFonts w:cs="Arial"/>
        </w:rPr>
      </w:pPr>
      <w:r>
        <w:rPr>
          <w:rFonts w:cs="Arial"/>
        </w:rPr>
        <w:t>Question 4 of the survey asked respondents to state what mode of transport they currently use on the A4 in Slough, between Huntercombe Land and Uxbridge Road (travelling along or crossing over). The options available included car, taxi, motorbike / moped / motor scooter, public bus, private bus, wheelchair / mobility scooter, manual cycle, electric cycle, push scooter, walk, and ‘other’. Under ‘other’, responses included van, skateboard, bike and passenger only. Respondents were able to select all modes that were applicable to them</w:t>
      </w:r>
      <w:r w:rsidR="00887760">
        <w:rPr>
          <w:rFonts w:cs="Arial"/>
        </w:rPr>
        <w:t>. The results are shown in Figure E.3.</w:t>
      </w:r>
    </w:p>
    <w:p w14:paraId="20D4DD69" w14:textId="294DA8E5" w:rsidR="00EF0C21" w:rsidRDefault="00EF0C21" w:rsidP="00EF0C21">
      <w:pPr>
        <w:spacing w:line="276" w:lineRule="auto"/>
        <w:jc w:val="both"/>
        <w:rPr>
          <w:rFonts w:cs="Arial"/>
        </w:rPr>
      </w:pPr>
      <w:r>
        <w:rPr>
          <w:rFonts w:cs="Arial"/>
        </w:rPr>
        <w:t>The largest mode choice was private car (</w:t>
      </w:r>
      <w:r w:rsidR="00171AE4">
        <w:rPr>
          <w:rFonts w:cs="Arial"/>
        </w:rPr>
        <w:t xml:space="preserve">160 respondents, </w:t>
      </w:r>
      <w:r>
        <w:rPr>
          <w:rFonts w:cs="Arial"/>
        </w:rPr>
        <w:t>87.0%), followed by walking (</w:t>
      </w:r>
      <w:r w:rsidR="00171AE4">
        <w:rPr>
          <w:rFonts w:cs="Arial"/>
        </w:rPr>
        <w:t xml:space="preserve">58 respondents, </w:t>
      </w:r>
      <w:r>
        <w:rPr>
          <w:rFonts w:cs="Arial"/>
        </w:rPr>
        <w:t>31.5%) and manual cycle (</w:t>
      </w:r>
      <w:r w:rsidR="00171AE4">
        <w:rPr>
          <w:rFonts w:cs="Arial"/>
        </w:rPr>
        <w:t xml:space="preserve">49 respondents, </w:t>
      </w:r>
      <w:r>
        <w:rPr>
          <w:rFonts w:cs="Arial"/>
        </w:rPr>
        <w:t xml:space="preserve">26.6%) as the next most popular mode choices. In regards to public transport, </w:t>
      </w:r>
      <w:r w:rsidR="00171AE4">
        <w:rPr>
          <w:rFonts w:cs="Arial"/>
        </w:rPr>
        <w:t>27 (</w:t>
      </w:r>
      <w:r>
        <w:rPr>
          <w:rFonts w:cs="Arial"/>
        </w:rPr>
        <w:t>14.7%</w:t>
      </w:r>
      <w:r w:rsidR="00171AE4">
        <w:rPr>
          <w:rFonts w:cs="Arial"/>
        </w:rPr>
        <w:t>)</w:t>
      </w:r>
      <w:r>
        <w:rPr>
          <w:rFonts w:cs="Arial"/>
        </w:rPr>
        <w:t xml:space="preserve"> respondents travelled via public bus, whilst </w:t>
      </w:r>
      <w:r w:rsidR="00171AE4">
        <w:rPr>
          <w:rFonts w:cs="Arial"/>
        </w:rPr>
        <w:t>14 (</w:t>
      </w:r>
      <w:r>
        <w:rPr>
          <w:rFonts w:cs="Arial"/>
        </w:rPr>
        <w:t>7.6%</w:t>
      </w:r>
      <w:r w:rsidR="00171AE4">
        <w:rPr>
          <w:rFonts w:cs="Arial"/>
        </w:rPr>
        <w:t>)</w:t>
      </w:r>
      <w:r>
        <w:rPr>
          <w:rFonts w:cs="Arial"/>
        </w:rPr>
        <w:t xml:space="preserve"> travelled via taxi. </w:t>
      </w:r>
    </w:p>
    <w:p w14:paraId="213ECC8E" w14:textId="691DD052" w:rsidR="00EF0C21" w:rsidRDefault="00EF0C21" w:rsidP="00EF0C21">
      <w:pPr>
        <w:spacing w:line="276" w:lineRule="auto"/>
        <w:jc w:val="both"/>
        <w:rPr>
          <w:rFonts w:cs="Arial"/>
        </w:rPr>
      </w:pPr>
      <w:r>
        <w:rPr>
          <w:rFonts w:cs="Arial"/>
        </w:rPr>
        <w:t xml:space="preserve">The next question asked what the purpose of these journeys were, giving options including to / from work, shops, social / leisure activities, personal business / health related visits, exercise, to accompany a child to / from school, to / from university, to visit friends / family, and ‘other’. </w:t>
      </w:r>
      <w:r w:rsidR="00887760">
        <w:rPr>
          <w:rFonts w:cs="Arial"/>
        </w:rPr>
        <w:t>The results are shown in Figure E.4.</w:t>
      </w:r>
    </w:p>
    <w:p w14:paraId="013A1B09" w14:textId="77777777" w:rsidR="00EF0C21" w:rsidRDefault="00EF0C21" w:rsidP="00EF0C21">
      <w:pPr>
        <w:spacing w:line="276" w:lineRule="auto"/>
        <w:jc w:val="both"/>
        <w:rPr>
          <w:rFonts w:cs="Arial"/>
        </w:rPr>
      </w:pPr>
      <w:r>
        <w:rPr>
          <w:rFonts w:cs="Arial"/>
        </w:rPr>
        <w:t>The option that received the highest votes was t</w:t>
      </w:r>
      <w:r w:rsidRPr="00314A7A">
        <w:rPr>
          <w:rFonts w:cs="Arial"/>
        </w:rPr>
        <w:t xml:space="preserve">o travel to and from shops (79.3%), </w:t>
      </w:r>
      <w:r>
        <w:rPr>
          <w:rFonts w:cs="Arial"/>
        </w:rPr>
        <w:t xml:space="preserve">followed by </w:t>
      </w:r>
      <w:r w:rsidRPr="00314A7A">
        <w:rPr>
          <w:rFonts w:cs="Arial"/>
        </w:rPr>
        <w:t>to and from social</w:t>
      </w:r>
      <w:r>
        <w:rPr>
          <w:rFonts w:cs="Arial"/>
        </w:rPr>
        <w:t xml:space="preserve"> </w:t>
      </w:r>
      <w:r w:rsidRPr="00314A7A">
        <w:rPr>
          <w:rFonts w:cs="Arial"/>
        </w:rPr>
        <w:t>/</w:t>
      </w:r>
      <w:r>
        <w:rPr>
          <w:rFonts w:cs="Arial"/>
        </w:rPr>
        <w:t xml:space="preserve"> </w:t>
      </w:r>
      <w:r w:rsidRPr="00314A7A">
        <w:rPr>
          <w:rFonts w:cs="Arial"/>
        </w:rPr>
        <w:t>leisure activities (58.7%), to and from work (54.3%), and to and from visiting friends and family (40.2%).</w:t>
      </w:r>
      <w:r>
        <w:rPr>
          <w:rFonts w:cs="Arial"/>
        </w:rPr>
        <w:t xml:space="preserve"> </w:t>
      </w:r>
    </w:p>
    <w:p w14:paraId="2D2BEBA2" w14:textId="77777777" w:rsidR="00EF0C21" w:rsidRDefault="00EF0C21" w:rsidP="00EF0C21">
      <w:pPr>
        <w:spacing w:line="276" w:lineRule="auto"/>
        <w:jc w:val="both"/>
        <w:rPr>
          <w:rFonts w:cs="Arial"/>
        </w:rPr>
      </w:pPr>
    </w:p>
    <w:p w14:paraId="6B01CB81" w14:textId="11928AC2" w:rsidR="00887760" w:rsidRDefault="00887760" w:rsidP="00887760">
      <w:pPr>
        <w:pStyle w:val="Figures"/>
      </w:pPr>
      <w:bookmarkStart w:id="405" w:name="_Toc160129371"/>
      <w:r>
        <w:t>Figure E.3: Distribution of transport modes via the A4</w:t>
      </w:r>
      <w:bookmarkEnd w:id="405"/>
    </w:p>
    <w:p w14:paraId="02576714" w14:textId="77777777" w:rsidR="00EF0C21" w:rsidRDefault="00EF0C21" w:rsidP="00EF0C21">
      <w:pPr>
        <w:spacing w:line="276" w:lineRule="auto"/>
        <w:jc w:val="both"/>
        <w:rPr>
          <w:rFonts w:cs="Arial"/>
        </w:rPr>
      </w:pPr>
      <w:r>
        <w:rPr>
          <w:noProof/>
        </w:rPr>
        <w:drawing>
          <wp:inline distT="0" distB="0" distL="0" distR="0" wp14:anchorId="6B0788C4" wp14:editId="7A1665F8">
            <wp:extent cx="5731510" cy="3589587"/>
            <wp:effectExtent l="0" t="0" r="2540" b="11430"/>
            <wp:docPr id="499221765" name="Chart 1" descr="A graph showing the distribution of transport modes of those who responded to the A4 cycle lane consultation. Most people (160) use a car, whilst very little use public transport (29). ">
              <a:extLst xmlns:a="http://schemas.openxmlformats.org/drawingml/2006/main">
                <a:ext uri="{FF2B5EF4-FFF2-40B4-BE49-F238E27FC236}">
                  <a16:creationId xmlns:a16="http://schemas.microsoft.com/office/drawing/2014/main" id="{F21D2247-574A-4514-90A5-A70618429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2522F90" w14:textId="452247C6" w:rsidR="00887760" w:rsidRDefault="00887760" w:rsidP="00887760">
      <w:pPr>
        <w:pStyle w:val="Figures"/>
      </w:pPr>
      <w:bookmarkStart w:id="406" w:name="_Toc160129372"/>
      <w:r>
        <w:t>Figure E.4: Distribution of journey destinations via the A4</w:t>
      </w:r>
      <w:bookmarkEnd w:id="406"/>
    </w:p>
    <w:p w14:paraId="7C8361B8" w14:textId="77777777" w:rsidR="00EF0C21" w:rsidRDefault="00EF0C21" w:rsidP="00EF0C21">
      <w:pPr>
        <w:spacing w:line="276" w:lineRule="auto"/>
        <w:jc w:val="both"/>
        <w:rPr>
          <w:rFonts w:cs="Arial"/>
        </w:rPr>
      </w:pPr>
      <w:r>
        <w:rPr>
          <w:noProof/>
        </w:rPr>
        <w:drawing>
          <wp:inline distT="0" distB="0" distL="0" distR="0" wp14:anchorId="52A7E137" wp14:editId="06FBA7EA">
            <wp:extent cx="5731510" cy="3899424"/>
            <wp:effectExtent l="0" t="0" r="2540" b="6350"/>
            <wp:docPr id="348864810" name="Chart 1" descr="A graph showing the distribution of responses asking about the purpose of their journey via the A4. Most respondents use the A4 for visiting shops, to and from social / leisure activities, work and visiting friends or family. Very few trips are associated with school transport on the A4. ">
              <a:extLst xmlns:a="http://schemas.openxmlformats.org/drawingml/2006/main">
                <a:ext uri="{FF2B5EF4-FFF2-40B4-BE49-F238E27FC236}">
                  <a16:creationId xmlns:a16="http://schemas.microsoft.com/office/drawing/2014/main" id="{D289455E-4CFF-4625-8F68-C28C107C1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48C2DC" w14:textId="67F9F0FD" w:rsidR="00EF0C21" w:rsidRPr="00AC4217" w:rsidRDefault="00EF0C21" w:rsidP="00AC4217">
      <w:pPr>
        <w:rPr>
          <w:rStyle w:val="Hyperlink"/>
          <w:b/>
          <w:bCs/>
          <w:color w:val="auto"/>
          <w:u w:val="none"/>
        </w:rPr>
      </w:pPr>
      <w:r w:rsidRPr="00AC4217">
        <w:rPr>
          <w:rStyle w:val="Hyperlink"/>
          <w:b/>
          <w:bCs/>
          <w:color w:val="auto"/>
          <w:u w:val="none"/>
        </w:rPr>
        <w:t xml:space="preserve">Impact of proposals </w:t>
      </w:r>
    </w:p>
    <w:p w14:paraId="1D6844DF" w14:textId="478C5C91" w:rsidR="00EF0C21" w:rsidRDefault="00EF0C21" w:rsidP="00EF0C21">
      <w:pPr>
        <w:spacing w:line="276" w:lineRule="auto"/>
        <w:jc w:val="both"/>
        <w:rPr>
          <w:rFonts w:cs="Arial"/>
        </w:rPr>
      </w:pPr>
      <w:r>
        <w:rPr>
          <w:rFonts w:cs="Arial"/>
        </w:rPr>
        <w:t xml:space="preserve">The survey also allowed respondents to indicate whether the proposed cycle and A4 safety improvement scheme would enable and encourage the respondent </w:t>
      </w:r>
      <w:r w:rsidR="00230C3B">
        <w:rPr>
          <w:rFonts w:cs="Arial"/>
        </w:rPr>
        <w:t xml:space="preserve">to </w:t>
      </w:r>
      <w:r>
        <w:rPr>
          <w:rFonts w:cs="Arial"/>
        </w:rPr>
        <w:t xml:space="preserve">use an alternative mode choice, with options including using a motor vehicle less often, start using </w:t>
      </w:r>
      <w:r w:rsidR="00230C3B">
        <w:rPr>
          <w:rFonts w:cs="Arial"/>
        </w:rPr>
        <w:t>e</w:t>
      </w:r>
      <w:r>
        <w:rPr>
          <w:rFonts w:cs="Arial"/>
        </w:rPr>
        <w:t xml:space="preserve">-scooters for short journeys or use them more often, start push-scooting for short journeys or use them more often, start cycling for short journeys or cycle more often, and start walking for short journeys or walk more often. </w:t>
      </w:r>
      <w:r w:rsidR="00C32E8C">
        <w:rPr>
          <w:rFonts w:cs="Arial"/>
        </w:rPr>
        <w:t xml:space="preserve">The results are shown in Figure E.5 below. </w:t>
      </w:r>
    </w:p>
    <w:p w14:paraId="6E0004A7" w14:textId="5E48B0A9" w:rsidR="00887760" w:rsidRDefault="00887760" w:rsidP="00C32E8C">
      <w:pPr>
        <w:pStyle w:val="Figures"/>
      </w:pPr>
      <w:bookmarkStart w:id="407" w:name="_Toc160129373"/>
      <w:r>
        <w:t xml:space="preserve">Figure E.5: </w:t>
      </w:r>
      <w:r w:rsidR="00C32E8C">
        <w:t>Mode change as a result of the A4 scheme</w:t>
      </w:r>
      <w:bookmarkEnd w:id="407"/>
      <w:r w:rsidR="00C32E8C">
        <w:t xml:space="preserve"> </w:t>
      </w:r>
    </w:p>
    <w:p w14:paraId="4426D569" w14:textId="77777777" w:rsidR="00EF0C21" w:rsidRDefault="00EF0C21" w:rsidP="00EF0C21">
      <w:pPr>
        <w:spacing w:line="276" w:lineRule="auto"/>
        <w:jc w:val="both"/>
        <w:rPr>
          <w:rFonts w:cs="Arial"/>
        </w:rPr>
      </w:pPr>
      <w:r>
        <w:rPr>
          <w:noProof/>
        </w:rPr>
        <w:drawing>
          <wp:inline distT="0" distB="0" distL="0" distR="0" wp14:anchorId="4BFDCD80" wp14:editId="5344E957">
            <wp:extent cx="5731510" cy="3713356"/>
            <wp:effectExtent l="0" t="0" r="2540" b="1905"/>
            <wp:docPr id="1009004947" name="Chart 1" descr="A graph showing the responses to whether the scheme would enable or encourage respondents to travel more sustainably. The majority of responses are 'no'. ">
              <a:extLst xmlns:a="http://schemas.openxmlformats.org/drawingml/2006/main">
                <a:ext uri="{FF2B5EF4-FFF2-40B4-BE49-F238E27FC236}">
                  <a16:creationId xmlns:a16="http://schemas.microsoft.com/office/drawing/2014/main" id="{458D8AB8-485D-48F1-A67E-CD02B9349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D5F20A" w14:textId="4E1D4574" w:rsidR="00EF0C21" w:rsidRDefault="00EF0C21" w:rsidP="00EF0C21">
      <w:pPr>
        <w:spacing w:line="276" w:lineRule="auto"/>
        <w:jc w:val="both"/>
        <w:rPr>
          <w:rFonts w:cs="Arial"/>
        </w:rPr>
      </w:pPr>
      <w:r>
        <w:rPr>
          <w:rFonts w:cs="Arial"/>
        </w:rPr>
        <w:t>The responses indicated</w:t>
      </w:r>
      <w:r w:rsidRPr="00654112">
        <w:rPr>
          <w:rFonts w:cs="Arial"/>
        </w:rPr>
        <w:t xml:space="preserve"> that </w:t>
      </w:r>
      <w:r>
        <w:rPr>
          <w:rFonts w:cs="Arial"/>
        </w:rPr>
        <w:t xml:space="preserve">overall </w:t>
      </w:r>
      <w:r w:rsidRPr="00654112">
        <w:rPr>
          <w:rFonts w:cs="Arial"/>
        </w:rPr>
        <w:t xml:space="preserve">the proposals are not likely to result in </w:t>
      </w:r>
      <w:r w:rsidR="00230C3B">
        <w:rPr>
          <w:rFonts w:cs="Arial"/>
        </w:rPr>
        <w:t xml:space="preserve">the respondents </w:t>
      </w:r>
      <w:r w:rsidRPr="00654112">
        <w:rPr>
          <w:rFonts w:cs="Arial"/>
        </w:rPr>
        <w:t xml:space="preserve">to change their travel mode to push scooters or e-scooters, with </w:t>
      </w:r>
      <w:r>
        <w:rPr>
          <w:rFonts w:cs="Arial"/>
        </w:rPr>
        <w:t>80</w:t>
      </w:r>
      <w:r w:rsidRPr="00654112">
        <w:rPr>
          <w:rFonts w:cs="Arial"/>
        </w:rPr>
        <w:t xml:space="preserve">% of respondents </w:t>
      </w:r>
      <w:r>
        <w:rPr>
          <w:rFonts w:cs="Arial"/>
        </w:rPr>
        <w:t xml:space="preserve">on average </w:t>
      </w:r>
      <w:r w:rsidRPr="00654112">
        <w:rPr>
          <w:rFonts w:cs="Arial"/>
        </w:rPr>
        <w:t>saying no to the proposal making them choose these travel options.</w:t>
      </w:r>
      <w:r>
        <w:rPr>
          <w:rFonts w:cs="Arial"/>
        </w:rPr>
        <w:t xml:space="preserve"> </w:t>
      </w:r>
    </w:p>
    <w:p w14:paraId="4AB33BC1" w14:textId="77777777" w:rsidR="00EF0C21" w:rsidRDefault="00EF0C21" w:rsidP="00EF0C21">
      <w:pPr>
        <w:spacing w:line="276" w:lineRule="auto"/>
        <w:jc w:val="both"/>
        <w:rPr>
          <w:rFonts w:cs="Arial"/>
        </w:rPr>
      </w:pPr>
      <w:r w:rsidRPr="00654112">
        <w:rPr>
          <w:rFonts w:cs="Arial"/>
        </w:rPr>
        <w:t xml:space="preserve">In regards to walking and cycling impact due to implementation of the scheme, on average </w:t>
      </w:r>
      <w:r>
        <w:rPr>
          <w:rFonts w:cs="Arial"/>
        </w:rPr>
        <w:t>63</w:t>
      </w:r>
      <w:r w:rsidRPr="00654112">
        <w:rPr>
          <w:rFonts w:cs="Arial"/>
        </w:rPr>
        <w:t>% of respondents said the scheme would not make them start walking for short journeys, walk more often than now, start cycling for short journeys or cycle more often than now. On average, 32% of respondents said that these modes would increase.</w:t>
      </w:r>
    </w:p>
    <w:p w14:paraId="0772B487" w14:textId="77777777" w:rsidR="00C32E8C" w:rsidRDefault="00C32E8C" w:rsidP="00EF0C21">
      <w:pPr>
        <w:spacing w:line="276" w:lineRule="auto"/>
        <w:jc w:val="both"/>
        <w:rPr>
          <w:rFonts w:cs="Arial"/>
        </w:rPr>
      </w:pPr>
    </w:p>
    <w:p w14:paraId="2F4CF3BF" w14:textId="77777777" w:rsidR="00C32E8C" w:rsidRDefault="00C32E8C" w:rsidP="00EF0C21">
      <w:pPr>
        <w:spacing w:line="276" w:lineRule="auto"/>
        <w:jc w:val="both"/>
        <w:rPr>
          <w:rFonts w:cs="Arial"/>
        </w:rPr>
      </w:pPr>
    </w:p>
    <w:p w14:paraId="590837F3" w14:textId="5871C51F" w:rsidR="00EF0C21" w:rsidRPr="00AC4217" w:rsidRDefault="00EF0C21" w:rsidP="00AC4217">
      <w:pPr>
        <w:rPr>
          <w:rStyle w:val="Hyperlink"/>
          <w:b/>
          <w:bCs/>
          <w:color w:val="auto"/>
          <w:u w:val="none"/>
        </w:rPr>
      </w:pPr>
      <w:r w:rsidRPr="00AC4217">
        <w:rPr>
          <w:rStyle w:val="Hyperlink"/>
          <w:b/>
          <w:bCs/>
          <w:color w:val="auto"/>
          <w:u w:val="none"/>
        </w:rPr>
        <w:t xml:space="preserve">Distribution of positive and negative comments </w:t>
      </w:r>
    </w:p>
    <w:p w14:paraId="2B574124" w14:textId="464FEBD5" w:rsidR="00EF0C21" w:rsidRDefault="00230C3B" w:rsidP="00EF0C21">
      <w:pPr>
        <w:spacing w:line="276" w:lineRule="auto"/>
        <w:jc w:val="both"/>
        <w:rPr>
          <w:rFonts w:cs="Arial"/>
        </w:rPr>
      </w:pPr>
      <w:r>
        <w:rPr>
          <w:rFonts w:cs="Arial"/>
        </w:rPr>
        <w:t xml:space="preserve">Figure </w:t>
      </w:r>
      <w:r w:rsidR="00C32E8C">
        <w:rPr>
          <w:rFonts w:cs="Arial"/>
        </w:rPr>
        <w:t>E.6</w:t>
      </w:r>
      <w:r>
        <w:rPr>
          <w:rFonts w:cs="Arial"/>
        </w:rPr>
        <w:t xml:space="preserve"> shows the distribution of positive and negative comments. The top three positive themes from comments included </w:t>
      </w:r>
      <w:r w:rsidR="00EF0C21">
        <w:rPr>
          <w:rFonts w:cs="Arial"/>
        </w:rPr>
        <w:t xml:space="preserve">‘praise for the scheme in general’, ‘agree scheme would increase walking and make walking / wheelchair use better and safer’, and ‘agree scheme would make cycling better / safer’. </w:t>
      </w:r>
    </w:p>
    <w:p w14:paraId="15BD6C7B" w14:textId="0242F920" w:rsidR="0011777F" w:rsidRDefault="00230C3B" w:rsidP="00EF0C21">
      <w:pPr>
        <w:spacing w:line="276" w:lineRule="auto"/>
        <w:jc w:val="both"/>
        <w:rPr>
          <w:rFonts w:cs="Arial"/>
        </w:rPr>
        <w:sectPr w:rsidR="0011777F">
          <w:footerReference w:type="default" r:id="rId44"/>
          <w:pgSz w:w="11906" w:h="16838"/>
          <w:pgMar w:top="1440" w:right="1440" w:bottom="1440" w:left="1440" w:header="708" w:footer="708" w:gutter="0"/>
          <w:cols w:space="708"/>
          <w:docGrid w:linePitch="360"/>
        </w:sectPr>
      </w:pPr>
      <w:r>
        <w:rPr>
          <w:rFonts w:cs="Arial"/>
        </w:rPr>
        <w:t xml:space="preserve">However, the majority of comments received were negative, with the top three themes including </w:t>
      </w:r>
      <w:r w:rsidR="00EF0C21">
        <w:rPr>
          <w:rFonts w:cs="Arial"/>
        </w:rPr>
        <w:t>‘scheme is not wanted / needed’, ‘scheme would have negative consequences’ and ‘general criticism of finances’</w:t>
      </w:r>
      <w:r>
        <w:rPr>
          <w:rFonts w:cs="Arial"/>
        </w:rPr>
        <w:t>, although the latter is not a direct criticism of the scheme.</w:t>
      </w:r>
    </w:p>
    <w:p w14:paraId="2AE8E52B" w14:textId="606683F7" w:rsidR="00EF0C21" w:rsidRDefault="00C32E8C" w:rsidP="00C32E8C">
      <w:pPr>
        <w:pStyle w:val="Figures"/>
        <w:tabs>
          <w:tab w:val="clear" w:pos="1134"/>
        </w:tabs>
        <w:ind w:left="-567" w:hanging="284"/>
      </w:pPr>
      <w:bookmarkStart w:id="408" w:name="_Toc160129374"/>
      <w:r>
        <w:tab/>
      </w:r>
      <w:bookmarkEnd w:id="408"/>
      <w:r w:rsidR="0011777F">
        <w:t>Figure</w:t>
      </w:r>
      <w:r>
        <w:t xml:space="preserve"> </w:t>
      </w:r>
      <w:r w:rsidR="0011777F">
        <w:t>E.6: Distribution and theme of positive and negative comments</w:t>
      </w:r>
    </w:p>
    <w:p w14:paraId="1EF75CAA" w14:textId="0616C81B" w:rsidR="0011777F" w:rsidRPr="00A46938" w:rsidRDefault="0011777F" w:rsidP="00C32E8C">
      <w:pPr>
        <w:pStyle w:val="Figures"/>
        <w:tabs>
          <w:tab w:val="clear" w:pos="1134"/>
        </w:tabs>
        <w:ind w:left="-567" w:hanging="284"/>
        <w:sectPr w:rsidR="0011777F" w:rsidRPr="00A46938" w:rsidSect="00FE3F8E">
          <w:pgSz w:w="16838" w:h="11906" w:orient="landscape"/>
          <w:pgMar w:top="1276" w:right="1440" w:bottom="1440" w:left="1440" w:header="709" w:footer="709" w:gutter="0"/>
          <w:cols w:space="708"/>
          <w:docGrid w:linePitch="360"/>
        </w:sectPr>
      </w:pPr>
      <w:r>
        <w:rPr>
          <w:noProof/>
        </w:rPr>
        <w:drawing>
          <wp:inline distT="0" distB="0" distL="0" distR="0" wp14:anchorId="3307694F" wp14:editId="123FE220">
            <wp:extent cx="9401810" cy="4984954"/>
            <wp:effectExtent l="0" t="0" r="8890" b="6350"/>
            <wp:docPr id="486794390" name="Chart 1" descr="A graph showing the distribution of positive and negative responses, and the theme the responses fell into. The majority of the responses are negative, with the most common themes being 'scheme not wanted or needed' and 'scheme would have negative consequences'. ">
              <a:extLst xmlns:a="http://schemas.openxmlformats.org/drawingml/2006/main">
                <a:ext uri="{FF2B5EF4-FFF2-40B4-BE49-F238E27FC236}">
                  <a16:creationId xmlns:a16="http://schemas.microsoft.com/office/drawing/2014/main" id="{22613111-14F6-21E1-0B1C-A2F8B2AEFF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2AA9F28" w14:textId="5E9A792D" w:rsidR="00EF0C21" w:rsidRPr="00AC4217" w:rsidRDefault="00EF0C21" w:rsidP="00AC4217">
      <w:pPr>
        <w:rPr>
          <w:rStyle w:val="Hyperlink"/>
          <w:b/>
          <w:bCs/>
          <w:color w:val="auto"/>
          <w:u w:val="none"/>
        </w:rPr>
      </w:pPr>
      <w:r w:rsidRPr="00AC4217">
        <w:rPr>
          <w:rStyle w:val="Hyperlink"/>
          <w:b/>
          <w:bCs/>
          <w:color w:val="auto"/>
          <w:u w:val="none"/>
        </w:rPr>
        <w:t xml:space="preserve">Car only mode users </w:t>
      </w:r>
    </w:p>
    <w:p w14:paraId="36A87A41" w14:textId="5415984C" w:rsidR="00EF0C21" w:rsidRDefault="00EF0C21" w:rsidP="00EF0C21">
      <w:pPr>
        <w:spacing w:line="276" w:lineRule="auto"/>
        <w:jc w:val="both"/>
        <w:rPr>
          <w:rFonts w:cs="Arial"/>
        </w:rPr>
      </w:pPr>
      <w:r w:rsidRPr="00314A7A">
        <w:rPr>
          <w:rFonts w:cs="Arial"/>
        </w:rPr>
        <w:t>Out of the 184 respondents, 7</w:t>
      </w:r>
      <w:r>
        <w:rPr>
          <w:rFonts w:cs="Arial"/>
        </w:rPr>
        <w:t>6</w:t>
      </w:r>
      <w:r w:rsidRPr="00314A7A">
        <w:rPr>
          <w:rFonts w:cs="Arial"/>
        </w:rPr>
        <w:t xml:space="preserve"> (41.8%) selected car use as their only mode of transport. To understand this mode choice further, these respondents have been reviewed separately</w:t>
      </w:r>
      <w:r>
        <w:rPr>
          <w:rFonts w:cs="Arial"/>
        </w:rPr>
        <w:t xml:space="preserve">. </w:t>
      </w:r>
    </w:p>
    <w:p w14:paraId="20EF64F3" w14:textId="2A460582" w:rsidR="00C32E8C" w:rsidRDefault="00C32E8C" w:rsidP="00C32E8C">
      <w:pPr>
        <w:pStyle w:val="Figures"/>
      </w:pPr>
      <w:bookmarkStart w:id="409" w:name="_Toc160129375"/>
      <w:r>
        <w:t>Figure E.7: Distribution of journey destinations for car users only</w:t>
      </w:r>
      <w:bookmarkEnd w:id="409"/>
    </w:p>
    <w:p w14:paraId="7866D658" w14:textId="77777777" w:rsidR="00EF0C21" w:rsidRDefault="00EF0C21" w:rsidP="00EF0C21">
      <w:pPr>
        <w:spacing w:line="276" w:lineRule="auto"/>
        <w:jc w:val="both"/>
        <w:rPr>
          <w:rFonts w:cs="Arial"/>
        </w:rPr>
      </w:pPr>
      <w:r>
        <w:rPr>
          <w:noProof/>
        </w:rPr>
        <w:drawing>
          <wp:inline distT="0" distB="0" distL="0" distR="0" wp14:anchorId="4A95CCEF" wp14:editId="31C67180">
            <wp:extent cx="5731510" cy="3278038"/>
            <wp:effectExtent l="0" t="0" r="2540" b="17780"/>
            <wp:docPr id="1464922803" name="Chart 1" descr="A graph showing the distribution of trip destinations selected by respondents who travel by car only. The majority of respondents who travel by car only are travelling to and from shops the most out of all destination options. ">
              <a:extLst xmlns:a="http://schemas.openxmlformats.org/drawingml/2006/main">
                <a:ext uri="{FF2B5EF4-FFF2-40B4-BE49-F238E27FC236}">
                  <a16:creationId xmlns:a16="http://schemas.microsoft.com/office/drawing/2014/main" id="{35B2F4F0-3A40-4F99-A0B7-87D2FEF9C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572D0C5" w14:textId="7C3AAFA8" w:rsidR="00C32E8C" w:rsidRDefault="00C32E8C" w:rsidP="00C32E8C">
      <w:pPr>
        <w:pStyle w:val="Figures"/>
      </w:pPr>
      <w:bookmarkStart w:id="410" w:name="_Toc160129376"/>
      <w:r>
        <w:t>Figure E.8: Mode change as a result of the A4 scheme for car users only</w:t>
      </w:r>
      <w:bookmarkEnd w:id="410"/>
      <w:r>
        <w:t xml:space="preserve"> </w:t>
      </w:r>
    </w:p>
    <w:p w14:paraId="1C39D9CB" w14:textId="77777777" w:rsidR="00EF0C21" w:rsidRDefault="00EF0C21" w:rsidP="00EF0C21">
      <w:pPr>
        <w:spacing w:line="276" w:lineRule="auto"/>
        <w:jc w:val="both"/>
        <w:rPr>
          <w:rFonts w:cs="Arial"/>
        </w:rPr>
      </w:pPr>
      <w:r>
        <w:rPr>
          <w:noProof/>
        </w:rPr>
        <w:drawing>
          <wp:inline distT="0" distB="0" distL="0" distR="0" wp14:anchorId="12CFFC56" wp14:editId="79640D8B">
            <wp:extent cx="5721350" cy="3209026"/>
            <wp:effectExtent l="0" t="0" r="12700" b="10795"/>
            <wp:docPr id="148337794" name="Chart 1" descr="A graph showing the number of respondents who travel by car only that would change their mode of travel to a more sustainable option. The large majority of respondents who use a car only would not change to an alternative mode ">
              <a:extLst xmlns:a="http://schemas.openxmlformats.org/drawingml/2006/main">
                <a:ext uri="{FF2B5EF4-FFF2-40B4-BE49-F238E27FC236}">
                  <a16:creationId xmlns:a16="http://schemas.microsoft.com/office/drawing/2014/main" id="{A03F2A59-2928-4987-B92F-E9E941D6D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26502E8" w14:textId="1750CB3E" w:rsidR="00EF0C21" w:rsidRPr="004B4508" w:rsidRDefault="00EF0C21" w:rsidP="00EF0C21">
      <w:pPr>
        <w:spacing w:line="276" w:lineRule="auto"/>
        <w:jc w:val="both"/>
        <w:rPr>
          <w:rFonts w:cs="Arial"/>
        </w:rPr>
      </w:pPr>
      <w:r w:rsidRPr="00314A7A">
        <w:rPr>
          <w:rFonts w:cs="Arial"/>
        </w:rPr>
        <w:t>For people who travel by car only, their main reasons for travel are for visiting shops (7</w:t>
      </w:r>
      <w:r>
        <w:rPr>
          <w:rFonts w:cs="Arial"/>
        </w:rPr>
        <w:t>6.3</w:t>
      </w:r>
      <w:r w:rsidRPr="00314A7A">
        <w:rPr>
          <w:rFonts w:cs="Arial"/>
        </w:rPr>
        <w:t>%), going to work (</w:t>
      </w:r>
      <w:r>
        <w:rPr>
          <w:rFonts w:cs="Arial"/>
        </w:rPr>
        <w:t>60.5</w:t>
      </w:r>
      <w:r w:rsidRPr="00314A7A">
        <w:rPr>
          <w:rFonts w:cs="Arial"/>
        </w:rPr>
        <w:t>%), leisure activities (</w:t>
      </w:r>
      <w:r>
        <w:rPr>
          <w:rFonts w:cs="Arial"/>
        </w:rPr>
        <w:t>59.2</w:t>
      </w:r>
      <w:r w:rsidRPr="00314A7A">
        <w:rPr>
          <w:rFonts w:cs="Arial"/>
        </w:rPr>
        <w:t>%) and visiting friends and family (31.</w:t>
      </w:r>
      <w:r>
        <w:rPr>
          <w:rFonts w:cs="Arial"/>
        </w:rPr>
        <w:t>6</w:t>
      </w:r>
      <w:r w:rsidRPr="00314A7A">
        <w:rPr>
          <w:rFonts w:cs="Arial"/>
        </w:rPr>
        <w:t>%)</w:t>
      </w:r>
      <w:r w:rsidR="00C32E8C">
        <w:rPr>
          <w:rFonts w:cs="Arial"/>
        </w:rPr>
        <w:t xml:space="preserve"> (shown in Figure E.7)</w:t>
      </w:r>
      <w:r w:rsidRPr="00314A7A">
        <w:rPr>
          <w:rFonts w:cs="Arial"/>
        </w:rPr>
        <w:t xml:space="preserve">  </w:t>
      </w:r>
    </w:p>
    <w:p w14:paraId="282D6708" w14:textId="4D48869A" w:rsidR="00EF0C21" w:rsidRDefault="00EF0C21" w:rsidP="00EF0C21">
      <w:pPr>
        <w:spacing w:line="276" w:lineRule="auto"/>
        <w:jc w:val="both"/>
        <w:rPr>
          <w:rFonts w:cs="Arial"/>
        </w:rPr>
      </w:pPr>
      <w:r>
        <w:rPr>
          <w:rFonts w:cs="Arial"/>
        </w:rPr>
        <w:t>O</w:t>
      </w:r>
      <w:r w:rsidRPr="00654112">
        <w:rPr>
          <w:rFonts w:cs="Arial"/>
        </w:rPr>
        <w:t>n average</w:t>
      </w:r>
      <w:r>
        <w:rPr>
          <w:rFonts w:cs="Arial"/>
        </w:rPr>
        <w:t xml:space="preserve">, </w:t>
      </w:r>
      <w:r w:rsidRPr="00654112">
        <w:rPr>
          <w:rFonts w:cs="Arial"/>
        </w:rPr>
        <w:t>8</w:t>
      </w:r>
      <w:r>
        <w:rPr>
          <w:rFonts w:cs="Arial"/>
        </w:rPr>
        <w:t>8.0</w:t>
      </w:r>
      <w:r w:rsidRPr="00654112">
        <w:rPr>
          <w:rFonts w:cs="Arial"/>
        </w:rPr>
        <w:t xml:space="preserve">% of </w:t>
      </w:r>
      <w:r>
        <w:rPr>
          <w:rFonts w:cs="Arial"/>
        </w:rPr>
        <w:t xml:space="preserve">these </w:t>
      </w:r>
      <w:r w:rsidRPr="00654112">
        <w:rPr>
          <w:rFonts w:cs="Arial"/>
        </w:rPr>
        <w:t>respondents said that the scheme would not make them switch to a different transport mode</w:t>
      </w:r>
      <w:r>
        <w:rPr>
          <w:rFonts w:cs="Arial"/>
        </w:rPr>
        <w:t xml:space="preserve"> (84% specific to walking and cycling – excluding scooting which is not a popular mode choice across the sample)</w:t>
      </w:r>
      <w:r w:rsidRPr="00654112">
        <w:rPr>
          <w:rFonts w:cs="Arial"/>
        </w:rPr>
        <w:t>, and 8</w:t>
      </w:r>
      <w:r>
        <w:rPr>
          <w:rFonts w:cs="Arial"/>
        </w:rPr>
        <w:t>2.9</w:t>
      </w:r>
      <w:r w:rsidRPr="00654112">
        <w:rPr>
          <w:rFonts w:cs="Arial"/>
        </w:rPr>
        <w:t>% would not use their motor vehicle less often</w:t>
      </w:r>
      <w:r w:rsidR="00C32E8C">
        <w:rPr>
          <w:rFonts w:cs="Arial"/>
        </w:rPr>
        <w:t xml:space="preserve"> (see Figure E.8).</w:t>
      </w:r>
      <w:r w:rsidRPr="00654112">
        <w:rPr>
          <w:rFonts w:cs="Arial"/>
        </w:rPr>
        <w:t xml:space="preserve"> </w:t>
      </w:r>
      <w:r>
        <w:rPr>
          <w:rFonts w:cs="Arial"/>
        </w:rPr>
        <w:t>It is evident therefore</w:t>
      </w:r>
      <w:r w:rsidRPr="00654112">
        <w:rPr>
          <w:rFonts w:cs="Arial"/>
        </w:rPr>
        <w:t xml:space="preserve"> that more targeted work is needed with this group to understand the reasons behind their transport mode choice and explore options to suit this group to transfer to a different transport mode.</w:t>
      </w:r>
    </w:p>
    <w:p w14:paraId="70D67558" w14:textId="0DB1E886" w:rsidR="00EF0C21" w:rsidRDefault="00EF0C21" w:rsidP="00EF0C21">
      <w:pPr>
        <w:spacing w:line="276" w:lineRule="auto"/>
        <w:jc w:val="both"/>
        <w:rPr>
          <w:noProof/>
        </w:rPr>
      </w:pPr>
      <w:r w:rsidRPr="00654112">
        <w:rPr>
          <w:rFonts w:cs="Arial"/>
        </w:rPr>
        <w:t>When excluding those who only use car as their mode of transport, there is a more even split between those who would and would</w:t>
      </w:r>
      <w:r>
        <w:rPr>
          <w:rFonts w:cs="Arial"/>
        </w:rPr>
        <w:t xml:space="preserve"> no</w:t>
      </w:r>
      <w:r w:rsidRPr="00654112">
        <w:rPr>
          <w:rFonts w:cs="Arial"/>
        </w:rPr>
        <w:t>t switch modes as a result of the scheme</w:t>
      </w:r>
      <w:r w:rsidR="00C32E8C">
        <w:rPr>
          <w:rFonts w:cs="Arial"/>
        </w:rPr>
        <w:t xml:space="preserve"> (see Figure E.9).</w:t>
      </w:r>
      <w:r w:rsidRPr="00654112">
        <w:rPr>
          <w:rFonts w:cs="Arial"/>
        </w:rPr>
        <w:t xml:space="preserve"> Th</w:t>
      </w:r>
      <w:r>
        <w:rPr>
          <w:rFonts w:cs="Arial"/>
        </w:rPr>
        <w:t>e results</w:t>
      </w:r>
      <w:r w:rsidRPr="00654112">
        <w:rPr>
          <w:rFonts w:cs="Arial"/>
        </w:rPr>
        <w:t xml:space="preserve"> suggest that approximately 50% of mixed-mode users would cycle and walk more often as a result of the scheme.</w:t>
      </w:r>
      <w:r w:rsidRPr="001339FD">
        <w:rPr>
          <w:noProof/>
        </w:rPr>
        <w:t xml:space="preserve"> </w:t>
      </w:r>
    </w:p>
    <w:p w14:paraId="048301A1" w14:textId="299206DF" w:rsidR="00C32E8C" w:rsidRDefault="00C32E8C" w:rsidP="00C32E8C">
      <w:pPr>
        <w:pStyle w:val="Figures"/>
        <w:rPr>
          <w:noProof/>
        </w:rPr>
      </w:pPr>
      <w:bookmarkStart w:id="411" w:name="_Toc160129377"/>
      <w:r>
        <w:rPr>
          <w:noProof/>
        </w:rPr>
        <w:t>Figure E.9: Mode change as a result of the scheme (excluding car only users)</w:t>
      </w:r>
      <w:bookmarkEnd w:id="411"/>
    </w:p>
    <w:p w14:paraId="6E60B032" w14:textId="77777777" w:rsidR="00EF0C21" w:rsidRDefault="00EF0C21" w:rsidP="00EF0C21">
      <w:pPr>
        <w:spacing w:line="276" w:lineRule="auto"/>
        <w:jc w:val="both"/>
        <w:rPr>
          <w:rStyle w:val="Hyperlink"/>
          <w:color w:val="008938"/>
        </w:rPr>
      </w:pPr>
      <w:r>
        <w:rPr>
          <w:noProof/>
        </w:rPr>
        <w:drawing>
          <wp:inline distT="0" distB="0" distL="0" distR="0" wp14:anchorId="15084A6B" wp14:editId="66761B68">
            <wp:extent cx="5754029" cy="4203700"/>
            <wp:effectExtent l="0" t="0" r="18415" b="6350"/>
            <wp:docPr id="722361278" name="Chart 1" descr="A graph showing mode change as a result of the scheme, excluding car only users. This shows a more even split between 'yes' and 'no' to changing to a more sustainable travel mode, suggesting that those who use mixed travel modes are more likely to switch to a more sustainable mode over private car as a result of the scheme ">
              <a:extLst xmlns:a="http://schemas.openxmlformats.org/drawingml/2006/main">
                <a:ext uri="{FF2B5EF4-FFF2-40B4-BE49-F238E27FC236}">
                  <a16:creationId xmlns:a16="http://schemas.microsoft.com/office/drawing/2014/main" id="{3395F47E-1ADB-4367-A504-D93416E88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E54587E" w14:textId="21A55933" w:rsidR="00EF0C21" w:rsidRPr="00AC4217" w:rsidRDefault="00AC4217" w:rsidP="0025036F">
      <w:pPr>
        <w:pStyle w:val="Heading3"/>
        <w:numPr>
          <w:ilvl w:val="1"/>
          <w:numId w:val="77"/>
        </w:numPr>
        <w:rPr>
          <w:rStyle w:val="Hyperlink"/>
          <w:color w:val="008938"/>
          <w:u w:val="none"/>
        </w:rPr>
      </w:pPr>
      <w:r>
        <w:rPr>
          <w:rStyle w:val="Hyperlink"/>
          <w:color w:val="008938"/>
          <w:u w:val="none"/>
        </w:rPr>
        <w:t xml:space="preserve"> </w:t>
      </w:r>
      <w:bookmarkStart w:id="412" w:name="_Toc160129637"/>
      <w:r w:rsidR="00EF0C21" w:rsidRPr="00AC4217">
        <w:rPr>
          <w:rStyle w:val="Hyperlink"/>
          <w:color w:val="008938"/>
          <w:u w:val="none"/>
        </w:rPr>
        <w:t>Summary</w:t>
      </w:r>
      <w:bookmarkEnd w:id="412"/>
      <w:r w:rsidR="00EF0C21" w:rsidRPr="00AC4217">
        <w:rPr>
          <w:rStyle w:val="Hyperlink"/>
          <w:color w:val="008938"/>
          <w:u w:val="none"/>
        </w:rPr>
        <w:t xml:space="preserve"> </w:t>
      </w:r>
    </w:p>
    <w:p w14:paraId="54D383A8" w14:textId="04690E21" w:rsidR="00EF0C21" w:rsidRPr="00141764" w:rsidRDefault="00EF0C21" w:rsidP="00EF0C21">
      <w:pPr>
        <w:spacing w:line="276" w:lineRule="auto"/>
        <w:rPr>
          <w:rFonts w:cs="Arial"/>
        </w:rPr>
      </w:pPr>
      <w:r w:rsidRPr="00141764">
        <w:rPr>
          <w:rFonts w:cs="Arial"/>
        </w:rPr>
        <w:t>In summary, respondents to the consultation mostly travelled by private car (87.0%), followed by</w:t>
      </w:r>
      <w:r w:rsidRPr="00141764">
        <w:rPr>
          <w:rFonts w:ascii="Calibri" w:hAnsi="Calibri" w:cs="Calibri"/>
        </w:rPr>
        <w:t xml:space="preserve"> </w:t>
      </w:r>
      <w:r w:rsidRPr="00141764">
        <w:rPr>
          <w:rFonts w:cs="Arial"/>
        </w:rPr>
        <w:t xml:space="preserve">walking and cycling (58.1% in total) and public transport (22.3% in total). The reason for travel was predominantly to travel to and from shops (79.3%), followed by social / leisure activities (58.7%), work (54.3%) and visiting friends and family (40.2%). When asking whether the scheme would result in a change of their mode choice to a more sustainable option, the majority of respondents (71%) on average voted that the scheme would have no impact on either their mode choice or reducing car travel. However, this appears to be skewed by a number of respondents (41.2%) who use private cars as their only mode of travel, as those who use mixed modes are more likely to start walking and cycling for short journeys (average 46%), and cycle and walk more often than now (44%). As such, targeted engagement is needed on individuals who rely on private car use </w:t>
      </w:r>
      <w:r w:rsidR="00230C3B">
        <w:rPr>
          <w:rFonts w:cs="Arial"/>
        </w:rPr>
        <w:t>as their only mode of</w:t>
      </w:r>
      <w:r w:rsidRPr="00141764">
        <w:rPr>
          <w:rFonts w:cs="Arial"/>
        </w:rPr>
        <w:t xml:space="preserve"> travel in Slough, to understand the barriers they face in transitioning to more sustainable travel modes.</w:t>
      </w:r>
    </w:p>
    <w:p w14:paraId="516EB27A" w14:textId="77777777" w:rsidR="00EF0C21" w:rsidRDefault="00EF0C21" w:rsidP="00EF0C21">
      <w:pPr>
        <w:spacing w:line="276" w:lineRule="auto"/>
        <w:rPr>
          <w:rFonts w:cs="Arial"/>
        </w:rPr>
      </w:pPr>
    </w:p>
    <w:p w14:paraId="1EC1C21F" w14:textId="77777777" w:rsidR="00EF0C21" w:rsidRDefault="00EF0C21" w:rsidP="00EF0C21">
      <w:pPr>
        <w:rPr>
          <w:rFonts w:cs="Arial"/>
        </w:rPr>
      </w:pPr>
      <w:r>
        <w:rPr>
          <w:rFonts w:cs="Arial"/>
        </w:rPr>
        <w:br w:type="page"/>
      </w:r>
    </w:p>
    <w:p w14:paraId="0A40E3E6" w14:textId="77777777" w:rsidR="00EF0C21" w:rsidRPr="00AC4217" w:rsidRDefault="00EF0C21" w:rsidP="0025036F">
      <w:pPr>
        <w:pStyle w:val="Heading2"/>
        <w:numPr>
          <w:ilvl w:val="0"/>
          <w:numId w:val="81"/>
        </w:numPr>
        <w:spacing w:after="0"/>
        <w:rPr>
          <w:rStyle w:val="Hyperlink"/>
          <w:color w:val="008938"/>
          <w:u w:val="none"/>
        </w:rPr>
      </w:pPr>
      <w:bookmarkStart w:id="413" w:name="_Toc160129638"/>
      <w:r w:rsidRPr="00AC4217">
        <w:rPr>
          <w:rStyle w:val="Hyperlink"/>
          <w:color w:val="008938"/>
          <w:u w:val="none"/>
        </w:rPr>
        <w:t>School Engagement Survey</w:t>
      </w:r>
      <w:bookmarkEnd w:id="413"/>
      <w:r w:rsidRPr="00AC4217">
        <w:rPr>
          <w:rStyle w:val="Hyperlink"/>
          <w:color w:val="008938"/>
          <w:u w:val="none"/>
        </w:rPr>
        <w:t xml:space="preserve"> </w:t>
      </w:r>
    </w:p>
    <w:p w14:paraId="7673B0B7" w14:textId="77777777" w:rsidR="00EF0C21" w:rsidRDefault="00EF0C21" w:rsidP="00EF0C21">
      <w:pPr>
        <w:spacing w:line="276" w:lineRule="auto"/>
        <w:rPr>
          <w:rFonts w:cs="Arial"/>
        </w:rPr>
      </w:pPr>
      <w:r w:rsidRPr="00D33EEB">
        <w:rPr>
          <w:rFonts w:cs="Arial"/>
        </w:rPr>
        <w:t>In January 2024, a short qualitative survey was distr</w:t>
      </w:r>
      <w:r>
        <w:rPr>
          <w:rFonts w:cs="Arial"/>
        </w:rPr>
        <w:t>i</w:t>
      </w:r>
      <w:r w:rsidRPr="00D33EEB">
        <w:rPr>
          <w:rFonts w:cs="Arial"/>
        </w:rPr>
        <w:t>buted at a school engagement event, to ascertain the baseline level of understanding and interest at local schools in active travel, health and air quality. In total, 9 school representatives provided feedback on the aims and ambitions of their schools in relation to th</w:t>
      </w:r>
      <w:r>
        <w:rPr>
          <w:rFonts w:cs="Arial"/>
        </w:rPr>
        <w:t>ese</w:t>
      </w:r>
      <w:r w:rsidRPr="00D33EEB">
        <w:rPr>
          <w:rFonts w:cs="Arial"/>
        </w:rPr>
        <w:t xml:space="preserve"> topic</w:t>
      </w:r>
      <w:r>
        <w:rPr>
          <w:rFonts w:cs="Arial"/>
        </w:rPr>
        <w:t>s</w:t>
      </w:r>
      <w:r w:rsidRPr="00D33EEB">
        <w:rPr>
          <w:rFonts w:cs="Arial"/>
        </w:rPr>
        <w:t xml:space="preserve"> and gave insight into the barriers they face in relation to </w:t>
      </w:r>
      <w:r>
        <w:rPr>
          <w:rFonts w:cs="Arial"/>
        </w:rPr>
        <w:t xml:space="preserve">implementation and </w:t>
      </w:r>
      <w:r w:rsidRPr="00D33EEB">
        <w:rPr>
          <w:rFonts w:cs="Arial"/>
        </w:rPr>
        <w:t xml:space="preserve">uptake of active travel initiatives. </w:t>
      </w:r>
    </w:p>
    <w:p w14:paraId="4F4F453B" w14:textId="20F7D126" w:rsidR="00EF0C21" w:rsidRPr="00AC4217" w:rsidRDefault="00EF0C21" w:rsidP="0025036F">
      <w:pPr>
        <w:pStyle w:val="Heading3"/>
        <w:numPr>
          <w:ilvl w:val="1"/>
          <w:numId w:val="31"/>
        </w:numPr>
        <w:tabs>
          <w:tab w:val="clear" w:pos="1134"/>
          <w:tab w:val="left" w:pos="567"/>
        </w:tabs>
        <w:ind w:left="284" w:hanging="284"/>
        <w:rPr>
          <w:rStyle w:val="Hyperlink"/>
          <w:color w:val="008938"/>
          <w:u w:val="none"/>
        </w:rPr>
      </w:pPr>
      <w:bookmarkStart w:id="414" w:name="_Toc160129639"/>
      <w:r w:rsidRPr="00AC4217">
        <w:rPr>
          <w:rStyle w:val="Hyperlink"/>
          <w:color w:val="008938"/>
          <w:u w:val="none"/>
        </w:rPr>
        <w:t>Methodology</w:t>
      </w:r>
      <w:bookmarkEnd w:id="414"/>
      <w:r w:rsidRPr="00AC4217">
        <w:rPr>
          <w:rStyle w:val="Hyperlink"/>
          <w:color w:val="008938"/>
          <w:u w:val="none"/>
        </w:rPr>
        <w:t xml:space="preserve"> </w:t>
      </w:r>
    </w:p>
    <w:p w14:paraId="2F1FBFE0" w14:textId="450100E9" w:rsidR="00EF0C21" w:rsidRDefault="00EF0C21" w:rsidP="00EF0C21">
      <w:pPr>
        <w:spacing w:line="276" w:lineRule="auto"/>
        <w:rPr>
          <w:rFonts w:cs="Arial"/>
        </w:rPr>
      </w:pPr>
      <w:r w:rsidRPr="006F4F19">
        <w:rPr>
          <w:rFonts w:cs="Arial"/>
        </w:rPr>
        <w:t xml:space="preserve">A five-point Likert </w:t>
      </w:r>
      <w:r w:rsidR="007105BA">
        <w:rPr>
          <w:rFonts w:cs="Arial"/>
        </w:rPr>
        <w:t>s</w:t>
      </w:r>
      <w:r w:rsidRPr="006F4F19">
        <w:rPr>
          <w:rFonts w:cs="Arial"/>
        </w:rPr>
        <w:t xml:space="preserve">cale was used to ask </w:t>
      </w:r>
      <w:r>
        <w:rPr>
          <w:rFonts w:cs="Arial"/>
        </w:rPr>
        <w:t xml:space="preserve">school representatives to </w:t>
      </w:r>
      <w:r w:rsidRPr="006F4F19">
        <w:rPr>
          <w:rFonts w:cs="Arial"/>
        </w:rPr>
        <w:t xml:space="preserve">specify their levels of agreement </w:t>
      </w:r>
      <w:r>
        <w:rPr>
          <w:rFonts w:cs="Arial"/>
        </w:rPr>
        <w:t>with the following statements:</w:t>
      </w:r>
    </w:p>
    <w:p w14:paraId="7010CD3D" w14:textId="77777777" w:rsidR="00EF0C21" w:rsidRPr="003B2BEE" w:rsidRDefault="00EF0C21" w:rsidP="0025036F">
      <w:pPr>
        <w:pStyle w:val="ListParagraph"/>
        <w:numPr>
          <w:ilvl w:val="0"/>
          <w:numId w:val="63"/>
        </w:numPr>
        <w:spacing w:before="0" w:after="160" w:line="276" w:lineRule="auto"/>
        <w:contextualSpacing/>
        <w:rPr>
          <w:rFonts w:cs="Arial"/>
        </w:rPr>
      </w:pPr>
      <w:r w:rsidRPr="003B2BEE">
        <w:rPr>
          <w:rFonts w:cs="Arial"/>
        </w:rPr>
        <w:t>My school puts value on improving children’s health.</w:t>
      </w:r>
    </w:p>
    <w:p w14:paraId="4F9E8755" w14:textId="77777777" w:rsidR="00EF0C21" w:rsidRPr="003B2BEE" w:rsidRDefault="00EF0C21" w:rsidP="0025036F">
      <w:pPr>
        <w:pStyle w:val="ListParagraph"/>
        <w:numPr>
          <w:ilvl w:val="0"/>
          <w:numId w:val="63"/>
        </w:numPr>
        <w:spacing w:before="0" w:after="160" w:line="276" w:lineRule="auto"/>
        <w:contextualSpacing/>
        <w:rPr>
          <w:rFonts w:cs="Arial"/>
        </w:rPr>
      </w:pPr>
      <w:r w:rsidRPr="003B2BEE">
        <w:rPr>
          <w:rFonts w:cs="Arial"/>
        </w:rPr>
        <w:t>My school values and promotes sustainable behaviours.</w:t>
      </w:r>
    </w:p>
    <w:p w14:paraId="0FBAB08F" w14:textId="77777777" w:rsidR="00EF0C21" w:rsidRPr="003B2BEE" w:rsidRDefault="00EF0C21" w:rsidP="0025036F">
      <w:pPr>
        <w:pStyle w:val="ListParagraph"/>
        <w:numPr>
          <w:ilvl w:val="0"/>
          <w:numId w:val="63"/>
        </w:numPr>
        <w:spacing w:before="0" w:after="160" w:line="276" w:lineRule="auto"/>
        <w:contextualSpacing/>
        <w:rPr>
          <w:rFonts w:cs="Arial"/>
        </w:rPr>
      </w:pPr>
      <w:r w:rsidRPr="003B2BEE">
        <w:rPr>
          <w:rFonts w:cs="Arial"/>
        </w:rPr>
        <w:t>My school actively promotes active travel initiatives (</w:t>
      </w:r>
      <w:r>
        <w:rPr>
          <w:rFonts w:cs="Arial"/>
        </w:rPr>
        <w:t>e</w:t>
      </w:r>
      <w:r w:rsidRPr="003B2BEE">
        <w:rPr>
          <w:rFonts w:cs="Arial"/>
        </w:rPr>
        <w:t>.g. Walk to School Week).</w:t>
      </w:r>
    </w:p>
    <w:p w14:paraId="081407EA" w14:textId="77777777" w:rsidR="00EF0C21" w:rsidRPr="003B2BEE" w:rsidRDefault="00EF0C21" w:rsidP="0025036F">
      <w:pPr>
        <w:pStyle w:val="ListParagraph"/>
        <w:numPr>
          <w:ilvl w:val="0"/>
          <w:numId w:val="63"/>
        </w:numPr>
        <w:spacing w:before="0" w:after="160" w:line="276" w:lineRule="auto"/>
        <w:contextualSpacing/>
        <w:rPr>
          <w:rFonts w:cs="Arial"/>
        </w:rPr>
      </w:pPr>
      <w:r w:rsidRPr="003B2BEE">
        <w:rPr>
          <w:rFonts w:cs="Arial"/>
        </w:rPr>
        <w:t>Improving or reducing exposure to poor air quality is part of my school's agenda.</w:t>
      </w:r>
    </w:p>
    <w:p w14:paraId="038044B3" w14:textId="77777777" w:rsidR="00EF0C21" w:rsidRDefault="00EF0C21" w:rsidP="00EF0C21">
      <w:pPr>
        <w:spacing w:line="276" w:lineRule="auto"/>
        <w:rPr>
          <w:rFonts w:cs="Arial"/>
        </w:rPr>
      </w:pPr>
      <w:r>
        <w:rPr>
          <w:rFonts w:cs="Arial"/>
        </w:rPr>
        <w:t xml:space="preserve">This was followed by open questions regarding the active travel initiatives the particular school is involved in, or if none, what the barriers are to implementing these initiatives. </w:t>
      </w:r>
    </w:p>
    <w:p w14:paraId="6AD82C57" w14:textId="77777777" w:rsidR="00EF0C21" w:rsidRDefault="00EF0C21" w:rsidP="00EF0C21">
      <w:pPr>
        <w:spacing w:line="276" w:lineRule="auto"/>
        <w:rPr>
          <w:rFonts w:cs="Arial"/>
        </w:rPr>
      </w:pPr>
      <w:r>
        <w:rPr>
          <w:rFonts w:cs="Arial"/>
        </w:rPr>
        <w:t xml:space="preserve">To gauge interest levels in active travel and air quality related projects, participants were asked whether they would be interested in getting involved with Council led projects in future, and whether they would like to be kept informed of air quality trends, data and actions in Slough. </w:t>
      </w:r>
    </w:p>
    <w:p w14:paraId="0229F0FB" w14:textId="09B46239" w:rsidR="00EF0C21" w:rsidRDefault="00EF0C21" w:rsidP="00AC4217">
      <w:pPr>
        <w:spacing w:line="276" w:lineRule="auto"/>
        <w:rPr>
          <w:rFonts w:cs="Arial"/>
        </w:rPr>
      </w:pPr>
      <w:r>
        <w:rPr>
          <w:rFonts w:cs="Arial"/>
        </w:rPr>
        <w:t xml:space="preserve">This survey was also distributed digitally however at the time of writing, no responses to the online survey have been received. As such, this review focuses on the participant feedback and discussions had at the engagement event. It should be noted also that there are over 50 schools in Slough, therefore this sample should be considered as an insight into </w:t>
      </w:r>
      <w:r w:rsidR="007105BA">
        <w:rPr>
          <w:rFonts w:cs="Arial"/>
        </w:rPr>
        <w:t xml:space="preserve">the values of some schools </w:t>
      </w:r>
      <w:r>
        <w:rPr>
          <w:rFonts w:cs="Arial"/>
        </w:rPr>
        <w:t xml:space="preserve">rather than a definitive representative sample. For reliable results, it is recommended that this survey is repeated in future with a larger sample size. </w:t>
      </w:r>
    </w:p>
    <w:p w14:paraId="1E0E8BE7" w14:textId="77777777" w:rsidR="00EF0C21" w:rsidRPr="00AC4217" w:rsidRDefault="00EF0C21" w:rsidP="0025036F">
      <w:pPr>
        <w:pStyle w:val="Heading3"/>
        <w:numPr>
          <w:ilvl w:val="1"/>
          <w:numId w:val="31"/>
        </w:numPr>
        <w:tabs>
          <w:tab w:val="clear" w:pos="1134"/>
          <w:tab w:val="left" w:pos="567"/>
        </w:tabs>
        <w:spacing w:line="276" w:lineRule="auto"/>
        <w:ind w:left="284" w:hanging="284"/>
        <w:rPr>
          <w:rStyle w:val="Hyperlink"/>
          <w:color w:val="008938"/>
          <w:u w:val="none"/>
        </w:rPr>
      </w:pPr>
      <w:bookmarkStart w:id="415" w:name="_Toc160129640"/>
      <w:r w:rsidRPr="00AC4217">
        <w:rPr>
          <w:rStyle w:val="Hyperlink"/>
          <w:color w:val="008938"/>
          <w:u w:val="none"/>
        </w:rPr>
        <w:t>Results</w:t>
      </w:r>
      <w:bookmarkEnd w:id="415"/>
      <w:r w:rsidRPr="00AC4217">
        <w:rPr>
          <w:rStyle w:val="Hyperlink"/>
          <w:color w:val="008938"/>
          <w:u w:val="none"/>
        </w:rPr>
        <w:t xml:space="preserve"> </w:t>
      </w:r>
    </w:p>
    <w:p w14:paraId="2F19D1AC" w14:textId="76252F87" w:rsidR="00EF0C21" w:rsidRDefault="00C32E8C" w:rsidP="00AC4217">
      <w:pPr>
        <w:spacing w:line="276" w:lineRule="auto"/>
        <w:rPr>
          <w:rFonts w:cs="Arial"/>
        </w:rPr>
      </w:pPr>
      <w:r>
        <w:rPr>
          <w:rFonts w:cs="Arial"/>
        </w:rPr>
        <w:t>Figure E.10</w:t>
      </w:r>
      <w:r w:rsidR="00EF0C21">
        <w:rPr>
          <w:rFonts w:cs="Arial"/>
        </w:rPr>
        <w:t xml:space="preserve"> below shows the distribution of responses to the Likert </w:t>
      </w:r>
      <w:r w:rsidR="007105BA">
        <w:rPr>
          <w:rFonts w:cs="Arial"/>
        </w:rPr>
        <w:t>s</w:t>
      </w:r>
      <w:r w:rsidR="00EF0C21">
        <w:rPr>
          <w:rFonts w:cs="Arial"/>
        </w:rPr>
        <w:t xml:space="preserve">cale questions regarding attitudes towards children’s health, active travel and air quality. </w:t>
      </w:r>
    </w:p>
    <w:p w14:paraId="0C8D792C" w14:textId="77777777" w:rsidR="00EF0C21" w:rsidRDefault="00EF0C21" w:rsidP="00AC4217">
      <w:pPr>
        <w:spacing w:line="276" w:lineRule="auto"/>
        <w:rPr>
          <w:rFonts w:cs="Arial"/>
        </w:rPr>
      </w:pPr>
      <w:r>
        <w:rPr>
          <w:rFonts w:cs="Arial"/>
        </w:rPr>
        <w:t>All of the schools which participated in the survey indicated that they ‘strongly agreed’ or ‘agreed’ that their school puts value on improving children’s health. This is a positive indication that the participating schools have a strong interest and motivation to improve the health of children that attend their school.</w:t>
      </w:r>
    </w:p>
    <w:p w14:paraId="2A6E3D9D" w14:textId="10CE7BA7" w:rsidR="00EF0C21" w:rsidRDefault="00EF0C21" w:rsidP="00AC4217">
      <w:pPr>
        <w:spacing w:line="276" w:lineRule="auto"/>
        <w:rPr>
          <w:rFonts w:cs="Arial"/>
        </w:rPr>
      </w:pPr>
      <w:r>
        <w:rPr>
          <w:rFonts w:cs="Arial"/>
        </w:rPr>
        <w:t xml:space="preserve">There were fewer </w:t>
      </w:r>
      <w:r w:rsidR="007105BA">
        <w:rPr>
          <w:rFonts w:cs="Arial"/>
        </w:rPr>
        <w:t>‘strongly agree’</w:t>
      </w:r>
      <w:r>
        <w:rPr>
          <w:rFonts w:cs="Arial"/>
        </w:rPr>
        <w:t xml:space="preserve"> responses to the following question, which asked about the promotion of sustainable behaviours, with one voting ‘not sure’. This suggests that although there is a strong ambition to improve children’s health, there is a weaker link between this and achieving beneficial health outcomes via sustainable behaviour measures. </w:t>
      </w:r>
    </w:p>
    <w:p w14:paraId="623E8574" w14:textId="44976399" w:rsidR="00EF0C21" w:rsidRDefault="00EF0C21" w:rsidP="00AC4217">
      <w:pPr>
        <w:spacing w:line="276" w:lineRule="auto"/>
        <w:rPr>
          <w:rFonts w:cs="Arial"/>
        </w:rPr>
      </w:pPr>
      <w:r>
        <w:rPr>
          <w:rFonts w:cs="Arial"/>
        </w:rPr>
        <w:t>In regards to active travel initiatives, there were some schools which were not actively promoting active travel initiatives, however the majority of schools voted that they were</w:t>
      </w:r>
      <w:r w:rsidR="007105BA">
        <w:rPr>
          <w:rFonts w:cs="Arial"/>
        </w:rPr>
        <w:t>, which again suggests that there is a weak link between health and active travel at schools.</w:t>
      </w:r>
    </w:p>
    <w:p w14:paraId="13928FAE" w14:textId="3E21FC14" w:rsidR="00EF0C21" w:rsidRDefault="00EF0C21" w:rsidP="00AC4217">
      <w:pPr>
        <w:spacing w:line="276" w:lineRule="auto"/>
        <w:rPr>
          <w:rFonts w:cs="Arial"/>
        </w:rPr>
      </w:pPr>
      <w:r>
        <w:rPr>
          <w:rFonts w:cs="Arial"/>
        </w:rPr>
        <w:t xml:space="preserve">Finally, in regards to improving or reducing exposure to poor air quality, no school participants strongly agreed with this statement. One participant agreed, whilst the remaining </w:t>
      </w:r>
      <w:r w:rsidR="007105BA">
        <w:rPr>
          <w:rFonts w:cs="Arial"/>
        </w:rPr>
        <w:t>eight</w:t>
      </w:r>
      <w:r>
        <w:rPr>
          <w:rFonts w:cs="Arial"/>
        </w:rPr>
        <w:t xml:space="preserve"> school participants were either not sure or disagreed with this statement. As </w:t>
      </w:r>
      <w:r w:rsidR="007105BA">
        <w:rPr>
          <w:rFonts w:cs="Arial"/>
        </w:rPr>
        <w:t xml:space="preserve">all </w:t>
      </w:r>
      <w:r>
        <w:rPr>
          <w:rFonts w:cs="Arial"/>
        </w:rPr>
        <w:t>school participants had indicated that their school puts value on improving children’s health, it is evident from these results that there is a large knowledge gap in understanding the health implications of poor air quality on school children and highlights t</w:t>
      </w:r>
      <w:r w:rsidR="00215BCE">
        <w:rPr>
          <w:rFonts w:cs="Arial"/>
        </w:rPr>
        <w:t>he</w:t>
      </w:r>
      <w:r>
        <w:rPr>
          <w:rFonts w:cs="Arial"/>
        </w:rPr>
        <w:t xml:space="preserve"> opportunity available to address this in the AQAP actions. </w:t>
      </w:r>
    </w:p>
    <w:p w14:paraId="5C68C10F" w14:textId="1648D777" w:rsidR="00C32E8C" w:rsidRDefault="00C32E8C" w:rsidP="00C32E8C">
      <w:pPr>
        <w:pStyle w:val="Figures"/>
      </w:pPr>
      <w:bookmarkStart w:id="416" w:name="_Toc160129378"/>
      <w:r>
        <w:t>Figure E:10: School attitudes towards health, active travel and air quality</w:t>
      </w:r>
      <w:bookmarkEnd w:id="416"/>
      <w:r>
        <w:t xml:space="preserve"> </w:t>
      </w:r>
    </w:p>
    <w:p w14:paraId="789EC632" w14:textId="77777777" w:rsidR="00EF0C21" w:rsidRDefault="00EF0C21" w:rsidP="00AC4217">
      <w:pPr>
        <w:spacing w:line="276" w:lineRule="auto"/>
        <w:rPr>
          <w:rFonts w:cs="Arial"/>
        </w:rPr>
      </w:pPr>
      <w:r>
        <w:rPr>
          <w:noProof/>
        </w:rPr>
        <w:drawing>
          <wp:inline distT="0" distB="0" distL="0" distR="0" wp14:anchorId="0FD8D68B" wp14:editId="45C9AAAB">
            <wp:extent cx="5633720" cy="3735238"/>
            <wp:effectExtent l="0" t="0" r="5080" b="17780"/>
            <wp:docPr id="686576068" name="Chart 1" descr="A graph showing school attitudes towards health, active travel and air quality. All schools put value on improving children's health, but less actively promote active travel and few have improving air quality on their school agenda ">
              <a:extLst xmlns:a="http://schemas.openxmlformats.org/drawingml/2006/main">
                <a:ext uri="{FF2B5EF4-FFF2-40B4-BE49-F238E27FC236}">
                  <a16:creationId xmlns:a16="http://schemas.microsoft.com/office/drawing/2014/main" id="{0C4B2B88-D8DA-85D0-EBC1-A9D979265B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E267102" w14:textId="77777777" w:rsidR="00EF0C21" w:rsidRDefault="00EF0C21" w:rsidP="00AC4217">
      <w:pPr>
        <w:spacing w:line="276" w:lineRule="auto"/>
        <w:rPr>
          <w:rFonts w:cs="Arial"/>
        </w:rPr>
      </w:pPr>
      <w:r>
        <w:rPr>
          <w:rFonts w:cs="Arial"/>
        </w:rPr>
        <w:t xml:space="preserve">The next set of questions included open responses. When asked if their school was involved in sustainable or active travel initiatives, there was an even split. For representatives whose schools were involved in active travel initiatives, there were only four that were mentioned, including walk to school week, cycle to school week, school streets and Bikeability. Although involvement in these initiatives is a positive sign, the walk to school and cycle to school weeks only occur for one week of the year, therefore this feedback suggests that there are few active travel activities ongoing throughout the year. </w:t>
      </w:r>
    </w:p>
    <w:p w14:paraId="23CA5BE1" w14:textId="29E074D0" w:rsidR="00EF0C21" w:rsidRDefault="00EF0C21" w:rsidP="00AC4217">
      <w:pPr>
        <w:spacing w:line="276" w:lineRule="auto"/>
        <w:rPr>
          <w:rFonts w:cs="Arial"/>
        </w:rPr>
      </w:pPr>
      <w:r>
        <w:rPr>
          <w:rFonts w:cs="Arial"/>
        </w:rPr>
        <w:t>The next question asked about the barriers to active travel initiatives. Feedback indicated that parents driving and a lack of alternative parking options are key issues, alongside resourcing</w:t>
      </w:r>
      <w:r w:rsidR="007105BA">
        <w:rPr>
          <w:rFonts w:cs="Arial"/>
        </w:rPr>
        <w:t xml:space="preserve"> issues</w:t>
      </w:r>
      <w:r>
        <w:rPr>
          <w:rFonts w:cs="Arial"/>
        </w:rPr>
        <w:t xml:space="preserve"> including staff capacity</w:t>
      </w:r>
      <w:r w:rsidR="00215BCE">
        <w:rPr>
          <w:rFonts w:cs="Arial"/>
        </w:rPr>
        <w:t xml:space="preserve">, </w:t>
      </w:r>
      <w:r>
        <w:rPr>
          <w:rFonts w:cs="Arial"/>
        </w:rPr>
        <w:t>poor communication</w:t>
      </w:r>
      <w:r w:rsidR="00215BCE">
        <w:rPr>
          <w:rFonts w:cs="Arial"/>
        </w:rPr>
        <w:t xml:space="preserve"> and</w:t>
      </w:r>
      <w:r>
        <w:rPr>
          <w:rFonts w:cs="Arial"/>
        </w:rPr>
        <w:t xml:space="preserve"> limited finances. Additional issues raised included a lack of access and incentive for SEND pupils, and negative perceptions associated with active travel. </w:t>
      </w:r>
    </w:p>
    <w:p w14:paraId="25338DD9" w14:textId="3A3148A1" w:rsidR="00EF0C21" w:rsidRDefault="00EF0C21" w:rsidP="00AC4217">
      <w:pPr>
        <w:spacing w:line="276" w:lineRule="auto"/>
        <w:rPr>
          <w:rFonts w:cs="Arial"/>
        </w:rPr>
      </w:pPr>
      <w:r>
        <w:rPr>
          <w:rFonts w:cs="Arial"/>
        </w:rPr>
        <w:t xml:space="preserve">The school representatives were also asked to specify what could help their schools to implement active travel initiatives. </w:t>
      </w:r>
      <w:bookmarkStart w:id="417" w:name="_Hlk159672815"/>
      <w:r>
        <w:rPr>
          <w:rFonts w:cs="Arial"/>
        </w:rPr>
        <w:t>School representatives raised that the Council could organise workshops for schools, improve awareness of initiatives with schools, and communicate with parents on active travel initiatives and advise on their benefits</w:t>
      </w:r>
      <w:bookmarkEnd w:id="417"/>
      <w:r>
        <w:rPr>
          <w:rFonts w:cs="Arial"/>
        </w:rPr>
        <w:t xml:space="preserve">. These aspects will be </w:t>
      </w:r>
      <w:r w:rsidR="007105BA">
        <w:rPr>
          <w:rFonts w:cs="Arial"/>
        </w:rPr>
        <w:t>considered in the delivery of</w:t>
      </w:r>
      <w:r>
        <w:rPr>
          <w:rFonts w:cs="Arial"/>
        </w:rPr>
        <w:t xml:space="preserve"> the action plan. </w:t>
      </w:r>
    </w:p>
    <w:p w14:paraId="45D57FC5" w14:textId="77777777" w:rsidR="00EF0C21" w:rsidRDefault="00EF0C21" w:rsidP="00AC4217">
      <w:pPr>
        <w:spacing w:line="276" w:lineRule="auto"/>
        <w:rPr>
          <w:rFonts w:cs="Arial"/>
        </w:rPr>
      </w:pPr>
      <w:r>
        <w:rPr>
          <w:rFonts w:cs="Arial"/>
        </w:rPr>
        <w:t xml:space="preserve">When asked about future school engagement, 7 out of 9 participants confirmed that they would be interested in getting involved in Council led air quality and active travel projects in future, and 6 out of 9 participants wanted to be kept informed of air quality trends and actions in Slough, therefore this may act as a starting point for future projects. Although this is a positive outcome, there were 2-3 school representatives who believed their school would not be interested in these aspects. As such, it is clear that improved engagement is needed. </w:t>
      </w:r>
    </w:p>
    <w:p w14:paraId="2A937C6A" w14:textId="77777777" w:rsidR="00EF0C21" w:rsidRPr="00AC4217" w:rsidRDefault="00EF0C21" w:rsidP="0025036F">
      <w:pPr>
        <w:pStyle w:val="Heading3"/>
        <w:numPr>
          <w:ilvl w:val="1"/>
          <w:numId w:val="31"/>
        </w:numPr>
        <w:tabs>
          <w:tab w:val="clear" w:pos="1134"/>
          <w:tab w:val="left" w:pos="567"/>
        </w:tabs>
        <w:spacing w:line="276" w:lineRule="auto"/>
        <w:ind w:left="284" w:hanging="284"/>
        <w:rPr>
          <w:rStyle w:val="Hyperlink"/>
          <w:color w:val="008938"/>
          <w:u w:val="none"/>
        </w:rPr>
      </w:pPr>
      <w:bookmarkStart w:id="418" w:name="_Toc160129641"/>
      <w:r w:rsidRPr="00AC4217">
        <w:rPr>
          <w:rStyle w:val="Hyperlink"/>
          <w:color w:val="008938"/>
          <w:u w:val="none"/>
        </w:rPr>
        <w:t>Summary</w:t>
      </w:r>
      <w:bookmarkEnd w:id="418"/>
    </w:p>
    <w:p w14:paraId="7718ABCC" w14:textId="77777777" w:rsidR="00EF0C21" w:rsidRDefault="00EF0C21" w:rsidP="00AC4217">
      <w:pPr>
        <w:spacing w:line="276" w:lineRule="auto"/>
        <w:rPr>
          <w:rFonts w:cs="Arial"/>
        </w:rPr>
      </w:pPr>
      <w:r>
        <w:rPr>
          <w:rFonts w:cs="Arial"/>
        </w:rPr>
        <w:t xml:space="preserve">In summary, the school engagement survey has indicated that out of the schools which participated, all put value on improving children’s health, however fewer schools were actively promoting sustainable behaviours and active travel initiatives, and only one school has improving or reducing exposure to poor air quality as part of their agenda. </w:t>
      </w:r>
    </w:p>
    <w:p w14:paraId="0883A148" w14:textId="77777777" w:rsidR="00EF0C21" w:rsidRDefault="00EF0C21" w:rsidP="00AC4217">
      <w:pPr>
        <w:spacing w:line="276" w:lineRule="auto"/>
        <w:rPr>
          <w:rFonts w:cs="Arial"/>
        </w:rPr>
      </w:pPr>
      <w:r>
        <w:rPr>
          <w:rFonts w:cs="Arial"/>
        </w:rPr>
        <w:t>The survey outcomes identified a number of key themes to be incorporated into the action plan. These are as follows:</w:t>
      </w:r>
    </w:p>
    <w:p w14:paraId="3CCEF77C" w14:textId="77777777" w:rsidR="00EF0C21" w:rsidRDefault="00EF0C21" w:rsidP="0025036F">
      <w:pPr>
        <w:pStyle w:val="ListParagraph"/>
        <w:numPr>
          <w:ilvl w:val="0"/>
          <w:numId w:val="60"/>
        </w:numPr>
        <w:spacing w:before="0" w:after="160" w:line="276" w:lineRule="auto"/>
        <w:contextualSpacing/>
        <w:rPr>
          <w:rFonts w:cs="Arial"/>
        </w:rPr>
      </w:pPr>
      <w:r>
        <w:rPr>
          <w:rFonts w:cs="Arial"/>
        </w:rPr>
        <w:t>Education – improving understanding and knowledge between children’s health outcomes and poor air quality exposure, and how active travel can improve this, both for schools and parents.</w:t>
      </w:r>
    </w:p>
    <w:p w14:paraId="6AF92FF4" w14:textId="77777777" w:rsidR="00EF0C21" w:rsidRDefault="00EF0C21" w:rsidP="0025036F">
      <w:pPr>
        <w:pStyle w:val="ListParagraph"/>
        <w:numPr>
          <w:ilvl w:val="0"/>
          <w:numId w:val="60"/>
        </w:numPr>
        <w:spacing w:before="0" w:after="160" w:line="276" w:lineRule="auto"/>
        <w:contextualSpacing/>
        <w:rPr>
          <w:rFonts w:cs="Arial"/>
        </w:rPr>
      </w:pPr>
      <w:r>
        <w:rPr>
          <w:rFonts w:cs="Arial"/>
        </w:rPr>
        <w:t>School engagement – improving awareness of initiatives via a regular communication stream (such as a monthly newsletter) and providing active travel workshops to schools.</w:t>
      </w:r>
    </w:p>
    <w:p w14:paraId="74B190A9" w14:textId="77777777" w:rsidR="00EF0C21" w:rsidRDefault="00EF0C21" w:rsidP="0025036F">
      <w:pPr>
        <w:pStyle w:val="ListParagraph"/>
        <w:numPr>
          <w:ilvl w:val="0"/>
          <w:numId w:val="60"/>
        </w:numPr>
        <w:spacing w:before="0" w:after="160" w:line="276" w:lineRule="auto"/>
        <w:contextualSpacing/>
        <w:rPr>
          <w:rFonts w:cs="Arial"/>
        </w:rPr>
      </w:pPr>
      <w:r>
        <w:rPr>
          <w:rFonts w:cs="Arial"/>
        </w:rPr>
        <w:t xml:space="preserve">Parent engagement – improving awareness of initiatives and the health benefits for their children, either directly or via the school </w:t>
      </w:r>
    </w:p>
    <w:p w14:paraId="5B078852" w14:textId="77777777" w:rsidR="00EF0C21" w:rsidRDefault="00EF0C21" w:rsidP="0025036F">
      <w:pPr>
        <w:pStyle w:val="ListParagraph"/>
        <w:numPr>
          <w:ilvl w:val="0"/>
          <w:numId w:val="60"/>
        </w:numPr>
        <w:spacing w:before="0" w:after="160" w:line="276" w:lineRule="auto"/>
        <w:contextualSpacing/>
        <w:rPr>
          <w:rFonts w:cs="Arial"/>
        </w:rPr>
      </w:pPr>
      <w:r>
        <w:rPr>
          <w:rFonts w:cs="Arial"/>
        </w:rPr>
        <w:t>Travel planning – some of the issues raised suggest that schools may benefit from travel planning and advice, which could be delivered via Modeshift STARS.</w:t>
      </w:r>
    </w:p>
    <w:p w14:paraId="560255AC" w14:textId="06246E2F" w:rsidR="00EF0C21" w:rsidRPr="00215BCE" w:rsidRDefault="00EF0C21" w:rsidP="00ED3C78">
      <w:pPr>
        <w:pStyle w:val="ListParagraph"/>
        <w:numPr>
          <w:ilvl w:val="0"/>
          <w:numId w:val="60"/>
        </w:numPr>
        <w:spacing w:before="0" w:after="160" w:line="276" w:lineRule="auto"/>
        <w:contextualSpacing/>
        <w:rPr>
          <w:rFonts w:cs="Arial"/>
        </w:rPr>
      </w:pPr>
      <w:r w:rsidRPr="00215BCE">
        <w:rPr>
          <w:rFonts w:cs="Arial"/>
        </w:rPr>
        <w:t xml:space="preserve">Monitoring – as this survey </w:t>
      </w:r>
      <w:r w:rsidR="007105BA" w:rsidRPr="00215BCE">
        <w:rPr>
          <w:rFonts w:cs="Arial"/>
        </w:rPr>
        <w:t>represents a s</w:t>
      </w:r>
      <w:r w:rsidRPr="00215BCE">
        <w:rPr>
          <w:rFonts w:cs="Arial"/>
        </w:rPr>
        <w:t xml:space="preserve">mall sample of schools, this exercise should be repeated via a planned monitoring regime, to increase understanding of barriers to implementation of active travel initiatives and address issues more effectively. </w:t>
      </w:r>
      <w:r w:rsidRPr="00215BCE">
        <w:rPr>
          <w:rFonts w:cs="Arial"/>
        </w:rPr>
        <w:br w:type="page"/>
      </w:r>
    </w:p>
    <w:p w14:paraId="329D837F" w14:textId="77777777" w:rsidR="00EF0C21" w:rsidRPr="00AC4217" w:rsidRDefault="00EF0C21" w:rsidP="0025036F">
      <w:pPr>
        <w:pStyle w:val="Heading2"/>
        <w:numPr>
          <w:ilvl w:val="0"/>
          <w:numId w:val="81"/>
        </w:numPr>
        <w:spacing w:after="0"/>
        <w:rPr>
          <w:rStyle w:val="Hyperlink"/>
          <w:color w:val="008938"/>
          <w:u w:val="none"/>
        </w:rPr>
      </w:pPr>
      <w:bookmarkStart w:id="419" w:name="_Toc160129642"/>
      <w:r w:rsidRPr="00AC4217">
        <w:rPr>
          <w:rStyle w:val="Hyperlink"/>
          <w:color w:val="008938"/>
          <w:u w:val="none"/>
        </w:rPr>
        <w:t>Hands Up Surveys</w:t>
      </w:r>
      <w:bookmarkEnd w:id="419"/>
      <w:r w:rsidRPr="00AC4217">
        <w:rPr>
          <w:rStyle w:val="Hyperlink"/>
          <w:color w:val="008938"/>
          <w:u w:val="none"/>
        </w:rPr>
        <w:t xml:space="preserve"> </w:t>
      </w:r>
    </w:p>
    <w:p w14:paraId="5FCA7B12" w14:textId="77777777" w:rsidR="00EF0C21" w:rsidRDefault="00EF0C21" w:rsidP="00AC4217">
      <w:pPr>
        <w:spacing w:line="276" w:lineRule="auto"/>
        <w:rPr>
          <w:rFonts w:cs="Arial"/>
        </w:rPr>
      </w:pPr>
      <w:r>
        <w:rPr>
          <w:rFonts w:cs="Arial"/>
        </w:rPr>
        <w:t>A ‘Hands Up’ survey is a poll of how students usually travel to school, compared with how they would prefer to travel. This is typically c</w:t>
      </w:r>
      <w:r w:rsidRPr="0071141E">
        <w:rPr>
          <w:rFonts w:cs="Arial"/>
        </w:rPr>
        <w:t xml:space="preserve">arried out in classrooms, </w:t>
      </w:r>
      <w:r>
        <w:rPr>
          <w:rFonts w:cs="Arial"/>
        </w:rPr>
        <w:t>where t</w:t>
      </w:r>
      <w:r w:rsidRPr="0071141E">
        <w:rPr>
          <w:rFonts w:cs="Arial"/>
        </w:rPr>
        <w:t xml:space="preserve">eachers read out a list of modes of transport, and children put up their hands when they hear the mode of transport they used to </w:t>
      </w:r>
      <w:r>
        <w:rPr>
          <w:rFonts w:cs="Arial"/>
        </w:rPr>
        <w:t xml:space="preserve">travel to </w:t>
      </w:r>
      <w:r w:rsidRPr="0071141E">
        <w:rPr>
          <w:rFonts w:cs="Arial"/>
        </w:rPr>
        <w:t>school that day</w:t>
      </w:r>
      <w:r>
        <w:rPr>
          <w:rFonts w:cs="Arial"/>
        </w:rPr>
        <w:t xml:space="preserve"> versus how they would have preferred to travel. </w:t>
      </w:r>
    </w:p>
    <w:p w14:paraId="75E05CDE" w14:textId="77777777" w:rsidR="00EF0C21" w:rsidRDefault="00EF0C21" w:rsidP="00AC4217">
      <w:pPr>
        <w:spacing w:line="276" w:lineRule="auto"/>
        <w:rPr>
          <w:rFonts w:cs="Arial"/>
        </w:rPr>
      </w:pPr>
      <w:r>
        <w:rPr>
          <w:rFonts w:cs="Arial"/>
        </w:rPr>
        <w:t>These surveys are undertaken periodically at schools in Slough and is a requirement for schools that are signed up to the Modeshift STARS, which is an active travel accreditation scheme. Slough Borough Council a</w:t>
      </w:r>
      <w:r w:rsidRPr="0071141E">
        <w:rPr>
          <w:rFonts w:cs="Arial"/>
        </w:rPr>
        <w:t xml:space="preserve">re currently working with over 30 schools who have signed up to Modeshift STARS and are working towards an accreditation. </w:t>
      </w:r>
    </w:p>
    <w:p w14:paraId="3B57B01A" w14:textId="2F80663C" w:rsidR="00EF0C21" w:rsidRPr="00AC4217" w:rsidRDefault="0025036F" w:rsidP="0025036F">
      <w:pPr>
        <w:pStyle w:val="Heading2"/>
        <w:numPr>
          <w:ilvl w:val="1"/>
          <w:numId w:val="81"/>
        </w:numPr>
        <w:rPr>
          <w:rStyle w:val="Hyperlink"/>
          <w:color w:val="008938"/>
          <w:sz w:val="24"/>
          <w:szCs w:val="24"/>
          <w:u w:val="none"/>
        </w:rPr>
      </w:pPr>
      <w:r>
        <w:rPr>
          <w:rStyle w:val="Hyperlink"/>
          <w:color w:val="008938"/>
          <w:sz w:val="24"/>
          <w:szCs w:val="24"/>
          <w:u w:val="none"/>
        </w:rPr>
        <w:t xml:space="preserve"> </w:t>
      </w:r>
      <w:bookmarkStart w:id="420" w:name="_Toc160129643"/>
      <w:r w:rsidR="00EF0C21" w:rsidRPr="00AC4217">
        <w:rPr>
          <w:rStyle w:val="Hyperlink"/>
          <w:color w:val="008938"/>
          <w:sz w:val="24"/>
          <w:szCs w:val="24"/>
          <w:u w:val="none"/>
        </w:rPr>
        <w:t>Methodology</w:t>
      </w:r>
      <w:bookmarkEnd w:id="420"/>
      <w:r w:rsidR="00EF0C21" w:rsidRPr="00AC4217">
        <w:rPr>
          <w:rStyle w:val="Hyperlink"/>
          <w:color w:val="008938"/>
          <w:sz w:val="24"/>
          <w:szCs w:val="24"/>
          <w:u w:val="none"/>
        </w:rPr>
        <w:t xml:space="preserve"> </w:t>
      </w:r>
    </w:p>
    <w:p w14:paraId="2E0BAE3D" w14:textId="77777777" w:rsidR="00EF0C21" w:rsidRPr="00AC4217" w:rsidRDefault="00EF0C21" w:rsidP="00AC4217">
      <w:pPr>
        <w:pStyle w:val="AQAPText"/>
        <w:rPr>
          <w:rStyle w:val="Hyperlink"/>
          <w:b/>
          <w:bCs/>
          <w:color w:val="auto"/>
          <w:u w:val="none"/>
        </w:rPr>
      </w:pPr>
      <w:r w:rsidRPr="00AC4217">
        <w:rPr>
          <w:rStyle w:val="Hyperlink"/>
          <w:b/>
          <w:bCs/>
          <w:color w:val="auto"/>
          <w:u w:val="none"/>
        </w:rPr>
        <w:t xml:space="preserve">5 year mode change trends </w:t>
      </w:r>
    </w:p>
    <w:p w14:paraId="11281701" w14:textId="33422A10" w:rsidR="00EF0C21" w:rsidRDefault="00EF0C21" w:rsidP="00AC4217">
      <w:pPr>
        <w:spacing w:line="276" w:lineRule="auto"/>
        <w:rPr>
          <w:rFonts w:cs="Arial"/>
        </w:rPr>
      </w:pPr>
      <w:r>
        <w:rPr>
          <w:rFonts w:cs="Arial"/>
        </w:rPr>
        <w:t xml:space="preserve">Surveys from 15 schools have been reviewed from 2018/19 to 2022/23, to gain insight into the different modes children within Slough schools use and how this has changed over time. </w:t>
      </w:r>
    </w:p>
    <w:p w14:paraId="4A0747B8" w14:textId="77777777" w:rsidR="00EF0C21" w:rsidRDefault="00EF0C21" w:rsidP="00AC4217">
      <w:pPr>
        <w:spacing w:line="276" w:lineRule="auto"/>
        <w:rPr>
          <w:rFonts w:cs="Arial"/>
        </w:rPr>
      </w:pPr>
      <w:r>
        <w:rPr>
          <w:rFonts w:cs="Arial"/>
        </w:rPr>
        <w:t>For each year school year, data from the following number of schools was obtained:</w:t>
      </w:r>
    </w:p>
    <w:p w14:paraId="14574D31" w14:textId="77777777" w:rsidR="00EF0C21" w:rsidRDefault="00EF0C21" w:rsidP="00AC4217">
      <w:pPr>
        <w:spacing w:line="276" w:lineRule="auto"/>
        <w:rPr>
          <w:rFonts w:cs="Arial"/>
        </w:rPr>
      </w:pPr>
      <w:r>
        <w:rPr>
          <w:rFonts w:cs="Arial"/>
        </w:rPr>
        <w:t>2018/19 – 8</w:t>
      </w:r>
    </w:p>
    <w:p w14:paraId="74390120" w14:textId="77777777" w:rsidR="00EF0C21" w:rsidRDefault="00EF0C21" w:rsidP="00AC4217">
      <w:pPr>
        <w:spacing w:line="276" w:lineRule="auto"/>
        <w:rPr>
          <w:rFonts w:cs="Arial"/>
        </w:rPr>
      </w:pPr>
      <w:r>
        <w:rPr>
          <w:rFonts w:cs="Arial"/>
        </w:rPr>
        <w:t>2019/20 – 8</w:t>
      </w:r>
    </w:p>
    <w:p w14:paraId="49ED2EE5" w14:textId="77777777" w:rsidR="00EF0C21" w:rsidRDefault="00EF0C21" w:rsidP="00AC4217">
      <w:pPr>
        <w:spacing w:line="276" w:lineRule="auto"/>
        <w:rPr>
          <w:rFonts w:cs="Arial"/>
        </w:rPr>
      </w:pPr>
      <w:r>
        <w:rPr>
          <w:rFonts w:cs="Arial"/>
        </w:rPr>
        <w:t xml:space="preserve">2020/21 – 4 </w:t>
      </w:r>
    </w:p>
    <w:p w14:paraId="2B2CF437" w14:textId="77777777" w:rsidR="00EF0C21" w:rsidRDefault="00EF0C21" w:rsidP="00AC4217">
      <w:pPr>
        <w:spacing w:line="276" w:lineRule="auto"/>
        <w:rPr>
          <w:rFonts w:cs="Arial"/>
        </w:rPr>
      </w:pPr>
      <w:r>
        <w:rPr>
          <w:rFonts w:cs="Arial"/>
        </w:rPr>
        <w:t xml:space="preserve">2021/22 – 4 </w:t>
      </w:r>
    </w:p>
    <w:p w14:paraId="76A1A078" w14:textId="77777777" w:rsidR="00EF0C21" w:rsidRPr="003B2BEE" w:rsidRDefault="00EF0C21" w:rsidP="00AC4217">
      <w:pPr>
        <w:spacing w:line="276" w:lineRule="auto"/>
        <w:rPr>
          <w:rFonts w:cs="Arial"/>
        </w:rPr>
      </w:pPr>
      <w:r>
        <w:rPr>
          <w:rFonts w:cs="Arial"/>
        </w:rPr>
        <w:t xml:space="preserve">2022/23 – 6 </w:t>
      </w:r>
    </w:p>
    <w:p w14:paraId="3196082B" w14:textId="77777777" w:rsidR="00EF0C21" w:rsidRDefault="00EF0C21" w:rsidP="00AC4217">
      <w:pPr>
        <w:spacing w:line="276" w:lineRule="auto"/>
        <w:rPr>
          <w:rFonts w:cs="Arial"/>
        </w:rPr>
      </w:pPr>
      <w:r>
        <w:rPr>
          <w:rFonts w:cs="Arial"/>
        </w:rPr>
        <w:t xml:space="preserve">The distribution of mode choices has been averaged across all participating schools, to provide an overall summary of mode choices across schools in Slough. Possible mode choices include walking, cycling, scooting or skating, car sharing, car (single passenger), park and stride (parking elsewhere and walking the remainder of the journey), public bus, and school bus. Taxi and train journey data was removed from this review as only a very small number of schools reported taxi use in 2018/19 and 2019/2020, and very few pupils travelled by train. </w:t>
      </w:r>
    </w:p>
    <w:p w14:paraId="63C414BD" w14:textId="32CE6695" w:rsidR="00EF0C21" w:rsidRDefault="00EF0C21" w:rsidP="00AC4217">
      <w:pPr>
        <w:spacing w:line="276" w:lineRule="auto"/>
        <w:rPr>
          <w:rFonts w:cs="Arial"/>
        </w:rPr>
      </w:pPr>
      <w:r>
        <w:rPr>
          <w:rFonts w:cs="Arial"/>
        </w:rPr>
        <w:t xml:space="preserve">It should be noted however that only one school has collected data </w:t>
      </w:r>
      <w:r w:rsidR="00215BCE">
        <w:rPr>
          <w:rFonts w:cs="Arial"/>
        </w:rPr>
        <w:t xml:space="preserve">every year </w:t>
      </w:r>
      <w:r>
        <w:rPr>
          <w:rFonts w:cs="Arial"/>
        </w:rPr>
        <w:t>from 2018/19 to 2022/23, whereas the other schools have only provided data for the first few years or the last few years, therefore trends across the sample period may not be reflective of the true change in mode choice over time for each school. This is primarily due to schools signing up to Modeshift STARS at different times and the pandemic resulting in school disruption reducing the number of surveys being undertaken, therefore resulting in significant data gaps. It should be noted also that there may be factors which affect schools differently, for example, accessibility via active travel modes, or alternative parking provision for park and stride mode. It is recommended that these results are validated by resurvey</w:t>
      </w:r>
      <w:r w:rsidR="00215BCE">
        <w:rPr>
          <w:rFonts w:cs="Arial"/>
        </w:rPr>
        <w:t>ing</w:t>
      </w:r>
      <w:r>
        <w:rPr>
          <w:rFonts w:cs="Arial"/>
        </w:rPr>
        <w:t xml:space="preserve"> all of the schools to determine if the trends are accurate.  </w:t>
      </w:r>
    </w:p>
    <w:p w14:paraId="745C7C8F" w14:textId="77777777" w:rsidR="00EF0C21" w:rsidRPr="00215BCE" w:rsidRDefault="00EF0C21" w:rsidP="00215BCE">
      <w:pPr>
        <w:pStyle w:val="AQAPText"/>
        <w:rPr>
          <w:rStyle w:val="Hyperlink"/>
          <w:b/>
          <w:bCs/>
          <w:color w:val="auto"/>
          <w:u w:val="none"/>
        </w:rPr>
      </w:pPr>
      <w:r w:rsidRPr="00215BCE">
        <w:rPr>
          <w:rStyle w:val="Hyperlink"/>
          <w:b/>
          <w:bCs/>
          <w:color w:val="auto"/>
          <w:u w:val="none"/>
        </w:rPr>
        <w:t xml:space="preserve">Usual and preferred mode choices </w:t>
      </w:r>
    </w:p>
    <w:p w14:paraId="1B237B5A" w14:textId="77777777" w:rsidR="00EF0C21" w:rsidRDefault="00EF0C21" w:rsidP="00AC4217">
      <w:pPr>
        <w:spacing w:line="276" w:lineRule="auto"/>
        <w:rPr>
          <w:rFonts w:cs="Arial"/>
        </w:rPr>
      </w:pPr>
      <w:r>
        <w:rPr>
          <w:rFonts w:cs="Arial"/>
        </w:rPr>
        <w:t xml:space="preserve">A sample of three primary schools has been selected to compare the usual and preferred modes of travel, described as ‘School A’, ‘School B’ and ‘School C’ for anonymity reasons. </w:t>
      </w:r>
    </w:p>
    <w:p w14:paraId="3B3FF9D9" w14:textId="77777777" w:rsidR="00EF0C21" w:rsidRDefault="00EF0C21" w:rsidP="00AC4217">
      <w:pPr>
        <w:spacing w:line="276" w:lineRule="auto"/>
        <w:rPr>
          <w:rFonts w:cs="Arial"/>
        </w:rPr>
      </w:pPr>
      <w:r>
        <w:rPr>
          <w:rFonts w:cs="Arial"/>
        </w:rPr>
        <w:t>School A is a school nearby the town centre, in a predominantly urban area. School B is a school located towards the east of Slough, within a residential area with close access to green space. School C is in a similar environment, surrounded by residential dwellings but closer to a main road. All schools are therefore accessible by sustainable travel modes, however some have better access than others.</w:t>
      </w:r>
    </w:p>
    <w:p w14:paraId="2060BE9E" w14:textId="4BDC0CFA" w:rsidR="00EF0C21" w:rsidRDefault="00EF0C21" w:rsidP="00AC4217">
      <w:pPr>
        <w:spacing w:line="276" w:lineRule="auto"/>
        <w:rPr>
          <w:rFonts w:cs="Arial"/>
        </w:rPr>
      </w:pPr>
      <w:r>
        <w:rPr>
          <w:rFonts w:cs="Arial"/>
        </w:rPr>
        <w:t xml:space="preserve">These schools have been chosen as they had the largest datasets collected during </w:t>
      </w:r>
      <w:r w:rsidR="00215BCE">
        <w:rPr>
          <w:rFonts w:cs="Arial"/>
        </w:rPr>
        <w:t>H</w:t>
      </w:r>
      <w:r>
        <w:rPr>
          <w:rFonts w:cs="Arial"/>
        </w:rPr>
        <w:t xml:space="preserve">ands </w:t>
      </w:r>
      <w:r w:rsidR="00215BCE">
        <w:rPr>
          <w:rFonts w:cs="Arial"/>
        </w:rPr>
        <w:t>U</w:t>
      </w:r>
      <w:r>
        <w:rPr>
          <w:rFonts w:cs="Arial"/>
        </w:rPr>
        <w:t xml:space="preserve">p surveys (approximately 500 participating pupils on average). The samples are taken from different periods of the year, in March 2022, May 2021 and February 2022, to observe whether warmer months had an influence on mode choice when compared to a cooler month. </w:t>
      </w:r>
    </w:p>
    <w:p w14:paraId="3A7D837F" w14:textId="77777777" w:rsidR="00EF0C21" w:rsidRDefault="00EF0C21" w:rsidP="00AC4217">
      <w:pPr>
        <w:spacing w:line="276" w:lineRule="auto"/>
        <w:rPr>
          <w:rFonts w:cs="Arial"/>
        </w:rPr>
      </w:pPr>
      <w:r>
        <w:rPr>
          <w:rFonts w:cs="Arial"/>
        </w:rPr>
        <w:t xml:space="preserve">This review aims to provide insight also into how pupils would like to travel and the potential reasons for why their preferred mode of choice is not their usual mode of choice, and potential options to facilitate these modes. </w:t>
      </w:r>
    </w:p>
    <w:p w14:paraId="7C2A7FA4" w14:textId="77777777" w:rsidR="00EF0C21" w:rsidRPr="00215BCE" w:rsidRDefault="00EF0C21" w:rsidP="00215BCE">
      <w:pPr>
        <w:pStyle w:val="AQAPText"/>
        <w:rPr>
          <w:rStyle w:val="Hyperlink"/>
          <w:b/>
          <w:bCs/>
          <w:color w:val="auto"/>
          <w:u w:val="none"/>
        </w:rPr>
      </w:pPr>
      <w:r w:rsidRPr="00215BCE">
        <w:rPr>
          <w:rStyle w:val="Hyperlink"/>
          <w:b/>
          <w:bCs/>
          <w:color w:val="auto"/>
          <w:u w:val="none"/>
        </w:rPr>
        <w:t xml:space="preserve">Age group influence on mode choice </w:t>
      </w:r>
    </w:p>
    <w:p w14:paraId="5913B19F" w14:textId="3CF85FF8" w:rsidR="00215BCE" w:rsidRDefault="00215BCE" w:rsidP="00AC4217">
      <w:pPr>
        <w:spacing w:line="276" w:lineRule="auto"/>
        <w:rPr>
          <w:rFonts w:cs="Arial"/>
        </w:rPr>
      </w:pPr>
      <w:r>
        <w:rPr>
          <w:rFonts w:cs="Arial"/>
        </w:rPr>
        <w:t>T</w:t>
      </w:r>
      <w:r w:rsidR="00EF0C21">
        <w:rPr>
          <w:rFonts w:cs="Arial"/>
        </w:rPr>
        <w:t xml:space="preserve">wo of the above described anonymised schools have been subject to a more in-depth review, to determine whether the age of the student has an influence on the mode choice (School A and School B). School A includes children from Reception through to Year 6, plus a sample of staff travel modes, whilst School B includes Year 4 to Year 6. These schools were chosen due to having the broadest and most complete and detailed datasets, with 532 participants for School A and 152 participants for School B. It should be noted that a dataset from May 2022 was used for School B as the May 2021 dataset used for the ‘usual and preferred mode choices’ review did not separate participations by age group, therefore a smaller, more detailed dataset was chosen to review the influence of age on mode choice. </w:t>
      </w:r>
    </w:p>
    <w:p w14:paraId="297EEB82" w14:textId="2BD85734" w:rsidR="00EF0C21" w:rsidRPr="00AC4217" w:rsidRDefault="0025036F" w:rsidP="0025036F">
      <w:pPr>
        <w:pStyle w:val="Heading2"/>
        <w:numPr>
          <w:ilvl w:val="1"/>
          <w:numId w:val="81"/>
        </w:numPr>
        <w:rPr>
          <w:rStyle w:val="Hyperlink"/>
          <w:color w:val="008938"/>
          <w:sz w:val="24"/>
          <w:szCs w:val="24"/>
          <w:u w:val="none"/>
        </w:rPr>
      </w:pPr>
      <w:r>
        <w:rPr>
          <w:rStyle w:val="Hyperlink"/>
          <w:color w:val="008938"/>
          <w:sz w:val="24"/>
          <w:szCs w:val="24"/>
          <w:u w:val="none"/>
        </w:rPr>
        <w:t xml:space="preserve"> </w:t>
      </w:r>
      <w:bookmarkStart w:id="421" w:name="_Toc160129644"/>
      <w:r w:rsidR="00EF0C21" w:rsidRPr="00AC4217">
        <w:rPr>
          <w:rStyle w:val="Hyperlink"/>
          <w:color w:val="008938"/>
          <w:sz w:val="24"/>
          <w:szCs w:val="24"/>
          <w:u w:val="none"/>
        </w:rPr>
        <w:t>Results</w:t>
      </w:r>
      <w:bookmarkEnd w:id="421"/>
      <w:r w:rsidR="00EF0C21" w:rsidRPr="00AC4217">
        <w:rPr>
          <w:rStyle w:val="Hyperlink"/>
          <w:color w:val="008938"/>
          <w:sz w:val="24"/>
          <w:szCs w:val="24"/>
          <w:u w:val="none"/>
        </w:rPr>
        <w:t xml:space="preserve"> </w:t>
      </w:r>
    </w:p>
    <w:p w14:paraId="051DAA67" w14:textId="77777777" w:rsidR="00EF0C21" w:rsidRPr="00AC4217" w:rsidRDefault="00EF0C21" w:rsidP="00AC4217">
      <w:pPr>
        <w:pStyle w:val="AQAPText"/>
        <w:rPr>
          <w:rStyle w:val="Hyperlink"/>
          <w:b/>
          <w:bCs/>
          <w:color w:val="auto"/>
          <w:u w:val="none"/>
        </w:rPr>
      </w:pPr>
      <w:r w:rsidRPr="00AC4217">
        <w:rPr>
          <w:rStyle w:val="Hyperlink"/>
          <w:b/>
          <w:bCs/>
          <w:color w:val="auto"/>
          <w:u w:val="none"/>
        </w:rPr>
        <w:t xml:space="preserve">5 year trend </w:t>
      </w:r>
    </w:p>
    <w:p w14:paraId="5E1EF287" w14:textId="3F13C528" w:rsidR="00EF0C21" w:rsidRDefault="00C32E8C" w:rsidP="00AC4217">
      <w:pPr>
        <w:spacing w:line="276" w:lineRule="auto"/>
        <w:rPr>
          <w:rFonts w:cs="Arial"/>
        </w:rPr>
      </w:pPr>
      <w:r>
        <w:rPr>
          <w:rFonts w:cs="Arial"/>
        </w:rPr>
        <w:t xml:space="preserve">Figure E.11 </w:t>
      </w:r>
      <w:r w:rsidR="00EF0C21">
        <w:rPr>
          <w:rFonts w:cs="Arial"/>
        </w:rPr>
        <w:t xml:space="preserve">shows the results of the 15 analysed schools. The most popular mode choice is walking, which has been the most voted mode choice across the entire sample period. This is followed by car share and car (single child). </w:t>
      </w:r>
    </w:p>
    <w:p w14:paraId="644B1F53" w14:textId="77777777" w:rsidR="00EF0C21" w:rsidRDefault="00EF0C21" w:rsidP="00AC4217">
      <w:pPr>
        <w:spacing w:line="276" w:lineRule="auto"/>
        <w:rPr>
          <w:rFonts w:cs="Arial"/>
        </w:rPr>
      </w:pPr>
      <w:r>
        <w:rPr>
          <w:rFonts w:cs="Arial"/>
        </w:rPr>
        <w:t xml:space="preserve">Across all schools in Slough on average, in 2018/19, 39% of pupils walked to school, whilst 23% travelled to school via a car sharing arrangement, and 18% travelled in a car individually. 10% of pupils travelled to school via public bus and &lt;1% travelled via a dedicated school bus. A small quantity of pupils cycle or scooter to school, at 4% for both. </w:t>
      </w:r>
    </w:p>
    <w:p w14:paraId="30FD9DC7" w14:textId="77777777" w:rsidR="00EF0C21" w:rsidRDefault="00EF0C21" w:rsidP="00AC4217">
      <w:pPr>
        <w:spacing w:line="276" w:lineRule="auto"/>
        <w:rPr>
          <w:rFonts w:cs="Arial"/>
        </w:rPr>
      </w:pPr>
      <w:r>
        <w:rPr>
          <w:rFonts w:cs="Arial"/>
        </w:rPr>
        <w:t xml:space="preserve">By 2018/19, walking, cycling and scooting increased by 5%, 3% and 4%, respectively, whilst single child car travel reduced by 8%. Car sharing also increased marginally by 1%. </w:t>
      </w:r>
    </w:p>
    <w:p w14:paraId="0C9AA0FB" w14:textId="77777777" w:rsidR="00EF0C21" w:rsidRDefault="00EF0C21" w:rsidP="00AC4217">
      <w:pPr>
        <w:spacing w:line="276" w:lineRule="auto"/>
        <w:rPr>
          <w:rFonts w:cs="Arial"/>
        </w:rPr>
      </w:pPr>
      <w:r>
        <w:rPr>
          <w:rFonts w:cs="Arial"/>
        </w:rPr>
        <w:t xml:space="preserve">In 2020/21, the proportion of children walking to school peaked at 51%. This trend was also matched by increased scooting at 10%. The proportion of children cycling to school however dropped from 7% to 4%, and public bus use from 7% to 1%. </w:t>
      </w:r>
    </w:p>
    <w:p w14:paraId="231E6DD0" w14:textId="77777777" w:rsidR="00EF0C21" w:rsidRDefault="00EF0C21" w:rsidP="00AC4217">
      <w:pPr>
        <w:spacing w:line="276" w:lineRule="auto"/>
        <w:rPr>
          <w:rFonts w:cs="Arial"/>
        </w:rPr>
      </w:pPr>
      <w:r>
        <w:rPr>
          <w:rFonts w:cs="Arial"/>
        </w:rPr>
        <w:t xml:space="preserve">2020/21 to 2022/23 saw a rapid increase in single child car use, rising from 11% to 38%, whilst the proportion of children walking to school decreased to 42%. There was however an increase in ‘park and stride’, peaking at 10%. Cycling, scooting and car sharing all fell to 3% by 2022/23, whilst use of public and school buses increased by 1% and 4% respectively. </w:t>
      </w:r>
    </w:p>
    <w:p w14:paraId="4F180769" w14:textId="7C25036F" w:rsidR="00C32E8C" w:rsidRPr="003E44CA" w:rsidRDefault="00C32E8C" w:rsidP="00C32E8C">
      <w:pPr>
        <w:pStyle w:val="Figures"/>
      </w:pPr>
      <w:bookmarkStart w:id="422" w:name="_Toc160129379"/>
      <w:r>
        <w:t>Figure E.11: Annual school travel mode proportions from 2018/19 to 2022/23</w:t>
      </w:r>
      <w:bookmarkEnd w:id="422"/>
    </w:p>
    <w:p w14:paraId="616799FB" w14:textId="77777777" w:rsidR="00EF0C21" w:rsidRDefault="00EF0C21" w:rsidP="00EF0C21">
      <w:pPr>
        <w:rPr>
          <w:rFonts w:cs="Arial"/>
        </w:rPr>
      </w:pPr>
      <w:r>
        <w:rPr>
          <w:noProof/>
        </w:rPr>
        <w:drawing>
          <wp:inline distT="0" distB="0" distL="0" distR="0" wp14:anchorId="221B2DF5" wp14:editId="29DEABFC">
            <wp:extent cx="5731510" cy="4072270"/>
            <wp:effectExtent l="0" t="0" r="2540" b="4445"/>
            <wp:docPr id="1109599340" name="Chart 1" descr="A graph showing the annual school travel modes from 2018/19 to 2022/23. Walking is the most popular mode on average, however single child car use has rapidly increased from 2020/21 onwards. All other modes are relatively low. ">
              <a:extLst xmlns:a="http://schemas.openxmlformats.org/drawingml/2006/main">
                <a:ext uri="{FF2B5EF4-FFF2-40B4-BE49-F238E27FC236}">
                  <a16:creationId xmlns:a16="http://schemas.microsoft.com/office/drawing/2014/main" id="{41E92863-FE31-9C90-F3BC-A7EE6214E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E8B0EB8" w14:textId="0C0456FB" w:rsidR="00EF0C21" w:rsidRDefault="00EF0C21" w:rsidP="00EF0C21">
      <w:pPr>
        <w:spacing w:line="276" w:lineRule="auto"/>
        <w:rPr>
          <w:rFonts w:cs="Arial"/>
        </w:rPr>
      </w:pPr>
      <w:r>
        <w:rPr>
          <w:rFonts w:cs="Arial"/>
        </w:rPr>
        <w:t xml:space="preserve">The prevalence of walking modes, despite increases in single child car use, is very positive from an active travel and air quality perspective. It is likely that those who choose to walk to school live in close proximity to the school. It is possible that the surveys undertaken in 2021/22 are reflective of the impacts of the Covid-19 pandemic, which may explain the sudden drop in public bus use and an increase in walking, as a result of social distancing measures. An increase in single child car use by 2022/23 will have negative impacts on congestion and subsequently air quality and public health, therefore an </w:t>
      </w:r>
      <w:r w:rsidR="00215BCE">
        <w:rPr>
          <w:rFonts w:cs="Arial"/>
        </w:rPr>
        <w:t>element</w:t>
      </w:r>
      <w:r>
        <w:rPr>
          <w:rFonts w:cs="Arial"/>
        </w:rPr>
        <w:t xml:space="preserve"> of the</w:t>
      </w:r>
      <w:r w:rsidR="00215BCE">
        <w:rPr>
          <w:rFonts w:cs="Arial"/>
        </w:rPr>
        <w:t xml:space="preserve"> school partnership work within the</w:t>
      </w:r>
      <w:r>
        <w:rPr>
          <w:rFonts w:cs="Arial"/>
        </w:rPr>
        <w:t xml:space="preserve"> AQAP will focus on reducing single occupancy school vehicle trips. </w:t>
      </w:r>
    </w:p>
    <w:p w14:paraId="17C08F33" w14:textId="77777777" w:rsidR="00EF0C21" w:rsidRPr="00AC4217" w:rsidRDefault="00EF0C21" w:rsidP="00AC4217">
      <w:pPr>
        <w:pStyle w:val="AQAPText"/>
        <w:rPr>
          <w:rStyle w:val="Hyperlink"/>
          <w:b/>
          <w:bCs/>
          <w:color w:val="auto"/>
          <w:u w:val="none"/>
        </w:rPr>
      </w:pPr>
      <w:r w:rsidRPr="00AC4217">
        <w:rPr>
          <w:rStyle w:val="Hyperlink"/>
          <w:b/>
          <w:bCs/>
          <w:color w:val="auto"/>
          <w:u w:val="none"/>
        </w:rPr>
        <w:t xml:space="preserve">Usual and preferred mode choices </w:t>
      </w:r>
    </w:p>
    <w:p w14:paraId="51424FA6" w14:textId="4C3FC4A7" w:rsidR="00EF0C21" w:rsidRDefault="00C32E8C" w:rsidP="00EF0C21">
      <w:pPr>
        <w:spacing w:line="276" w:lineRule="auto"/>
        <w:rPr>
          <w:rFonts w:cs="Arial"/>
        </w:rPr>
      </w:pPr>
      <w:r>
        <w:rPr>
          <w:rFonts w:cs="Arial"/>
        </w:rPr>
        <w:t xml:space="preserve">Figure E.12 </w:t>
      </w:r>
      <w:r w:rsidR="00EF0C21" w:rsidRPr="00772A35">
        <w:rPr>
          <w:rFonts w:cs="Arial"/>
        </w:rPr>
        <w:t>shows the usual mode choices for School A, School B and School C. Similarly to the 5 year trend analysis, walking is the most common mode choice at School A and School B at 57% and 42%</w:t>
      </w:r>
      <w:r w:rsidR="005E33C1">
        <w:rPr>
          <w:rFonts w:cs="Arial"/>
        </w:rPr>
        <w:t>,</w:t>
      </w:r>
      <w:r w:rsidR="00EF0C21" w:rsidRPr="00772A35">
        <w:rPr>
          <w:rFonts w:cs="Arial"/>
        </w:rPr>
        <w:t xml:space="preserve"> respectively. In contrast however, only 28% of pupils walk to school at School C</w:t>
      </w:r>
      <w:r w:rsidR="00EF0C21">
        <w:rPr>
          <w:rFonts w:cs="Arial"/>
        </w:rPr>
        <w:t>, although this school has the highest proportion of pupils who travel to school via park and stride at 13%</w:t>
      </w:r>
      <w:r w:rsidR="00EF0C21" w:rsidRPr="00772A35">
        <w:rPr>
          <w:rFonts w:cs="Arial"/>
        </w:rPr>
        <w:t xml:space="preserve">. In regards to cycling, School A has the lowest proportion of children who travel to school via this mode at 2%, followed by School C at 5% and School B at 13%. </w:t>
      </w:r>
      <w:r w:rsidR="00EF0C21">
        <w:rPr>
          <w:rFonts w:cs="Arial"/>
        </w:rPr>
        <w:t xml:space="preserve">Scooting appears to be a more popular mode choice at both School A and School C when compared to cycling, at 3% and 6% respectively. Use of both private and school buses is low across all three schools at under 1% on average. </w:t>
      </w:r>
    </w:p>
    <w:p w14:paraId="77F66F04" w14:textId="77777777" w:rsidR="00EF0C21" w:rsidRDefault="00EF0C21" w:rsidP="00EF0C21">
      <w:pPr>
        <w:spacing w:line="276" w:lineRule="auto"/>
        <w:rPr>
          <w:rFonts w:cs="Arial"/>
        </w:rPr>
      </w:pPr>
      <w:r>
        <w:rPr>
          <w:rFonts w:cs="Arial"/>
        </w:rPr>
        <w:t xml:space="preserve">At School B, car sharing is the second most common mode choice at 23%, whereas at School A and School C, car sharing is very low at 1% and 2%, respectively. Both School A and School C have a high proportion of pupils who travel as a single child by car, at 31% and 44%, respectively. </w:t>
      </w:r>
    </w:p>
    <w:p w14:paraId="440DD2E1" w14:textId="1559F804" w:rsidR="00EF0C21" w:rsidRDefault="00C32E8C" w:rsidP="00EF0C21">
      <w:pPr>
        <w:spacing w:line="276" w:lineRule="auto"/>
        <w:rPr>
          <w:rFonts w:cs="Arial"/>
        </w:rPr>
      </w:pPr>
      <w:r>
        <w:rPr>
          <w:rFonts w:cs="Arial"/>
        </w:rPr>
        <w:t>Figure E.13</w:t>
      </w:r>
      <w:r w:rsidR="00EF0C21">
        <w:rPr>
          <w:rFonts w:cs="Arial"/>
        </w:rPr>
        <w:t xml:space="preserve"> in comparison presents the preferred mode of choice for School A, School B and School C. For all schools, the proportion of children who prefer to walk to school is less than those who currently walk to school, by 15% on average. A similar occurrence is observed for park and stride, which has reduced by 4% on average. This is balanced however by a significant increase in the proportion of children who would prefer to cycle to school, from 2% to 19% at School A, 13% to 46% at School B, and 5% to 25% at School C. The proportion of children who would prefer to scooter to school has also increased across all schools in comparison to usual, by 7% on average. Other modes have also increased by a smaller degree, including train (1%), public bus (1%), school bus (2%), and scooter (2%) on average across all three schools. </w:t>
      </w:r>
    </w:p>
    <w:p w14:paraId="615FE744" w14:textId="77777777" w:rsidR="00EF0C21" w:rsidRDefault="00EF0C21" w:rsidP="00EF0C21">
      <w:pPr>
        <w:spacing w:line="276" w:lineRule="auto"/>
        <w:rPr>
          <w:rFonts w:cs="Arial"/>
        </w:rPr>
      </w:pPr>
      <w:r>
        <w:rPr>
          <w:rFonts w:cs="Arial"/>
        </w:rPr>
        <w:t xml:space="preserve">In contrast, the proportion of children who would prefer to travel to school by car has dropped at all schools, from 31% to 14% at School A, 11% to 2% at School B, and 44% to 22% at School C. A mixed result is observed for car shares, which has increased at School A by 2% and School C by 3%, whereas School A car shares have reduced by 12%. </w:t>
      </w:r>
    </w:p>
    <w:p w14:paraId="55D50060" w14:textId="77777777" w:rsidR="00C32E8C" w:rsidRDefault="00C32E8C" w:rsidP="00EF0C21">
      <w:pPr>
        <w:spacing w:line="276" w:lineRule="auto"/>
        <w:rPr>
          <w:rFonts w:cs="Arial"/>
        </w:rPr>
      </w:pPr>
    </w:p>
    <w:p w14:paraId="23E18DC7" w14:textId="77777777" w:rsidR="00C32E8C" w:rsidRDefault="00C32E8C" w:rsidP="00EF0C21">
      <w:pPr>
        <w:spacing w:line="276" w:lineRule="auto"/>
        <w:rPr>
          <w:rFonts w:cs="Arial"/>
        </w:rPr>
      </w:pPr>
    </w:p>
    <w:p w14:paraId="38293D0B" w14:textId="69451A32" w:rsidR="00C32E8C" w:rsidRDefault="00C32E8C" w:rsidP="00C32E8C">
      <w:pPr>
        <w:pStyle w:val="Figures"/>
      </w:pPr>
      <w:bookmarkStart w:id="423" w:name="_Toc160129380"/>
      <w:r>
        <w:t>Figure E.12: Comparison of usual travel modes between School A - C</w:t>
      </w:r>
      <w:bookmarkEnd w:id="423"/>
    </w:p>
    <w:p w14:paraId="3737FA43" w14:textId="77777777" w:rsidR="00EF0C21" w:rsidRDefault="00EF0C21" w:rsidP="00EF0C21">
      <w:pPr>
        <w:rPr>
          <w:rFonts w:cs="Arial"/>
        </w:rPr>
      </w:pPr>
      <w:r>
        <w:rPr>
          <w:noProof/>
        </w:rPr>
        <w:drawing>
          <wp:inline distT="0" distB="0" distL="0" distR="0" wp14:anchorId="4057A993" wp14:editId="082D7F5A">
            <wp:extent cx="5731510" cy="3421380"/>
            <wp:effectExtent l="0" t="0" r="2540" b="7620"/>
            <wp:docPr id="1133599324" name="Chart 1" descr="A graph showing the distribution of usual travel modes to school at School A, B and C. School A has the highest amount of pupils who walk to school, whereas School C has the highest number of pupils who are driven to school ">
              <a:extLst xmlns:a="http://schemas.openxmlformats.org/drawingml/2006/main">
                <a:ext uri="{FF2B5EF4-FFF2-40B4-BE49-F238E27FC236}">
                  <a16:creationId xmlns:a16="http://schemas.microsoft.com/office/drawing/2014/main" id="{4AA38A2C-A86E-422A-AD3C-44D8834335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EB2BF86" w14:textId="4D5C4EBA" w:rsidR="00C32E8C" w:rsidRDefault="00C32E8C" w:rsidP="00C32E8C">
      <w:pPr>
        <w:pStyle w:val="Figures"/>
      </w:pPr>
      <w:bookmarkStart w:id="424" w:name="_Toc160129381"/>
      <w:r>
        <w:t>Figure E.13: Comparison of preferred travel modes between School A - C</w:t>
      </w:r>
      <w:bookmarkEnd w:id="424"/>
    </w:p>
    <w:p w14:paraId="7988BF04" w14:textId="77777777" w:rsidR="00EF0C21" w:rsidRDefault="00EF0C21" w:rsidP="00EF0C21">
      <w:pPr>
        <w:rPr>
          <w:rFonts w:cs="Arial"/>
        </w:rPr>
      </w:pPr>
      <w:r>
        <w:rPr>
          <w:noProof/>
        </w:rPr>
        <w:drawing>
          <wp:inline distT="0" distB="0" distL="0" distR="0" wp14:anchorId="77870CC7" wp14:editId="160AC779">
            <wp:extent cx="5731510" cy="4017010"/>
            <wp:effectExtent l="0" t="0" r="2540" b="2540"/>
            <wp:docPr id="1105040542" name="Chart 1" descr="A graph showing the distribution of preferred travel modes to school at School A, B and C. In all cases, fewer pupils would prefer to be driven to school, and a greater amount of pupils would prefer to cycle ">
              <a:extLst xmlns:a="http://schemas.openxmlformats.org/drawingml/2006/main">
                <a:ext uri="{FF2B5EF4-FFF2-40B4-BE49-F238E27FC236}">
                  <a16:creationId xmlns:a16="http://schemas.microsoft.com/office/drawing/2014/main" id="{D93581D2-4708-4F85-94BD-8682967B8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E150520" w14:textId="72CC33CE" w:rsidR="00EF0C21" w:rsidRDefault="00EF0C21" w:rsidP="00AC4217">
      <w:pPr>
        <w:spacing w:line="276" w:lineRule="auto"/>
        <w:rPr>
          <w:rFonts w:cs="Arial"/>
        </w:rPr>
      </w:pPr>
      <w:r>
        <w:rPr>
          <w:rFonts w:cs="Arial"/>
        </w:rPr>
        <w:t xml:space="preserve">There are a number of different factors which may influence the mode choices described above. When considering the time of year, the likelihood of colder weather appears to correlate with a higher prevalence of single child car modes as the School C sample was taken in February, whereas the lowest proportion of single child car modes occurred at School B which was surveyed in May, suggesting that time of year and/or weather may have an influence on mode choice as travelling in poor weather may be seen as unpleasant or inconvenient. </w:t>
      </w:r>
    </w:p>
    <w:p w14:paraId="57725C17" w14:textId="3A7AD06F" w:rsidR="00EF0C21" w:rsidRDefault="00EF0C21" w:rsidP="00AC4217">
      <w:pPr>
        <w:spacing w:line="276" w:lineRule="auto"/>
        <w:rPr>
          <w:rFonts w:cs="Arial"/>
        </w:rPr>
      </w:pPr>
      <w:r>
        <w:rPr>
          <w:rFonts w:cs="Arial"/>
        </w:rPr>
        <w:t xml:space="preserve">Access and safety may also be contributing factors. </w:t>
      </w:r>
      <w:r w:rsidR="005E33C1">
        <w:rPr>
          <w:rFonts w:cs="Arial"/>
        </w:rPr>
        <w:t>For example, c</w:t>
      </w:r>
      <w:r>
        <w:rPr>
          <w:rFonts w:cs="Arial"/>
        </w:rPr>
        <w:t xml:space="preserve">rossing major roads may be a significant barrier for cycle and scooting modes at School A and C, which both have residential areas divided by a major road, whereas School B is predominantly residential and subsequently has a greater proportion of cycling and scooting. </w:t>
      </w:r>
    </w:p>
    <w:p w14:paraId="5943B26C" w14:textId="77777777" w:rsidR="00EF0C21" w:rsidRDefault="00EF0C21" w:rsidP="00AC4217">
      <w:pPr>
        <w:spacing w:line="276" w:lineRule="auto"/>
        <w:rPr>
          <w:rFonts w:cs="Arial"/>
        </w:rPr>
      </w:pPr>
      <w:r>
        <w:rPr>
          <w:rFonts w:cs="Arial"/>
        </w:rPr>
        <w:t xml:space="preserve">It is evident from the results that a number of children in the three schools have a strong interest in cycling to school, and although driving to school is a usual common mode choice, evidence suggests that it may not be the child who is choosing to travel in this mode. </w:t>
      </w:r>
    </w:p>
    <w:p w14:paraId="1520D1CC" w14:textId="77777777" w:rsidR="00EF0C21" w:rsidRPr="00AC4217" w:rsidRDefault="00EF0C21" w:rsidP="00AC4217">
      <w:pPr>
        <w:pStyle w:val="AQAPText"/>
        <w:spacing w:line="276" w:lineRule="auto"/>
        <w:rPr>
          <w:rStyle w:val="Hyperlink"/>
          <w:b/>
          <w:bCs/>
          <w:color w:val="auto"/>
          <w:u w:val="none"/>
        </w:rPr>
      </w:pPr>
      <w:r w:rsidRPr="00AC4217">
        <w:rPr>
          <w:rStyle w:val="Hyperlink"/>
          <w:b/>
          <w:bCs/>
          <w:color w:val="auto"/>
          <w:u w:val="none"/>
        </w:rPr>
        <w:t xml:space="preserve">Age group influence on mode choice </w:t>
      </w:r>
    </w:p>
    <w:p w14:paraId="271D3C8D" w14:textId="2158AE42" w:rsidR="00EF0C21" w:rsidRDefault="00C32E8C" w:rsidP="00AC4217">
      <w:pPr>
        <w:spacing w:line="276" w:lineRule="auto"/>
        <w:rPr>
          <w:rFonts w:cs="Arial"/>
        </w:rPr>
      </w:pPr>
      <w:r>
        <w:rPr>
          <w:rFonts w:cs="Arial"/>
        </w:rPr>
        <w:t>Figure E.14</w:t>
      </w:r>
      <w:r w:rsidR="00EF0C21">
        <w:rPr>
          <w:rFonts w:cs="Arial"/>
        </w:rPr>
        <w:t xml:space="preserve"> and </w:t>
      </w:r>
      <w:r>
        <w:rPr>
          <w:rFonts w:cs="Arial"/>
        </w:rPr>
        <w:t xml:space="preserve">Figure E.15 </w:t>
      </w:r>
      <w:r w:rsidR="00EF0C21">
        <w:rPr>
          <w:rFonts w:cs="Arial"/>
        </w:rPr>
        <w:t xml:space="preserve">below show the results of the usual and preferred mode choices for School A and School B from the example above, split into different age groups. </w:t>
      </w:r>
    </w:p>
    <w:p w14:paraId="27A8C4F7" w14:textId="1E740337" w:rsidR="00EF0C21" w:rsidRDefault="00C32E8C" w:rsidP="00AC4217">
      <w:pPr>
        <w:spacing w:line="276" w:lineRule="auto"/>
        <w:rPr>
          <w:rFonts w:cs="Arial"/>
        </w:rPr>
      </w:pPr>
      <w:r>
        <w:rPr>
          <w:rFonts w:cs="Arial"/>
        </w:rPr>
        <w:t>Figure E.14</w:t>
      </w:r>
      <w:r w:rsidR="00EF0C21">
        <w:rPr>
          <w:rFonts w:cs="Arial"/>
        </w:rPr>
        <w:t xml:space="preserve"> (School A) shows that across all age groups, walking is the most popular usual mode of choice. The highest proportion of children who usually walk to school are in Year 3 at 68%, and the lowest is Year 4 children at 51%. By comparison, school staff walk the least at 35%. This further supports the suggestion that adults have a preference for car modes compared to children. </w:t>
      </w:r>
    </w:p>
    <w:p w14:paraId="1099061C" w14:textId="77777777" w:rsidR="00EF0C21" w:rsidRDefault="00EF0C21" w:rsidP="00AC4217">
      <w:pPr>
        <w:spacing w:line="276" w:lineRule="auto"/>
        <w:rPr>
          <w:rFonts w:cs="Arial"/>
        </w:rPr>
      </w:pPr>
      <w:r>
        <w:rPr>
          <w:rFonts w:cs="Arial"/>
        </w:rPr>
        <w:t>Second to walking, single child car use is highest across all age groups, with Year 4 pupils travelling by car the most at 41%, and Year 3 pupils travelling by car the least at 23%. Use of car shares by comparison is very low at 0.9% on average (highest for Year 1 pupils at 4%).</w:t>
      </w:r>
    </w:p>
    <w:p w14:paraId="598C137F" w14:textId="77777777" w:rsidR="00EF0C21" w:rsidRDefault="00EF0C21" w:rsidP="00AC4217">
      <w:pPr>
        <w:spacing w:line="276" w:lineRule="auto"/>
        <w:rPr>
          <w:rFonts w:cs="Arial"/>
        </w:rPr>
      </w:pPr>
      <w:r>
        <w:rPr>
          <w:rFonts w:cs="Arial"/>
        </w:rPr>
        <w:t xml:space="preserve">Cycling is not a common usual mode choice, at 2% on average across all children age groups, however scooting is more common, at 3% on average (highest for Reception age children at 9%). Use of public or school buses is not common for School A (&lt;0.2% on average across children age groups) and train modes are not used by any pupils. Park and stride is only used by Year 3 and Year 6 pupils at 4% and 6% respectively, but is used more commonly by school staff at 29%. </w:t>
      </w:r>
    </w:p>
    <w:p w14:paraId="6DD4D93C" w14:textId="17EFBE4F" w:rsidR="00EF0C21" w:rsidRDefault="00EF0C21" w:rsidP="00EF0C21">
      <w:pPr>
        <w:spacing w:line="276" w:lineRule="auto"/>
        <w:rPr>
          <w:rFonts w:cs="Arial"/>
        </w:rPr>
      </w:pPr>
      <w:r>
        <w:rPr>
          <w:rFonts w:cs="Arial"/>
        </w:rPr>
        <w:t xml:space="preserve">When comparing to preferred mode choices, similarly to other results in this section,  walking reduced for all age groups. The biggest drop is observed for Year 4 pupils by 33%, followed by Year 3 by 25%, and Year 5 and Year 6 by 20% each. By comparison, school staff would prefer to walk to school by an increase of 6%. This is balanced by an increase in cycling observed across all age groups as a preferred mode choice, highest for Reception age pupils at 30%, and lowest for Year 3 pupils at 4%.  Year 3 and Year 4 pupils however would prefer to scooter to school, at </w:t>
      </w:r>
      <w:r w:rsidR="005E33C1">
        <w:rPr>
          <w:rFonts w:cs="Arial"/>
        </w:rPr>
        <w:t xml:space="preserve">a </w:t>
      </w:r>
      <w:r>
        <w:rPr>
          <w:rFonts w:cs="Arial"/>
        </w:rPr>
        <w:t xml:space="preserve">10% and 18% increase relative to usual travel modes. There is interest in travelling to school via school bus for Year 2 and Year 5 aged children at 8% and 11% , respectively, and an interest in car sharing predominantly for Year 1 aged pupils (14% increase). </w:t>
      </w:r>
    </w:p>
    <w:p w14:paraId="199EB46E" w14:textId="242CBDD3" w:rsidR="00EF0C21" w:rsidRDefault="00EF0C21" w:rsidP="00EF0C21">
      <w:pPr>
        <w:spacing w:line="276" w:lineRule="auto"/>
        <w:rPr>
          <w:rFonts w:cs="Arial"/>
        </w:rPr>
      </w:pPr>
      <w:r>
        <w:rPr>
          <w:rFonts w:cs="Arial"/>
        </w:rPr>
        <w:t xml:space="preserve">Similarly to previously discussed results, the proportion of children who would prefer to travel to school by car (single child occupant) has reduced overall by 17% on average, but the biggest reduction is observed for Year 5 pupils (26%) and </w:t>
      </w:r>
      <w:r w:rsidR="005E33C1">
        <w:rPr>
          <w:rFonts w:cs="Arial"/>
        </w:rPr>
        <w:t>a</w:t>
      </w:r>
      <w:r>
        <w:rPr>
          <w:rFonts w:cs="Arial"/>
        </w:rPr>
        <w:t xml:space="preserve"> smaller reduction is observed for Year 4 pupils (2%). </w:t>
      </w:r>
    </w:p>
    <w:p w14:paraId="787CAD82" w14:textId="77777777" w:rsidR="00EF0C21" w:rsidRDefault="00EF0C21" w:rsidP="00EF0C21">
      <w:pPr>
        <w:pStyle w:val="AQAPText"/>
        <w:spacing w:line="276" w:lineRule="auto"/>
      </w:pPr>
      <w:r>
        <w:t xml:space="preserve">In summary, children at School A predominantly travel to school by walking and single child car modes. There does not appear to be a correlation between the age of the children and the mode that they usually use to travel to school, as the proportion of pupils who travel by various modes is very similar across age groups, for example 55% of Reception age children usually walk to school, which is similar to Year 6 children where 56% usually walk to school. This is also the case with car modes, as a greater proportion of Year 4 pupils are driven to school (41%) when compared to Year 1 and Year 2 pupils (29% and 38%, respectively). </w:t>
      </w:r>
    </w:p>
    <w:p w14:paraId="6219545A" w14:textId="77777777" w:rsidR="00EF0C21" w:rsidRDefault="00EF0C21" w:rsidP="00EF0C21">
      <w:pPr>
        <w:spacing w:line="276" w:lineRule="auto"/>
        <w:rPr>
          <w:rFonts w:cs="Arial"/>
        </w:rPr>
      </w:pPr>
      <w:r>
        <w:rPr>
          <w:rFonts w:cs="Arial"/>
        </w:rPr>
        <w:t xml:space="preserve">Although cycling as a usual travel mode is low, there are a significant proportion of children across all age groups who would prefer to travel to school by bike.  </w:t>
      </w:r>
    </w:p>
    <w:p w14:paraId="00C5F1EB" w14:textId="77777777" w:rsidR="00EF0C21" w:rsidRDefault="00EF0C21" w:rsidP="00EF0C21">
      <w:pPr>
        <w:spacing w:line="276" w:lineRule="auto"/>
        <w:rPr>
          <w:rFonts w:cs="Arial"/>
        </w:rPr>
      </w:pPr>
      <w:r>
        <w:rPr>
          <w:rFonts w:cs="Arial"/>
        </w:rPr>
        <w:t xml:space="preserve">It is possible that proximity to school may have an influence on mode choice, however data is not available by postcode therefore to determine this, a more detailed study would be required. </w:t>
      </w:r>
    </w:p>
    <w:p w14:paraId="44DE6317" w14:textId="1283B12F" w:rsidR="00EF0C21" w:rsidRDefault="00EF0C21" w:rsidP="00EF0C21">
      <w:pPr>
        <w:pStyle w:val="AQAPText"/>
        <w:spacing w:line="276" w:lineRule="auto"/>
      </w:pPr>
      <w:r>
        <w:t xml:space="preserve">School B results shown in </w:t>
      </w:r>
      <w:r w:rsidR="00C32E8C">
        <w:t>Figure E.15</w:t>
      </w:r>
      <w:r>
        <w:t xml:space="preserve"> are provided for Year 4, 5 and 6. As with School A, walking to school is the most common mode choice for all age groups, however the highest prevalence of walking to school is for Year 6 pupils at 52%, whilst the lowest prevalence is for Year 4 pupils at 44%. Park and stride is also a popular mode choice, with 28% of Year 5 pupils usually using this option to travel to school, followed by Year 6 at 27%, and Year 4 at 11%. </w:t>
      </w:r>
    </w:p>
    <w:p w14:paraId="228C5555" w14:textId="52F187E5" w:rsidR="00EF0C21" w:rsidRDefault="00EF0C21" w:rsidP="00EF0C21">
      <w:pPr>
        <w:pStyle w:val="AQAPText"/>
        <w:spacing w:line="276" w:lineRule="auto"/>
      </w:pPr>
      <w:r>
        <w:t xml:space="preserve">The next most popular mode choice on average across all age groups is the single child car mode at 13%, however this is more common for Year 4 (23%) when compared to Year 5 (10%) and Year 6 (5%). Neither Year 4 nor Year 6 pupils travelled to school via car share, whereas 7% of Year 5 pupils used this mode. In regards to cycling, 13% </w:t>
      </w:r>
      <w:r w:rsidR="005E33C1">
        <w:t>of</w:t>
      </w:r>
      <w:r>
        <w:t xml:space="preserve"> both Year 4 and Year 6 pupils used this mode, followed by 7% </w:t>
      </w:r>
      <w:r w:rsidR="005E33C1">
        <w:t>of</w:t>
      </w:r>
      <w:r>
        <w:t xml:space="preserve"> Year 5 pupils, and the proportion of pupils scooting to school is lower at 5% for Year 4, 3% for Year 5 and 2% for Year 6. Remaining modes including public and school bus, train and motorbike are low across year groups, with 2% of Year 6 pupils using the public bus, and 3% of Year 4 using the school bus, whilst all other modes are 0%. </w:t>
      </w:r>
    </w:p>
    <w:p w14:paraId="7CB25300" w14:textId="74C8C81D" w:rsidR="00EF0C21" w:rsidRDefault="00EF0C21" w:rsidP="00EF0C21">
      <w:pPr>
        <w:pStyle w:val="AQAPText"/>
        <w:spacing w:line="276" w:lineRule="auto"/>
      </w:pPr>
      <w:r>
        <w:t xml:space="preserve">When comparing usual to preferred mode choices, the proportion of children who would prefer to walk to school reduces across all age groups, with the greatest reduction at 26% for Year 6, followed by 14% for Year 5 and 7% for Year 4. Park and stride has also reduced across all age groups, with a 26% reduction for Year 6, 10% reduction for Year 5 and an 8% reduction for Year 4. This is balanced however by an increase in cycling preference, highest for Year 6 pupils at 42%, followed by 33% for Year 4 pupils, and 24% for Year 5 pupils. Scooting preference has also increased but to a lesser extent, at 2%, 7% and 10% for Year 4, 5 and 6, respectively. Single child car travel as a preferred mode choice has reduced by 20% for Year 4, followed by 3% for Year 5 and 2% for Year 6, although it should be noted that car modes as a usual travel choice for Year 5 and 6 are already low. Modes including public bus, school bus, motorbike and car share have either remained at zero or </w:t>
      </w:r>
      <w:r w:rsidR="005E33C1">
        <w:t xml:space="preserve">have </w:t>
      </w:r>
      <w:r>
        <w:t xml:space="preserve">slightly reduced, whilst train mode has slightly increased. </w:t>
      </w:r>
    </w:p>
    <w:p w14:paraId="60271EE2" w14:textId="77777777" w:rsidR="00EF0C21" w:rsidRDefault="00EF0C21" w:rsidP="00EF0C21">
      <w:pPr>
        <w:pStyle w:val="AQAPText"/>
        <w:spacing w:line="276" w:lineRule="auto"/>
      </w:pPr>
      <w:r>
        <w:t xml:space="preserve">In contrast with School A, the data suggests that there may be a correlation between active travel modes in younger children (Year 4) when compared to older children (Year 6). Overall, 18% of Year 4 pupils travel via active travel modes (walking, cycling and scooting), compared to a 23% for Year 6. A negative correlation can be seen for single child car travel, which is highest for Year 4 at 23%, and lowest for Year 6 at 5%. It should be noted however that the difference between Year 4 and Year 6 using active travel modes is only 3 pupils, so if a correlation exists, the significance is small. </w:t>
      </w:r>
    </w:p>
    <w:p w14:paraId="57D8B5EB" w14:textId="351692AC" w:rsidR="00EF0C21" w:rsidRPr="00AC4217" w:rsidRDefault="00AC4217" w:rsidP="0025036F">
      <w:pPr>
        <w:pStyle w:val="Heading2"/>
        <w:numPr>
          <w:ilvl w:val="1"/>
          <w:numId w:val="81"/>
        </w:numPr>
        <w:rPr>
          <w:rStyle w:val="Hyperlink"/>
          <w:color w:val="008938"/>
          <w:sz w:val="24"/>
          <w:szCs w:val="24"/>
          <w:u w:val="none"/>
        </w:rPr>
      </w:pPr>
      <w:r>
        <w:rPr>
          <w:rStyle w:val="Hyperlink"/>
          <w:color w:val="008938"/>
          <w:sz w:val="24"/>
          <w:szCs w:val="24"/>
          <w:u w:val="none"/>
        </w:rPr>
        <w:t xml:space="preserve"> </w:t>
      </w:r>
      <w:bookmarkStart w:id="425" w:name="_Toc160129645"/>
      <w:r w:rsidR="00EF0C21" w:rsidRPr="00AC4217">
        <w:rPr>
          <w:rStyle w:val="Hyperlink"/>
          <w:color w:val="008938"/>
          <w:sz w:val="24"/>
          <w:szCs w:val="24"/>
          <w:u w:val="none"/>
        </w:rPr>
        <w:t>Summary</w:t>
      </w:r>
      <w:bookmarkEnd w:id="425"/>
      <w:r w:rsidR="00EF0C21" w:rsidRPr="00AC4217">
        <w:rPr>
          <w:rStyle w:val="Hyperlink"/>
          <w:color w:val="008938"/>
          <w:sz w:val="24"/>
          <w:szCs w:val="24"/>
          <w:u w:val="none"/>
        </w:rPr>
        <w:t xml:space="preserve"> </w:t>
      </w:r>
    </w:p>
    <w:p w14:paraId="2FC7CED7" w14:textId="77777777" w:rsidR="00EF0C21" w:rsidRDefault="00EF0C21" w:rsidP="00EF0C21">
      <w:pPr>
        <w:pStyle w:val="AQAPText"/>
        <w:spacing w:line="276" w:lineRule="auto"/>
      </w:pPr>
      <w:r>
        <w:t xml:space="preserve">In summary, when considering trends across five years, the most popular </w:t>
      </w:r>
      <w:r w:rsidRPr="009C6FBB">
        <w:t xml:space="preserve">usual mode choice for travel to school on average across all 15 participating schools over the </w:t>
      </w:r>
      <w:r>
        <w:t xml:space="preserve">time </w:t>
      </w:r>
      <w:r w:rsidRPr="009C6FBB">
        <w:t xml:space="preserve">period </w:t>
      </w:r>
      <w:r>
        <w:t>is</w:t>
      </w:r>
      <w:r w:rsidRPr="009C6FBB">
        <w:t xml:space="preserve"> walking, peaking at 51% in 2020/21.</w:t>
      </w:r>
      <w:r>
        <w:t xml:space="preserve"> This is also the case when observing data for three specific schools (School A – C). Single child car use has increased in recent years and is currently the second most popular mode choice, peaking at 38% in 2022/23. </w:t>
      </w:r>
    </w:p>
    <w:p w14:paraId="1F56D91C" w14:textId="77777777" w:rsidR="00EF0C21" w:rsidRDefault="00EF0C21" w:rsidP="00EF0C21">
      <w:pPr>
        <w:pStyle w:val="AQAPText"/>
        <w:spacing w:line="276" w:lineRule="auto"/>
      </w:pPr>
      <w:r>
        <w:t>When considering preferred mode choices, children have a strong preference to cycle to school when</w:t>
      </w:r>
      <w:r w:rsidRPr="009C6FBB">
        <w:t xml:space="preserve"> compared to their usual travel option</w:t>
      </w:r>
      <w:r>
        <w:t>,</w:t>
      </w:r>
      <w:r w:rsidRPr="009C6FBB">
        <w:t xml:space="preserve"> rang</w:t>
      </w:r>
      <w:r>
        <w:t>ing</w:t>
      </w:r>
      <w:r w:rsidRPr="009C6FBB">
        <w:t xml:space="preserve"> from 19% - 46%. A small proportion of children would prefer to travel to school by car, ranging from 2% - 22%.</w:t>
      </w:r>
      <w:r>
        <w:t xml:space="preserve"> When examining data by year group from School A and School B, there does not appear to be a strong correlation between age and mode of transport to school, suggesting that age is not a strong factor that influences whether a child can travel to school in an active way (i.e. cycling, walking or scooting). </w:t>
      </w:r>
    </w:p>
    <w:p w14:paraId="61D3DA31" w14:textId="77777777" w:rsidR="00EF0C21" w:rsidRDefault="00EF0C21" w:rsidP="00EF0C21">
      <w:pPr>
        <w:pStyle w:val="AQAPText"/>
        <w:spacing w:line="276" w:lineRule="auto"/>
      </w:pPr>
      <w:r>
        <w:t xml:space="preserve">It is possible that there are individual factors which influence how a child may travel to school, including distance, safety, and convenience, however the data from the 5 year analysis suggests that COVID-19 may have had a more significant impact on how children travel. </w:t>
      </w:r>
    </w:p>
    <w:p w14:paraId="17666D88" w14:textId="55B205D5" w:rsidR="00EF0C21" w:rsidRDefault="00EF0C21" w:rsidP="00EF0C21">
      <w:pPr>
        <w:pStyle w:val="AQAPText"/>
        <w:spacing w:line="276" w:lineRule="auto"/>
      </w:pPr>
      <w:r>
        <w:t xml:space="preserve">Going forward, it is evident that targeted engagement with schools, children and parents is required to reduce single child occupancy car trips to school, in favour of more active, sustainable modes. In addition, improving education and increasing awareness of the links between active travel, air quality and public health is likely to contribute to this aim. </w:t>
      </w:r>
    </w:p>
    <w:p w14:paraId="4F84CB2E" w14:textId="77777777" w:rsidR="00EF0C21" w:rsidRDefault="00EF0C21" w:rsidP="00EF0C21">
      <w:pPr>
        <w:pStyle w:val="AQAPText"/>
        <w:spacing w:line="276" w:lineRule="auto"/>
      </w:pPr>
    </w:p>
    <w:p w14:paraId="34737635" w14:textId="77777777" w:rsidR="00EF0C21" w:rsidRDefault="00EF0C21" w:rsidP="00EF0C21">
      <w:pPr>
        <w:pStyle w:val="AQAPText"/>
        <w:spacing w:line="276" w:lineRule="auto"/>
        <w:sectPr w:rsidR="00EF0C21">
          <w:pgSz w:w="11906" w:h="16838"/>
          <w:pgMar w:top="1440" w:right="1440" w:bottom="1440" w:left="1440" w:header="708" w:footer="708" w:gutter="0"/>
          <w:cols w:space="708"/>
          <w:docGrid w:linePitch="360"/>
        </w:sectPr>
      </w:pPr>
    </w:p>
    <w:p w14:paraId="7E71B04B" w14:textId="756603B4" w:rsidR="00EF0C21" w:rsidRDefault="00C32E8C" w:rsidP="00EF0C21">
      <w:pPr>
        <w:rPr>
          <w:rFonts w:cs="Arial"/>
        </w:rPr>
      </w:pPr>
      <w:bookmarkStart w:id="426" w:name="_Toc160129382"/>
      <w:r w:rsidRPr="00C32E8C">
        <w:rPr>
          <w:rStyle w:val="FiguresChar"/>
        </w:rPr>
        <w:t>Figure E.14: Distribution of school travel modes by age group for School A</w:t>
      </w:r>
      <w:bookmarkEnd w:id="426"/>
      <w:r w:rsidR="00EF0C21">
        <w:rPr>
          <w:noProof/>
        </w:rPr>
        <w:drawing>
          <wp:inline distT="0" distB="0" distL="0" distR="0" wp14:anchorId="568D8692" wp14:editId="071DD699">
            <wp:extent cx="8782493" cy="5114260"/>
            <wp:effectExtent l="0" t="0" r="0" b="10795"/>
            <wp:docPr id="1482685061" name="Chart 1" descr="A graph showing the different travel modes at School A, split by year group, for both usual and preferred travel modes. Pupils would prefer to walk less and be driven less than usual, but would prefer to cycle, scoot and skate. ">
              <a:extLst xmlns:a="http://schemas.openxmlformats.org/drawingml/2006/main">
                <a:ext uri="{FF2B5EF4-FFF2-40B4-BE49-F238E27FC236}">
                  <a16:creationId xmlns:a16="http://schemas.microsoft.com/office/drawing/2014/main" id="{B511BF83-9926-5FFD-74C9-FCC69ED788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0AF17CD" w14:textId="457DF8BC" w:rsidR="00EF0C21" w:rsidRDefault="00C32E8C" w:rsidP="00C32E8C">
      <w:pPr>
        <w:pStyle w:val="Figures"/>
      </w:pPr>
      <w:bookmarkStart w:id="427" w:name="_Toc160129383"/>
      <w:r>
        <w:t>Figure E.15: Distribution of school travel modes by age group for School B</w:t>
      </w:r>
      <w:bookmarkEnd w:id="427"/>
    </w:p>
    <w:p w14:paraId="2830DF74" w14:textId="77777777" w:rsidR="00EF0C21" w:rsidRDefault="00EF0C21" w:rsidP="00EF0C21">
      <w:pPr>
        <w:rPr>
          <w:rFonts w:cs="Arial"/>
        </w:rPr>
        <w:sectPr w:rsidR="00EF0C21" w:rsidSect="004C6F87">
          <w:pgSz w:w="16838" w:h="11906" w:orient="landscape"/>
          <w:pgMar w:top="1440" w:right="1440" w:bottom="1440" w:left="1440" w:header="709" w:footer="709" w:gutter="0"/>
          <w:cols w:space="708"/>
          <w:docGrid w:linePitch="360"/>
        </w:sectPr>
      </w:pPr>
      <w:r>
        <w:rPr>
          <w:noProof/>
        </w:rPr>
        <w:drawing>
          <wp:inline distT="0" distB="0" distL="0" distR="0" wp14:anchorId="0BF55493" wp14:editId="3FEFE856">
            <wp:extent cx="8441690" cy="4678326"/>
            <wp:effectExtent l="0" t="0" r="16510" b="8255"/>
            <wp:docPr id="418872021" name="Chart 1" descr="A graph showing the distribution of school travel modes at School B, split by age group, showing usual and preferred travel modes. Similar results are seen as at School A, with fewer pupils preferring to walk or be driven to school, but with an increase in cycling preference.">
              <a:extLst xmlns:a="http://schemas.openxmlformats.org/drawingml/2006/main">
                <a:ext uri="{FF2B5EF4-FFF2-40B4-BE49-F238E27FC236}">
                  <a16:creationId xmlns:a16="http://schemas.microsoft.com/office/drawing/2014/main" id="{8F415BBC-93EA-48F7-85FE-6FFE608F93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5F91FA8" w14:textId="77777777" w:rsidR="00EF0C21" w:rsidRDefault="00EF0C21" w:rsidP="00EF0C21">
      <w:pPr>
        <w:rPr>
          <w:rFonts w:cs="Arial"/>
        </w:rPr>
      </w:pPr>
    </w:p>
    <w:p w14:paraId="71406AE9" w14:textId="77777777" w:rsidR="00EF0C21" w:rsidRPr="00AC4217" w:rsidRDefault="00EF0C21" w:rsidP="0025036F">
      <w:pPr>
        <w:pStyle w:val="Heading2"/>
        <w:numPr>
          <w:ilvl w:val="0"/>
          <w:numId w:val="81"/>
        </w:numPr>
        <w:spacing w:after="0"/>
        <w:rPr>
          <w:rStyle w:val="Hyperlink"/>
          <w:color w:val="008938"/>
          <w:u w:val="none"/>
        </w:rPr>
      </w:pPr>
      <w:bookmarkStart w:id="428" w:name="_Toc160129646"/>
      <w:r w:rsidRPr="00AC4217">
        <w:rPr>
          <w:rStyle w:val="Hyperlink"/>
          <w:color w:val="008938"/>
          <w:u w:val="none"/>
        </w:rPr>
        <w:t>Thinks Report</w:t>
      </w:r>
      <w:bookmarkEnd w:id="428"/>
      <w:r w:rsidRPr="00AC4217">
        <w:rPr>
          <w:rStyle w:val="Hyperlink"/>
          <w:color w:val="008938"/>
          <w:u w:val="none"/>
        </w:rPr>
        <w:t xml:space="preserve"> </w:t>
      </w:r>
    </w:p>
    <w:p w14:paraId="4F5268A6" w14:textId="126E941D" w:rsidR="00EF0C21" w:rsidRDefault="00EF0C21" w:rsidP="00AC4217">
      <w:pPr>
        <w:spacing w:line="276" w:lineRule="auto"/>
        <w:rPr>
          <w:rFonts w:cs="Arial"/>
        </w:rPr>
      </w:pPr>
      <w:r>
        <w:rPr>
          <w:rFonts w:cs="Arial"/>
        </w:rPr>
        <w:t>The Council for the Independent Scrutiny of Heathrow Airport (CISHA) ensures independent oversight of the way Heathrow engages with stakeholders</w:t>
      </w:r>
      <w:r w:rsidR="00972610">
        <w:rPr>
          <w:rFonts w:cs="Arial"/>
        </w:rPr>
        <w:t>. CISHA</w:t>
      </w:r>
      <w:r>
        <w:rPr>
          <w:rFonts w:cs="Arial"/>
        </w:rPr>
        <w:t xml:space="preserve"> fulfils the role of Airport Consultative Committee as set out in the Section 35 of the Civil Aviation Act, to provide “adequate facilities for consultation with respect to any matter concerning the management or administration”, in this case, for Heathrow Airport. </w:t>
      </w:r>
    </w:p>
    <w:p w14:paraId="278599D3" w14:textId="77777777" w:rsidR="00EF0C21" w:rsidRDefault="00EF0C21" w:rsidP="00AC4217">
      <w:pPr>
        <w:spacing w:line="276" w:lineRule="auto"/>
        <w:rPr>
          <w:rFonts w:cs="Arial"/>
        </w:rPr>
      </w:pPr>
      <w:r w:rsidRPr="00417E48">
        <w:rPr>
          <w:rFonts w:cs="Arial"/>
        </w:rPr>
        <w:t xml:space="preserve">In meeting these requirements, CISHA oversees and coordinates the network of stakeholder engagement forums, who </w:t>
      </w:r>
      <w:r>
        <w:rPr>
          <w:rFonts w:cs="Arial"/>
        </w:rPr>
        <w:t xml:space="preserve">work with stakeholders to make progress on key issues regarding Heathrow Airport. </w:t>
      </w:r>
      <w:r w:rsidRPr="00CB781B">
        <w:rPr>
          <w:rFonts w:cs="Arial"/>
        </w:rPr>
        <w:t>Every quarter there is a formal meeting with the forum chairs and other stakeholder representatives, including Councils, the Civil Aviation Authority, the Department for Transport, the business community and airport user groups to consider issues raised by forums.</w:t>
      </w:r>
    </w:p>
    <w:p w14:paraId="4B6AEE3F" w14:textId="77777777" w:rsidR="00EF0C21" w:rsidRDefault="00EF0C21" w:rsidP="00AC4217">
      <w:pPr>
        <w:spacing w:line="276" w:lineRule="auto"/>
        <w:rPr>
          <w:rFonts w:cs="Arial"/>
        </w:rPr>
      </w:pPr>
      <w:r>
        <w:rPr>
          <w:rFonts w:cs="Arial"/>
        </w:rPr>
        <w:t xml:space="preserve">One of CISHA’s responsibilities is to ensure constructive and effective engagement between Heathrow Airport and those who are impacted by the airport, by ensuring voices are heard, effective discussions are held, and that open and honest engagement and feedback is delivered to Heathrow, the CAA and the Government. </w:t>
      </w:r>
    </w:p>
    <w:p w14:paraId="07361D81" w14:textId="77777777" w:rsidR="00AC4217" w:rsidRDefault="00EF0C21" w:rsidP="00AC4217">
      <w:pPr>
        <w:spacing w:line="276" w:lineRule="auto"/>
        <w:rPr>
          <w:rFonts w:cs="Arial"/>
        </w:rPr>
      </w:pPr>
      <w:r>
        <w:rPr>
          <w:rFonts w:cs="Arial"/>
        </w:rPr>
        <w:t xml:space="preserve">In June 2023, CISHA commissioned Thinks Insight and Strategy to conduct a public review of the local community’s views on air quality, including perceptions of Heathrow’s actions and commitments to improve air quality. </w:t>
      </w:r>
    </w:p>
    <w:p w14:paraId="7C27AE65" w14:textId="7D941EA5" w:rsidR="00EF0C21" w:rsidRPr="00AC4217" w:rsidRDefault="00EF0C21" w:rsidP="0025036F">
      <w:pPr>
        <w:pStyle w:val="Heading2"/>
        <w:numPr>
          <w:ilvl w:val="1"/>
          <w:numId w:val="34"/>
        </w:numPr>
        <w:rPr>
          <w:sz w:val="24"/>
          <w:szCs w:val="24"/>
        </w:rPr>
      </w:pPr>
      <w:bookmarkStart w:id="429" w:name="_Toc160129647"/>
      <w:r w:rsidRPr="00AC4217">
        <w:rPr>
          <w:sz w:val="24"/>
          <w:szCs w:val="24"/>
        </w:rPr>
        <w:t>Methodology</w:t>
      </w:r>
      <w:bookmarkEnd w:id="429"/>
      <w:r w:rsidRPr="00AC4217">
        <w:rPr>
          <w:sz w:val="24"/>
          <w:szCs w:val="24"/>
        </w:rPr>
        <w:t xml:space="preserve"> </w:t>
      </w:r>
    </w:p>
    <w:p w14:paraId="195A4A83" w14:textId="650DF5A1" w:rsidR="00EF0C21" w:rsidRDefault="00EF0C21" w:rsidP="00AC4217">
      <w:pPr>
        <w:spacing w:line="276" w:lineRule="auto"/>
        <w:rPr>
          <w:rFonts w:cs="Arial"/>
        </w:rPr>
      </w:pPr>
      <w:r>
        <w:rPr>
          <w:rFonts w:cs="Arial"/>
        </w:rPr>
        <w:t xml:space="preserve">The community engagement phase </w:t>
      </w:r>
      <w:r w:rsidR="00972610">
        <w:rPr>
          <w:rFonts w:cs="Arial"/>
        </w:rPr>
        <w:t xml:space="preserve">of the engagement project </w:t>
      </w:r>
      <w:r>
        <w:rPr>
          <w:rFonts w:cs="Arial"/>
        </w:rPr>
        <w:t>ran from 7</w:t>
      </w:r>
      <w:r w:rsidRPr="00417E48">
        <w:rPr>
          <w:rFonts w:cs="Arial"/>
          <w:vertAlign w:val="superscript"/>
        </w:rPr>
        <w:t>th</w:t>
      </w:r>
      <w:r>
        <w:rPr>
          <w:rFonts w:cs="Arial"/>
        </w:rPr>
        <w:t xml:space="preserve"> September to 2</w:t>
      </w:r>
      <w:r w:rsidRPr="00417E48">
        <w:rPr>
          <w:rFonts w:cs="Arial"/>
          <w:vertAlign w:val="superscript"/>
        </w:rPr>
        <w:t>nd</w:t>
      </w:r>
      <w:r>
        <w:rPr>
          <w:rFonts w:cs="Arial"/>
        </w:rPr>
        <w:t xml:space="preserve"> October 2023. Engagement included six in-person deliberative focus groups with 37 local residents, a focused survey of 754 local community residents, an open link survey of 516 respondents, 16 local community engagement events, and a webinar. This review considers the engagement and feedback from Slough only, of which there were 115 respondents</w:t>
      </w:r>
      <w:r w:rsidR="00972610">
        <w:rPr>
          <w:rFonts w:cs="Arial"/>
        </w:rPr>
        <w:t xml:space="preserve"> to the focused survey</w:t>
      </w:r>
      <w:r>
        <w:rPr>
          <w:rFonts w:cs="Arial"/>
        </w:rPr>
        <w:t>. The age brackets of respondents included 18-29, 30-44, 45-59 and 60+, with 20.9%, 25.2%, 22.6%, and 29.6% of respondents respectively</w:t>
      </w:r>
      <w:r w:rsidR="00972610">
        <w:rPr>
          <w:rFonts w:cs="Arial"/>
        </w:rPr>
        <w:t xml:space="preserve"> (t</w:t>
      </w:r>
      <w:r>
        <w:rPr>
          <w:rFonts w:cs="Arial"/>
        </w:rPr>
        <w:t>wo respondents did not provide their age</w:t>
      </w:r>
      <w:r w:rsidR="00972610">
        <w:rPr>
          <w:rFonts w:cs="Arial"/>
        </w:rPr>
        <w:t>).</w:t>
      </w:r>
    </w:p>
    <w:p w14:paraId="37E933C5" w14:textId="0FB18B35" w:rsidR="00EF0C21" w:rsidRDefault="00EF0C21" w:rsidP="00AC4217">
      <w:pPr>
        <w:spacing w:line="276" w:lineRule="auto"/>
        <w:rPr>
          <w:rFonts w:cs="Arial"/>
        </w:rPr>
      </w:pPr>
      <w:r>
        <w:rPr>
          <w:rFonts w:cs="Arial"/>
        </w:rPr>
        <w:t>The focused survey asked participants 30 questions relating to the individual</w:t>
      </w:r>
      <w:r w:rsidR="00972610">
        <w:rPr>
          <w:rFonts w:cs="Arial"/>
        </w:rPr>
        <w:t>’</w:t>
      </w:r>
      <w:r>
        <w:rPr>
          <w:rFonts w:cs="Arial"/>
        </w:rPr>
        <w:t>s perceptions of Heathrow Airport and attitudes towards air quality. Some themes included attitudes to</w:t>
      </w:r>
      <w:r w:rsidR="00972610">
        <w:rPr>
          <w:rFonts w:cs="Arial"/>
        </w:rPr>
        <w:t>wards</w:t>
      </w:r>
      <w:r>
        <w:rPr>
          <w:rFonts w:cs="Arial"/>
        </w:rPr>
        <w:t xml:space="preserve"> active or sustainable travel also, which provides beneficial insight into the behaviours and attitudes of Slough residents</w:t>
      </w:r>
      <w:r w:rsidR="00972610">
        <w:rPr>
          <w:rFonts w:cs="Arial"/>
        </w:rPr>
        <w:t xml:space="preserve"> towards this topic</w:t>
      </w:r>
      <w:r>
        <w:rPr>
          <w:rFonts w:cs="Arial"/>
        </w:rPr>
        <w:t xml:space="preserve">. </w:t>
      </w:r>
    </w:p>
    <w:p w14:paraId="0873DE8B" w14:textId="3698F7CD" w:rsidR="00EF0C21" w:rsidRDefault="00972610" w:rsidP="00AC4217">
      <w:pPr>
        <w:spacing w:line="276" w:lineRule="auto"/>
        <w:rPr>
          <w:rFonts w:cs="Arial"/>
        </w:rPr>
      </w:pPr>
      <w:r>
        <w:rPr>
          <w:rFonts w:cs="Arial"/>
        </w:rPr>
        <w:t>As such, t</w:t>
      </w:r>
      <w:r w:rsidR="00EF0C21">
        <w:rPr>
          <w:rFonts w:cs="Arial"/>
        </w:rPr>
        <w:t>he questions that focus on behaviours and attitudes have been reviewed only. Any questions specific to perceptions of Heathrow Airport and their sustainability measures has not been included as it is not relevant to S</w:t>
      </w:r>
      <w:r>
        <w:rPr>
          <w:rFonts w:cs="Arial"/>
        </w:rPr>
        <w:t>BC’</w:t>
      </w:r>
      <w:r w:rsidR="00EF0C21">
        <w:rPr>
          <w:rFonts w:cs="Arial"/>
        </w:rPr>
        <w:t>s AQAP.</w:t>
      </w:r>
    </w:p>
    <w:p w14:paraId="602D2308" w14:textId="77777777" w:rsidR="00EF0C21" w:rsidRPr="00AC4217" w:rsidRDefault="00EF0C21" w:rsidP="0025036F">
      <w:pPr>
        <w:pStyle w:val="Heading2"/>
        <w:numPr>
          <w:ilvl w:val="1"/>
          <w:numId w:val="34"/>
        </w:numPr>
        <w:rPr>
          <w:sz w:val="24"/>
          <w:szCs w:val="24"/>
        </w:rPr>
      </w:pPr>
      <w:bookmarkStart w:id="430" w:name="_Toc160129648"/>
      <w:r w:rsidRPr="00AC4217">
        <w:rPr>
          <w:sz w:val="24"/>
          <w:szCs w:val="24"/>
        </w:rPr>
        <w:t>Results</w:t>
      </w:r>
      <w:bookmarkEnd w:id="430"/>
      <w:r w:rsidRPr="00AC4217">
        <w:rPr>
          <w:sz w:val="24"/>
          <w:szCs w:val="24"/>
        </w:rPr>
        <w:t xml:space="preserve"> </w:t>
      </w:r>
    </w:p>
    <w:p w14:paraId="3EA5CE03" w14:textId="1E6BEF5A" w:rsidR="00EF0C21" w:rsidRDefault="00EF0C21" w:rsidP="00AC4217">
      <w:pPr>
        <w:spacing w:line="276" w:lineRule="auto"/>
        <w:rPr>
          <w:rFonts w:cs="Arial"/>
        </w:rPr>
      </w:pPr>
      <w:r>
        <w:rPr>
          <w:rFonts w:cs="Arial"/>
        </w:rPr>
        <w:t>The first set of questions asked respondents whether they or anyone in their household currently works at Heathrow Airport. 12 respondents answered yes to this question. In terms of the geographic distribution of respondents, 7% of respondents live within 3 miles of the airport, 19% live 3-5 miles from the airport, 49% live 5-10 miles from the airport and 19% live over 10 miles from the airport</w:t>
      </w:r>
      <w:r w:rsidR="0008433D">
        <w:rPr>
          <w:rFonts w:cs="Arial"/>
        </w:rPr>
        <w:t xml:space="preserve"> (illustrated in Figure E.16)</w:t>
      </w:r>
      <w:r>
        <w:rPr>
          <w:rFonts w:cs="Arial"/>
        </w:rPr>
        <w:t>. The majority of respondents have lived in the area for over 10 years (63%).</w:t>
      </w:r>
    </w:p>
    <w:p w14:paraId="32D6E369" w14:textId="3B938EE7" w:rsidR="00C32E8C" w:rsidRDefault="00C32E8C" w:rsidP="0008433D">
      <w:pPr>
        <w:pStyle w:val="Figures"/>
      </w:pPr>
      <w:bookmarkStart w:id="431" w:name="_Toc160129384"/>
      <w:r>
        <w:t xml:space="preserve">Figure E.16: </w:t>
      </w:r>
      <w:r w:rsidR="0008433D">
        <w:t>Geographic distribution of respondents by zone</w:t>
      </w:r>
      <w:bookmarkEnd w:id="431"/>
      <w:r w:rsidR="0008433D">
        <w:t xml:space="preserve"> </w:t>
      </w:r>
    </w:p>
    <w:p w14:paraId="066CCEFB" w14:textId="52BDACA9" w:rsidR="00972610" w:rsidRPr="00972610" w:rsidRDefault="00EF0C21" w:rsidP="00972610">
      <w:pPr>
        <w:spacing w:before="0"/>
        <w:rPr>
          <w:rFonts w:cs="Arial"/>
        </w:rPr>
      </w:pPr>
      <w:r>
        <w:rPr>
          <w:noProof/>
        </w:rPr>
        <w:drawing>
          <wp:inline distT="0" distB="0" distL="0" distR="0" wp14:anchorId="4D3BED36" wp14:editId="0300F39F">
            <wp:extent cx="5524500" cy="3525495"/>
            <wp:effectExtent l="0" t="0" r="0" b="0"/>
            <wp:docPr id="1689673325" name="Picture 1" descr="A map showing banded intervals representing the distance of respondents' dwellings relative to Heathrow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3325" name="Picture 1" descr="A map showing banded intervals representing the distance of respondents' dwellings relative to Heathrow Airport"/>
                    <pic:cNvPicPr/>
                  </pic:nvPicPr>
                  <pic:blipFill rotWithShape="1">
                    <a:blip r:embed="rId55"/>
                    <a:srcRect b="6387"/>
                    <a:stretch/>
                  </pic:blipFill>
                  <pic:spPr bwMode="auto">
                    <a:xfrm>
                      <a:off x="0" y="0"/>
                      <a:ext cx="5529843" cy="3528905"/>
                    </a:xfrm>
                    <a:prstGeom prst="rect">
                      <a:avLst/>
                    </a:prstGeom>
                    <a:ln>
                      <a:noFill/>
                    </a:ln>
                    <a:extLst>
                      <a:ext uri="{53640926-AAD7-44D8-BBD7-CCE9431645EC}">
                        <a14:shadowObscured xmlns:a14="http://schemas.microsoft.com/office/drawing/2010/main"/>
                      </a:ext>
                    </a:extLst>
                  </pic:spPr>
                </pic:pic>
              </a:graphicData>
            </a:graphic>
          </wp:inline>
        </w:drawing>
      </w:r>
      <w:r w:rsidR="00972610" w:rsidRPr="00972610">
        <w:rPr>
          <w:rFonts w:cs="Arial"/>
          <w:sz w:val="20"/>
          <w:szCs w:val="20"/>
        </w:rPr>
        <w:t>Key: orange = 0-3 miles; yellow = 3-5 miles; green = 5-10 miles; blue = &gt;10 miles.</w:t>
      </w:r>
    </w:p>
    <w:p w14:paraId="31AEEBDC" w14:textId="5BE007D7" w:rsidR="00EF0C21" w:rsidRDefault="00EF0C21" w:rsidP="00972610">
      <w:pPr>
        <w:spacing w:before="0" w:after="0" w:line="276" w:lineRule="auto"/>
        <w:rPr>
          <w:rFonts w:cs="Arial"/>
        </w:rPr>
      </w:pPr>
      <w:r>
        <w:rPr>
          <w:rFonts w:cs="Arial"/>
        </w:rPr>
        <w:t xml:space="preserve">Question 6 of the survey asked respondents </w:t>
      </w:r>
      <w:r w:rsidRPr="00CC1A53">
        <w:rPr>
          <w:rFonts w:cs="Arial"/>
        </w:rPr>
        <w:t>"</w:t>
      </w:r>
      <w:r>
        <w:rPr>
          <w:rFonts w:cs="Arial"/>
        </w:rPr>
        <w:t>w</w:t>
      </w:r>
      <w:r w:rsidRPr="00CC1A53">
        <w:rPr>
          <w:rFonts w:cs="Arial"/>
        </w:rPr>
        <w:t>hich, if any, of the following would encourage you to travel more sustainably by using public transport such as buses, trains, the underground,</w:t>
      </w:r>
      <w:r>
        <w:rPr>
          <w:rFonts w:cs="Arial"/>
        </w:rPr>
        <w:t xml:space="preserve"> </w:t>
      </w:r>
      <w:r w:rsidRPr="00CC1A53">
        <w:rPr>
          <w:rFonts w:cs="Arial"/>
        </w:rPr>
        <w:t>or active transport such as walking or cycling?"</w:t>
      </w:r>
      <w:r>
        <w:rPr>
          <w:rFonts w:cs="Arial"/>
        </w:rPr>
        <w:t xml:space="preserve">. The options provided included: </w:t>
      </w:r>
    </w:p>
    <w:p w14:paraId="3D02CA2E" w14:textId="77777777" w:rsidR="00972610" w:rsidRPr="00CC1A53" w:rsidRDefault="00972610" w:rsidP="00972610">
      <w:pPr>
        <w:spacing w:before="0" w:after="0" w:line="276" w:lineRule="auto"/>
        <w:rPr>
          <w:rFonts w:cs="Arial"/>
        </w:rPr>
      </w:pPr>
    </w:p>
    <w:p w14:paraId="1E9B3243" w14:textId="77777777" w:rsidR="00EF0C21" w:rsidRPr="00CC1A53" w:rsidRDefault="00EF0C21" w:rsidP="0025036F">
      <w:pPr>
        <w:pStyle w:val="ListParagraph"/>
        <w:numPr>
          <w:ilvl w:val="0"/>
          <w:numId w:val="64"/>
        </w:numPr>
        <w:spacing w:before="0" w:after="160" w:line="259" w:lineRule="auto"/>
        <w:contextualSpacing/>
        <w:rPr>
          <w:rFonts w:cs="Arial"/>
        </w:rPr>
      </w:pPr>
      <w:r w:rsidRPr="00CC1A53">
        <w:rPr>
          <w:rFonts w:cs="Arial"/>
        </w:rPr>
        <w:t>Incentivised sustainable travel (e.g. reward systems and loyalty points for using public transport or active travel)</w:t>
      </w:r>
    </w:p>
    <w:p w14:paraId="42E3F7ED" w14:textId="77777777" w:rsidR="00EF0C21" w:rsidRPr="00CC1A53" w:rsidRDefault="00EF0C21" w:rsidP="0025036F">
      <w:pPr>
        <w:pStyle w:val="ListParagraph"/>
        <w:numPr>
          <w:ilvl w:val="0"/>
          <w:numId w:val="64"/>
        </w:numPr>
        <w:spacing w:before="0" w:after="160" w:line="259" w:lineRule="auto"/>
        <w:contextualSpacing/>
        <w:rPr>
          <w:rFonts w:cs="Arial"/>
        </w:rPr>
      </w:pPr>
      <w:r w:rsidRPr="00CC1A53">
        <w:rPr>
          <w:rFonts w:cs="Arial"/>
        </w:rPr>
        <w:t>Cheaper sustainable travel (e.g. discounted travel on public transport)</w:t>
      </w:r>
    </w:p>
    <w:p w14:paraId="3EAB12CB" w14:textId="77777777" w:rsidR="00EF0C21" w:rsidRPr="00CC1A53" w:rsidRDefault="00EF0C21" w:rsidP="0025036F">
      <w:pPr>
        <w:pStyle w:val="ListParagraph"/>
        <w:numPr>
          <w:ilvl w:val="0"/>
          <w:numId w:val="64"/>
        </w:numPr>
        <w:spacing w:before="0" w:after="160" w:line="259" w:lineRule="auto"/>
        <w:contextualSpacing/>
        <w:rPr>
          <w:rFonts w:cs="Arial"/>
        </w:rPr>
      </w:pPr>
      <w:r w:rsidRPr="00CC1A53">
        <w:rPr>
          <w:rFonts w:cs="Arial"/>
        </w:rPr>
        <w:t>Better active travel infrastructure (e.g. more cycle lanes and parking, better lit pedestrian walkways)</w:t>
      </w:r>
    </w:p>
    <w:p w14:paraId="43FCCB77" w14:textId="77777777" w:rsidR="00EF0C21" w:rsidRPr="00CC1A53" w:rsidRDefault="00EF0C21" w:rsidP="0025036F">
      <w:pPr>
        <w:pStyle w:val="ListParagraph"/>
        <w:numPr>
          <w:ilvl w:val="0"/>
          <w:numId w:val="64"/>
        </w:numPr>
        <w:spacing w:before="0" w:after="160" w:line="276" w:lineRule="auto"/>
        <w:contextualSpacing/>
        <w:rPr>
          <w:rFonts w:cs="Arial"/>
        </w:rPr>
      </w:pPr>
      <w:r w:rsidRPr="00CC1A53">
        <w:rPr>
          <w:rFonts w:cs="Arial"/>
        </w:rPr>
        <w:t>Wider public transport links and services (e.g. more frequent bus or train services, more routes and fewer changes)</w:t>
      </w:r>
    </w:p>
    <w:p w14:paraId="54166647" w14:textId="77777777" w:rsidR="00EF0C21" w:rsidRDefault="00EF0C21" w:rsidP="0025036F">
      <w:pPr>
        <w:pStyle w:val="ListParagraph"/>
        <w:numPr>
          <w:ilvl w:val="0"/>
          <w:numId w:val="64"/>
        </w:numPr>
        <w:spacing w:before="0" w:after="160" w:line="276" w:lineRule="auto"/>
        <w:contextualSpacing/>
        <w:rPr>
          <w:rFonts w:cs="Arial"/>
        </w:rPr>
      </w:pPr>
      <w:r w:rsidRPr="00CC1A53">
        <w:rPr>
          <w:rFonts w:cs="Arial"/>
        </w:rPr>
        <w:t>Better public transport infrastructure and environment (e.g. more accessible train stations or tram stops, more wheelchair space on trains and buses)</w:t>
      </w:r>
    </w:p>
    <w:p w14:paraId="7A5E87A8" w14:textId="77777777" w:rsidR="00EF0C21" w:rsidRDefault="00EF0C21" w:rsidP="0025036F">
      <w:pPr>
        <w:pStyle w:val="ListParagraph"/>
        <w:numPr>
          <w:ilvl w:val="0"/>
          <w:numId w:val="64"/>
        </w:numPr>
        <w:spacing w:before="0" w:after="160" w:line="276" w:lineRule="auto"/>
        <w:contextualSpacing/>
        <w:rPr>
          <w:rFonts w:cs="Arial"/>
        </w:rPr>
      </w:pPr>
      <w:r w:rsidRPr="00CC1A53">
        <w:rPr>
          <w:rFonts w:cs="Arial"/>
        </w:rPr>
        <w:t>Other</w:t>
      </w:r>
    </w:p>
    <w:p w14:paraId="17873E61" w14:textId="77777777" w:rsidR="00EF0C21" w:rsidRDefault="00EF0C21" w:rsidP="0025036F">
      <w:pPr>
        <w:pStyle w:val="ListParagraph"/>
        <w:numPr>
          <w:ilvl w:val="0"/>
          <w:numId w:val="64"/>
        </w:numPr>
        <w:spacing w:before="0" w:after="160" w:line="276" w:lineRule="auto"/>
        <w:contextualSpacing/>
        <w:rPr>
          <w:rFonts w:cs="Arial"/>
        </w:rPr>
      </w:pPr>
      <w:r w:rsidRPr="00CC1A53">
        <w:rPr>
          <w:rFonts w:cs="Arial"/>
        </w:rPr>
        <w:t>None of the above</w:t>
      </w:r>
    </w:p>
    <w:p w14:paraId="72275293" w14:textId="39FED393" w:rsidR="0008433D" w:rsidRPr="0008433D" w:rsidRDefault="0008433D" w:rsidP="0008433D">
      <w:pPr>
        <w:pStyle w:val="Figures"/>
      </w:pPr>
      <w:bookmarkStart w:id="432" w:name="_Toc160129385"/>
      <w:r>
        <w:t>Figure E.17: Distribution of responses regarding sustainable transport modes</w:t>
      </w:r>
      <w:bookmarkEnd w:id="432"/>
    </w:p>
    <w:p w14:paraId="3A70DCF1" w14:textId="77777777" w:rsidR="00EF0C21" w:rsidRDefault="00EF0C21" w:rsidP="00AC4217">
      <w:pPr>
        <w:spacing w:line="276" w:lineRule="auto"/>
        <w:rPr>
          <w:rFonts w:cs="Arial"/>
        </w:rPr>
      </w:pPr>
      <w:r>
        <w:rPr>
          <w:noProof/>
        </w:rPr>
        <w:drawing>
          <wp:inline distT="0" distB="0" distL="0" distR="0" wp14:anchorId="43749171" wp14:editId="46347506">
            <wp:extent cx="5797550" cy="2940050"/>
            <wp:effectExtent l="0" t="0" r="12700" b="12700"/>
            <wp:docPr id="387526304" name="Chart 1" descr="A graph showing the distribution of responses regarding sustainable transport modes. Respondents voted that cheaper sustainable transport and wider public transport links are most likely to encourage them to travel sustainably ">
              <a:extLst xmlns:a="http://schemas.openxmlformats.org/drawingml/2006/main">
                <a:ext uri="{FF2B5EF4-FFF2-40B4-BE49-F238E27FC236}">
                  <a16:creationId xmlns:a16="http://schemas.microsoft.com/office/drawing/2014/main" id="{6770C431-9768-415D-B1C2-A6B716658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6D8CAE4" w14:textId="19FF1CCE" w:rsidR="00EF0C21" w:rsidRDefault="00EF0C21" w:rsidP="00AC4217">
      <w:pPr>
        <w:spacing w:line="276" w:lineRule="auto"/>
        <w:rPr>
          <w:rFonts w:cs="Arial"/>
        </w:rPr>
      </w:pPr>
      <w:r>
        <w:rPr>
          <w:rFonts w:cs="Arial"/>
        </w:rPr>
        <w:t>The results</w:t>
      </w:r>
      <w:r w:rsidR="0008433D">
        <w:rPr>
          <w:rFonts w:cs="Arial"/>
        </w:rPr>
        <w:t xml:space="preserve"> shown in Figure E.17</w:t>
      </w:r>
      <w:r>
        <w:rPr>
          <w:rFonts w:cs="Arial"/>
        </w:rPr>
        <w:t xml:space="preserve"> indicate that cheaper sustainable travel was most likely to result in Slough residents travelling more sustainably at 28%, closely followed by wider public transport links and services at 23% and better public transport infrastructure at 19%. Incentivised sustainable travel and better active travel infrastructure was considered the least effective at 12% and 11%, respectively. </w:t>
      </w:r>
    </w:p>
    <w:p w14:paraId="15EC4F4B" w14:textId="77777777" w:rsidR="00EF0C21" w:rsidRDefault="00EF0C21" w:rsidP="00AC4217">
      <w:pPr>
        <w:spacing w:line="276" w:lineRule="auto"/>
        <w:rPr>
          <w:rFonts w:cs="Arial"/>
        </w:rPr>
      </w:pPr>
      <w:r>
        <w:rPr>
          <w:rFonts w:cs="Arial"/>
        </w:rPr>
        <w:t>Question 7 asked respondents how concerned they were about air quality, with options including ‘very concerned’, ‘fairly concerned’, ‘not very concerned’, ‘not at all concerned’ and ‘don’t know’. Overall, there was a fairly even split between those who were and were not concerned about air quality. 12% of respondents were very concerned, followed by 43% who were fairly concerned about air quality (55% in total). 37% of respondents voted that they were ‘not very concerned’ about air quality, and 8% voted that they were ‘not at all concerned’ (44% in total).</w:t>
      </w:r>
    </w:p>
    <w:p w14:paraId="25AAA825" w14:textId="77777777" w:rsidR="00EF0C21" w:rsidRDefault="00EF0C21" w:rsidP="00AC4217">
      <w:pPr>
        <w:spacing w:line="276" w:lineRule="auto"/>
        <w:rPr>
          <w:rFonts w:cs="Arial"/>
        </w:rPr>
      </w:pPr>
      <w:r>
        <w:rPr>
          <w:rFonts w:cs="Arial"/>
        </w:rPr>
        <w:t xml:space="preserve">When asked how they felt air quality had changed in the last five years (question 8) 45% believed that air quality had worsened, whereas 42% believed that there had been no change. 11% of respondents did not know, and 2% believed air quality had improved. </w:t>
      </w:r>
    </w:p>
    <w:p w14:paraId="1F015A40" w14:textId="489B6AAB" w:rsidR="00EF0C21" w:rsidRDefault="00EF0C21" w:rsidP="00AC4217">
      <w:pPr>
        <w:spacing w:line="276" w:lineRule="auto"/>
        <w:rPr>
          <w:rFonts w:cs="Arial"/>
        </w:rPr>
      </w:pPr>
      <w:r>
        <w:rPr>
          <w:rFonts w:cs="Arial"/>
        </w:rPr>
        <w:t xml:space="preserve">Question 9 asked respondents what sources they believed were responsible for air pollution in the area. Options included car traffic, congestion, trucks/vans/lorries, aircraft, airport activities, construction, industry, train/underground, fireplaces, or none of the above. Respondents were able to select multiple answers. </w:t>
      </w:r>
      <w:r w:rsidR="0008433D">
        <w:rPr>
          <w:rFonts w:cs="Arial"/>
        </w:rPr>
        <w:t xml:space="preserve">Figure E.18 </w:t>
      </w:r>
      <w:r>
        <w:rPr>
          <w:rFonts w:cs="Arial"/>
        </w:rPr>
        <w:t>shows the distribution of responses. In total, 52% of respondents believed that vehicle traffic contribute</w:t>
      </w:r>
      <w:r w:rsidR="00972610">
        <w:rPr>
          <w:rFonts w:cs="Arial"/>
        </w:rPr>
        <w:t>d</w:t>
      </w:r>
      <w:r>
        <w:rPr>
          <w:rFonts w:cs="Arial"/>
        </w:rPr>
        <w:t xml:space="preserve"> significantly towards poor air quality in their local area, with car traffic </w:t>
      </w:r>
      <w:r w:rsidR="00972610">
        <w:rPr>
          <w:rFonts w:cs="Arial"/>
        </w:rPr>
        <w:t xml:space="preserve">and congestion voted </w:t>
      </w:r>
      <w:r>
        <w:rPr>
          <w:rFonts w:cs="Arial"/>
        </w:rPr>
        <w:t>the highest contributor</w:t>
      </w:r>
      <w:r w:rsidR="00972610">
        <w:rPr>
          <w:rFonts w:cs="Arial"/>
        </w:rPr>
        <w:t>s</w:t>
      </w:r>
      <w:r>
        <w:rPr>
          <w:rFonts w:cs="Arial"/>
        </w:rPr>
        <w:t xml:space="preserve"> at 18%</w:t>
      </w:r>
      <w:r w:rsidR="00972610">
        <w:rPr>
          <w:rFonts w:cs="Arial"/>
        </w:rPr>
        <w:t xml:space="preserve"> and 17%, respectively</w:t>
      </w:r>
      <w:r>
        <w:rPr>
          <w:rFonts w:cs="Arial"/>
        </w:rPr>
        <w:t>.</w:t>
      </w:r>
      <w:r w:rsidR="00972610">
        <w:rPr>
          <w:rFonts w:cs="Arial"/>
        </w:rPr>
        <w:t xml:space="preserve"> </w:t>
      </w:r>
      <w:r w:rsidR="00325B7D">
        <w:rPr>
          <w:rFonts w:cs="Arial"/>
        </w:rPr>
        <w:t>Many respondents (</w:t>
      </w:r>
      <w:r>
        <w:rPr>
          <w:rFonts w:cs="Arial"/>
        </w:rPr>
        <w:t>16%</w:t>
      </w:r>
      <w:r w:rsidR="00325B7D">
        <w:rPr>
          <w:rFonts w:cs="Arial"/>
        </w:rPr>
        <w:t>)</w:t>
      </w:r>
      <w:r>
        <w:rPr>
          <w:rFonts w:cs="Arial"/>
        </w:rPr>
        <w:t xml:space="preserve"> </w:t>
      </w:r>
      <w:r w:rsidR="00325B7D">
        <w:rPr>
          <w:rFonts w:cs="Arial"/>
        </w:rPr>
        <w:t>voted</w:t>
      </w:r>
      <w:r>
        <w:rPr>
          <w:rFonts w:cs="Arial"/>
        </w:rPr>
        <w:t xml:space="preserve"> that aircraft was one of the most significant contributors to poor air quality, followed by industry and construction at 12% and 8%, respectively. Interestingly, fireplaces only received 2% of votes, despite scientific evidence being widely available on PM</w:t>
      </w:r>
      <w:r w:rsidRPr="00A23144">
        <w:rPr>
          <w:rFonts w:cs="Arial"/>
          <w:vertAlign w:val="subscript"/>
        </w:rPr>
        <w:t xml:space="preserve">2.5 </w:t>
      </w:r>
      <w:r>
        <w:rPr>
          <w:rFonts w:cs="Arial"/>
        </w:rPr>
        <w:t xml:space="preserve">emissions which result from wood burning. </w:t>
      </w:r>
    </w:p>
    <w:p w14:paraId="0489511C" w14:textId="5F53BCAA" w:rsidR="0008433D" w:rsidRDefault="0008433D" w:rsidP="0008433D">
      <w:pPr>
        <w:pStyle w:val="Figures"/>
      </w:pPr>
      <w:bookmarkStart w:id="433" w:name="_Toc160129386"/>
      <w:r>
        <w:t>Figure E.18: Distribution of voted pollutant sources</w:t>
      </w:r>
      <w:bookmarkEnd w:id="433"/>
      <w:r>
        <w:t xml:space="preserve"> </w:t>
      </w:r>
    </w:p>
    <w:p w14:paraId="11F015AE" w14:textId="77777777" w:rsidR="00EF0C21" w:rsidRDefault="00EF0C21" w:rsidP="00AC4217">
      <w:pPr>
        <w:spacing w:line="276" w:lineRule="auto"/>
        <w:rPr>
          <w:rFonts w:cs="Arial"/>
        </w:rPr>
      </w:pPr>
      <w:r>
        <w:rPr>
          <w:noProof/>
        </w:rPr>
        <w:drawing>
          <wp:inline distT="0" distB="0" distL="0" distR="0" wp14:anchorId="15ADD8B8" wp14:editId="782175C4">
            <wp:extent cx="5861050" cy="3244850"/>
            <wp:effectExtent l="0" t="0" r="6350" b="12700"/>
            <wp:docPr id="1598125408" name="Chart 1" descr="A graph showing the pollutant sources respondents voted as being responsible for air pollution in the area. Car traffic and congestion are top voted, with aircraft emissions coming 4th. ">
              <a:extLst xmlns:a="http://schemas.openxmlformats.org/drawingml/2006/main">
                <a:ext uri="{FF2B5EF4-FFF2-40B4-BE49-F238E27FC236}">
                  <a16:creationId xmlns:a16="http://schemas.microsoft.com/office/drawing/2014/main" id="{56DE2ECD-B6F5-416E-99F9-005DF2E53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27C722D" w14:textId="3B2C7022" w:rsidR="00EF0C21" w:rsidRDefault="00EF0C21" w:rsidP="00AC4217">
      <w:pPr>
        <w:spacing w:line="276" w:lineRule="auto"/>
        <w:rPr>
          <w:rFonts w:cs="Arial"/>
        </w:rPr>
      </w:pPr>
      <w:r>
        <w:rPr>
          <w:rFonts w:cs="Arial"/>
        </w:rPr>
        <w:t xml:space="preserve">Question 13 asked respondents whether they have used or are familiar with Heathrow’s Airwatch website, which shares live air quality information recorded from 22 air quality monitoring stations around the airport. This question was reviewed to gain insight into the awareness of Slough’s residents on available air quality resources. Question 14 followed which asked of those respondents who were not previously aware of the Airwatch website, how likely were hey to access the website now they are aware of it. </w:t>
      </w:r>
      <w:r w:rsidR="0008433D">
        <w:rPr>
          <w:rFonts w:cs="Arial"/>
        </w:rPr>
        <w:t>Results are shown in Figure E.19 and Figure E.20.</w:t>
      </w:r>
    </w:p>
    <w:p w14:paraId="3B350A81" w14:textId="77777777" w:rsidR="00EF0C21" w:rsidRDefault="00EF0C21" w:rsidP="00AC4217">
      <w:pPr>
        <w:spacing w:line="276" w:lineRule="auto"/>
        <w:rPr>
          <w:rFonts w:cs="Arial"/>
        </w:rPr>
      </w:pPr>
      <w:r>
        <w:rPr>
          <w:rFonts w:cs="Arial"/>
        </w:rPr>
        <w:t xml:space="preserve">The majority of respondents (71 respondents, 62%) were not aware of the website. Of those respondents, 16% would be very likely to visit the Heathrow Airwatch website, followed by 41% that would be somewhat likely. In total, 44% would be not likely or not likely at all to visit the Heathrow Airwatch website. This could possibly be due to difficulty interpreting the information, or due to not being concerned generally with air quality. </w:t>
      </w:r>
    </w:p>
    <w:p w14:paraId="569E9F8C" w14:textId="14B045B4" w:rsidR="0008433D" w:rsidRDefault="0008433D" w:rsidP="0008433D">
      <w:pPr>
        <w:pStyle w:val="Figures"/>
      </w:pPr>
      <w:bookmarkStart w:id="434" w:name="_Toc160129387"/>
      <w:r>
        <w:t>Figure E.19: Respondent awareness of Heathrow Airwatch website</w:t>
      </w:r>
      <w:bookmarkEnd w:id="434"/>
      <w:r>
        <w:t xml:space="preserve"> </w:t>
      </w:r>
    </w:p>
    <w:p w14:paraId="7CE0CEC0" w14:textId="77777777" w:rsidR="00EF0C21" w:rsidRDefault="00EF0C21" w:rsidP="00AC4217">
      <w:pPr>
        <w:spacing w:line="276" w:lineRule="auto"/>
        <w:rPr>
          <w:rFonts w:cs="Arial"/>
        </w:rPr>
      </w:pPr>
      <w:r>
        <w:rPr>
          <w:noProof/>
        </w:rPr>
        <w:drawing>
          <wp:inline distT="0" distB="0" distL="0" distR="0" wp14:anchorId="7929408D" wp14:editId="56818CB0">
            <wp:extent cx="5784850" cy="3276600"/>
            <wp:effectExtent l="0" t="0" r="6350" b="0"/>
            <wp:docPr id="1862095626" name="Chart 1" descr="A graph showing the percentage of respondents who are aware of and have used the Heathrow Airwatch website. The majority have not at 62%. ">
              <a:extLst xmlns:a="http://schemas.openxmlformats.org/drawingml/2006/main">
                <a:ext uri="{FF2B5EF4-FFF2-40B4-BE49-F238E27FC236}">
                  <a16:creationId xmlns:a16="http://schemas.microsoft.com/office/drawing/2014/main" id="{D70D8DEB-C5AF-4B2A-930E-C5FCDB573C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7689E6D" w14:textId="6713666B" w:rsidR="00EF0C21" w:rsidRDefault="0008433D" w:rsidP="0008433D">
      <w:pPr>
        <w:pStyle w:val="Figures"/>
      </w:pPr>
      <w:bookmarkStart w:id="435" w:name="_Toc160129388"/>
      <w:r>
        <w:t>Figure E.20: Likelihood of visiting Heathrow Airwatch website</w:t>
      </w:r>
      <w:bookmarkEnd w:id="435"/>
      <w:r>
        <w:t xml:space="preserve"> </w:t>
      </w:r>
    </w:p>
    <w:p w14:paraId="63928D0B" w14:textId="77777777" w:rsidR="00EF0C21" w:rsidRDefault="00EF0C21" w:rsidP="00AC4217">
      <w:pPr>
        <w:spacing w:line="276" w:lineRule="auto"/>
        <w:rPr>
          <w:rFonts w:cs="Arial"/>
        </w:rPr>
      </w:pPr>
      <w:r>
        <w:rPr>
          <w:noProof/>
        </w:rPr>
        <w:drawing>
          <wp:inline distT="0" distB="0" distL="0" distR="0" wp14:anchorId="5E68349F" wp14:editId="3EA20713">
            <wp:extent cx="5765800" cy="3060290"/>
            <wp:effectExtent l="0" t="0" r="6350" b="6985"/>
            <wp:docPr id="914562500" name="Chart 1" descr="A graph showing the percentage of respondents who would be likely to visit the Heathrow Airwatch website. Most would likely visit (57%), however 44% would not likely visit.">
              <a:extLst xmlns:a="http://schemas.openxmlformats.org/drawingml/2006/main">
                <a:ext uri="{FF2B5EF4-FFF2-40B4-BE49-F238E27FC236}">
                  <a16:creationId xmlns:a16="http://schemas.microsoft.com/office/drawing/2014/main" id="{CA72CEA3-A0D4-47D2-B426-A59F7A8BA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839C9D9" w14:textId="77777777" w:rsidR="00EF0C21" w:rsidRDefault="00EF0C21" w:rsidP="00AC4217">
      <w:pPr>
        <w:spacing w:line="276" w:lineRule="auto"/>
        <w:rPr>
          <w:rFonts w:cs="Arial"/>
        </w:rPr>
      </w:pPr>
    </w:p>
    <w:p w14:paraId="2C013E0F" w14:textId="2F21564D" w:rsidR="00EF0C21" w:rsidRDefault="00EF0C21" w:rsidP="00AC4217">
      <w:pPr>
        <w:spacing w:line="276" w:lineRule="auto"/>
        <w:rPr>
          <w:rFonts w:cs="Arial"/>
        </w:rPr>
      </w:pPr>
      <w:r>
        <w:rPr>
          <w:rFonts w:cs="Arial"/>
        </w:rPr>
        <w:t>Question 24 asked respondents whether they agree that there should be more community involvement with Heathrow Airport’s activities in relation to air quality</w:t>
      </w:r>
      <w:r w:rsidR="00325B7D">
        <w:rPr>
          <w:rFonts w:cs="Arial"/>
        </w:rPr>
        <w:t xml:space="preserve">, with </w:t>
      </w:r>
      <w:r>
        <w:rPr>
          <w:rFonts w:cs="Arial"/>
        </w:rPr>
        <w:t>83 respondents (72%) agree</w:t>
      </w:r>
      <w:r w:rsidR="00325B7D">
        <w:rPr>
          <w:rFonts w:cs="Arial"/>
        </w:rPr>
        <w:t>ing</w:t>
      </w:r>
      <w:r>
        <w:rPr>
          <w:rFonts w:cs="Arial"/>
        </w:rPr>
        <w:t xml:space="preserve"> with this statement. Question 25 followed asking what type of engagement these respondents wanted to see</w:t>
      </w:r>
      <w:r w:rsidR="00325B7D">
        <w:rPr>
          <w:rFonts w:cs="Arial"/>
        </w:rPr>
        <w:t xml:space="preserve">, of which </w:t>
      </w:r>
      <w:r>
        <w:rPr>
          <w:rFonts w:cs="Arial"/>
        </w:rPr>
        <w:t>84% of respondents wanted to see greater community engagement and collaboration. Specific suggestions included:</w:t>
      </w:r>
    </w:p>
    <w:p w14:paraId="46B69014" w14:textId="77777777" w:rsidR="00EF0C21" w:rsidRDefault="00EF0C21" w:rsidP="0025036F">
      <w:pPr>
        <w:pStyle w:val="ListParagraph"/>
        <w:numPr>
          <w:ilvl w:val="0"/>
          <w:numId w:val="60"/>
        </w:numPr>
        <w:spacing w:before="0" w:after="160" w:line="276" w:lineRule="auto"/>
        <w:contextualSpacing/>
        <w:rPr>
          <w:rFonts w:cs="Arial"/>
        </w:rPr>
      </w:pPr>
      <w:r>
        <w:rPr>
          <w:rFonts w:cs="Arial"/>
        </w:rPr>
        <w:t xml:space="preserve">A general increase in community engagement, collaboration and awareness of issues and solutions </w:t>
      </w:r>
    </w:p>
    <w:p w14:paraId="64C225CE" w14:textId="77777777" w:rsidR="00EF0C21" w:rsidRPr="003F184A" w:rsidRDefault="00EF0C21" w:rsidP="0025036F">
      <w:pPr>
        <w:pStyle w:val="ListParagraph"/>
        <w:numPr>
          <w:ilvl w:val="0"/>
          <w:numId w:val="60"/>
        </w:numPr>
        <w:spacing w:before="0" w:after="160" w:line="276" w:lineRule="auto"/>
        <w:contextualSpacing/>
        <w:rPr>
          <w:rFonts w:cs="Arial"/>
        </w:rPr>
      </w:pPr>
      <w:r>
        <w:rPr>
          <w:rFonts w:cs="Arial"/>
        </w:rPr>
        <w:t>Transparent and honest communication of air quality and sustainable transport through advertisements, newsletters, mail and media, with regular community updates</w:t>
      </w:r>
    </w:p>
    <w:p w14:paraId="0731482D" w14:textId="77777777" w:rsidR="00EF0C21" w:rsidRDefault="00EF0C21" w:rsidP="0025036F">
      <w:pPr>
        <w:pStyle w:val="ListParagraph"/>
        <w:numPr>
          <w:ilvl w:val="0"/>
          <w:numId w:val="60"/>
        </w:numPr>
        <w:spacing w:before="0" w:after="160" w:line="276" w:lineRule="auto"/>
        <w:contextualSpacing/>
        <w:rPr>
          <w:rFonts w:cs="Arial"/>
        </w:rPr>
      </w:pPr>
      <w:r>
        <w:rPr>
          <w:rFonts w:cs="Arial"/>
        </w:rPr>
        <w:t xml:space="preserve">Collecting public opinion through surveys and polls </w:t>
      </w:r>
    </w:p>
    <w:p w14:paraId="08AA8EE3" w14:textId="77777777" w:rsidR="00EF0C21" w:rsidRDefault="00EF0C21" w:rsidP="0025036F">
      <w:pPr>
        <w:pStyle w:val="ListParagraph"/>
        <w:numPr>
          <w:ilvl w:val="0"/>
          <w:numId w:val="60"/>
        </w:numPr>
        <w:spacing w:before="0" w:after="160" w:line="276" w:lineRule="auto"/>
        <w:contextualSpacing/>
        <w:rPr>
          <w:rFonts w:cs="Arial"/>
        </w:rPr>
      </w:pPr>
      <w:r>
        <w:rPr>
          <w:rFonts w:cs="Arial"/>
        </w:rPr>
        <w:t xml:space="preserve">Hosting community meetings and events </w:t>
      </w:r>
    </w:p>
    <w:p w14:paraId="12385835" w14:textId="77777777" w:rsidR="00EF0C21" w:rsidRDefault="00EF0C21" w:rsidP="0025036F">
      <w:pPr>
        <w:pStyle w:val="ListParagraph"/>
        <w:numPr>
          <w:ilvl w:val="0"/>
          <w:numId w:val="60"/>
        </w:numPr>
        <w:spacing w:before="0" w:after="160" w:line="276" w:lineRule="auto"/>
        <w:contextualSpacing/>
        <w:rPr>
          <w:rFonts w:cs="Arial"/>
        </w:rPr>
      </w:pPr>
      <w:r>
        <w:rPr>
          <w:rFonts w:cs="Arial"/>
        </w:rPr>
        <w:t xml:space="preserve">Involving community advisory groups and local councils </w:t>
      </w:r>
    </w:p>
    <w:p w14:paraId="1512571F" w14:textId="3F24A3FD" w:rsidR="00EF0C21" w:rsidRPr="00AC4217" w:rsidRDefault="00EF0C21" w:rsidP="0025036F">
      <w:pPr>
        <w:pStyle w:val="ListParagraph"/>
        <w:numPr>
          <w:ilvl w:val="0"/>
          <w:numId w:val="60"/>
        </w:numPr>
        <w:spacing w:before="0" w:after="160" w:line="276" w:lineRule="auto"/>
        <w:contextualSpacing/>
        <w:rPr>
          <w:rFonts w:cs="Arial"/>
        </w:rPr>
      </w:pPr>
      <w:r>
        <w:rPr>
          <w:rFonts w:cs="Arial"/>
        </w:rPr>
        <w:t xml:space="preserve">Providing an online portal for residents to provide feedback </w:t>
      </w:r>
    </w:p>
    <w:p w14:paraId="7BA4F515" w14:textId="77777777" w:rsidR="00EF0C21" w:rsidRPr="00AC4217" w:rsidRDefault="00EF0C21" w:rsidP="0025036F">
      <w:pPr>
        <w:pStyle w:val="Heading2"/>
        <w:numPr>
          <w:ilvl w:val="1"/>
          <w:numId w:val="34"/>
        </w:numPr>
        <w:spacing w:line="276" w:lineRule="auto"/>
        <w:rPr>
          <w:sz w:val="24"/>
          <w:szCs w:val="24"/>
        </w:rPr>
      </w:pPr>
      <w:bookmarkStart w:id="436" w:name="_Toc160129649"/>
      <w:r w:rsidRPr="00AC4217">
        <w:rPr>
          <w:sz w:val="24"/>
          <w:szCs w:val="24"/>
        </w:rPr>
        <w:t>Summary</w:t>
      </w:r>
      <w:bookmarkEnd w:id="436"/>
    </w:p>
    <w:p w14:paraId="025B2902" w14:textId="77777777" w:rsidR="00EF0C21" w:rsidRDefault="00EF0C21" w:rsidP="00AC4217">
      <w:pPr>
        <w:spacing w:line="276" w:lineRule="auto"/>
        <w:rPr>
          <w:rFonts w:cs="Arial"/>
        </w:rPr>
      </w:pPr>
      <w:r>
        <w:rPr>
          <w:rFonts w:cs="Arial"/>
        </w:rPr>
        <w:t xml:space="preserve">In summary, a greater proportion of respondents would be encouraged to travel sustainably if travel was cheaper, better linked and with improved infrastructure. Fewer respondents however would be encouraged to travel in an active mode. </w:t>
      </w:r>
    </w:p>
    <w:p w14:paraId="7E40E74C" w14:textId="77777777" w:rsidR="00EF0C21" w:rsidRDefault="00EF0C21" w:rsidP="00AC4217">
      <w:pPr>
        <w:spacing w:line="276" w:lineRule="auto"/>
        <w:rPr>
          <w:rFonts w:cs="Arial"/>
        </w:rPr>
      </w:pPr>
      <w:r>
        <w:rPr>
          <w:rFonts w:cs="Arial"/>
        </w:rPr>
        <w:t xml:space="preserve">Approximately half of the respondents (55%) had concerns about air quality compared to those who were not concerned (44%), with 45% who believed that air quality had worsened in the last five years. </w:t>
      </w:r>
    </w:p>
    <w:p w14:paraId="1AF649F2" w14:textId="77777777" w:rsidR="00EF0C21" w:rsidRDefault="00EF0C21" w:rsidP="00AC4217">
      <w:pPr>
        <w:spacing w:line="276" w:lineRule="auto"/>
        <w:rPr>
          <w:rFonts w:cs="Arial"/>
        </w:rPr>
      </w:pPr>
      <w:r w:rsidRPr="00FC484F">
        <w:rPr>
          <w:rFonts w:cs="Arial"/>
        </w:rPr>
        <w:t>When asked about contributors to poor air quality, the majority of respondents (52%) believed that vehicle traffic contributes towards poor air quality</w:t>
      </w:r>
      <w:r>
        <w:rPr>
          <w:rFonts w:cs="Arial"/>
        </w:rPr>
        <w:t xml:space="preserve">, which suggests that some respondents have </w:t>
      </w:r>
      <w:r w:rsidRPr="00FC484F">
        <w:rPr>
          <w:rFonts w:cs="Arial"/>
        </w:rPr>
        <w:t xml:space="preserve">good awareness of </w:t>
      </w:r>
      <w:r>
        <w:rPr>
          <w:rFonts w:cs="Arial"/>
        </w:rPr>
        <w:t xml:space="preserve">key pollutant </w:t>
      </w:r>
      <w:r w:rsidRPr="00FC484F">
        <w:rPr>
          <w:rFonts w:cs="Arial"/>
        </w:rPr>
        <w:t xml:space="preserve">sources. </w:t>
      </w:r>
      <w:r>
        <w:rPr>
          <w:rFonts w:cs="Arial"/>
        </w:rPr>
        <w:t>However, f</w:t>
      </w:r>
      <w:r w:rsidRPr="00FC484F">
        <w:rPr>
          <w:rFonts w:cs="Arial"/>
        </w:rPr>
        <w:t>ireplaces (i.e. solid fuel burning) was seen to contribute only 2% towards poor air quality</w:t>
      </w:r>
      <w:r>
        <w:rPr>
          <w:rFonts w:cs="Arial"/>
        </w:rPr>
        <w:t xml:space="preserve">, which suggests there is not a strong understanding between solid wood burning and health implications. It is therefore evident that action is needed on improving </w:t>
      </w:r>
      <w:r w:rsidRPr="00FC484F">
        <w:rPr>
          <w:rFonts w:cs="Arial"/>
        </w:rPr>
        <w:t xml:space="preserve">information </w:t>
      </w:r>
      <w:r>
        <w:rPr>
          <w:rFonts w:cs="Arial"/>
        </w:rPr>
        <w:t>and</w:t>
      </w:r>
      <w:r w:rsidRPr="00FC484F">
        <w:rPr>
          <w:rFonts w:cs="Arial"/>
        </w:rPr>
        <w:t xml:space="preserve"> awareness of the dangers of wood burning.</w:t>
      </w:r>
    </w:p>
    <w:p w14:paraId="3A2C7376" w14:textId="0E2D5B5E" w:rsidR="00EF0C21" w:rsidRPr="00FC484F" w:rsidRDefault="00EF0C21" w:rsidP="00AC4217">
      <w:pPr>
        <w:spacing w:after="0" w:line="276" w:lineRule="auto"/>
        <w:rPr>
          <w:rFonts w:cs="Arial"/>
        </w:rPr>
      </w:pPr>
      <w:r w:rsidRPr="007129B6">
        <w:rPr>
          <w:rFonts w:cs="Arial"/>
        </w:rPr>
        <w:t xml:space="preserve">In regards to awareness of </w:t>
      </w:r>
      <w:r>
        <w:rPr>
          <w:rFonts w:cs="Arial"/>
        </w:rPr>
        <w:t xml:space="preserve">accessing </w:t>
      </w:r>
      <w:r w:rsidRPr="007129B6">
        <w:rPr>
          <w:rFonts w:cs="Arial"/>
        </w:rPr>
        <w:t xml:space="preserve">air quality information, 62% were not aware of Heathrow’s Airwatch website and of that 62%, 44% would not be likely to visit it. </w:t>
      </w:r>
      <w:r>
        <w:rPr>
          <w:rFonts w:cs="Arial"/>
        </w:rPr>
        <w:t xml:space="preserve">It is therefore clear that further engagement work is needed with communities, not only to increase awareness of the availability of air quality data, but also to support the community to develop an interest in air quality </w:t>
      </w:r>
      <w:r w:rsidR="00325B7D">
        <w:rPr>
          <w:rFonts w:cs="Arial"/>
        </w:rPr>
        <w:t>information</w:t>
      </w:r>
      <w:r>
        <w:rPr>
          <w:rFonts w:cs="Arial"/>
        </w:rPr>
        <w:t xml:space="preserve"> and help them understand air quality implications to their health. </w:t>
      </w:r>
    </w:p>
    <w:p w14:paraId="2DA4B49D" w14:textId="68F62AEF" w:rsidR="00EF0C21" w:rsidRDefault="00EF0C21" w:rsidP="00092180">
      <w:pPr>
        <w:spacing w:line="276" w:lineRule="auto"/>
      </w:pPr>
      <w:r>
        <w:rPr>
          <w:rFonts w:cs="Arial"/>
        </w:rPr>
        <w:t>Overall, t</w:t>
      </w:r>
      <w:r w:rsidRPr="00FC484F">
        <w:rPr>
          <w:rFonts w:cs="Arial"/>
        </w:rPr>
        <w:t>he community would like to be more involved Heathrow Airport community activities</w:t>
      </w:r>
      <w:r>
        <w:rPr>
          <w:rFonts w:cs="Arial"/>
        </w:rPr>
        <w:t xml:space="preserve"> (</w:t>
      </w:r>
      <w:r w:rsidRPr="00FC484F">
        <w:rPr>
          <w:rFonts w:cs="Arial"/>
        </w:rPr>
        <w:t>72% agreeing</w:t>
      </w:r>
      <w:r>
        <w:rPr>
          <w:rFonts w:cs="Arial"/>
        </w:rPr>
        <w:t>)</w:t>
      </w:r>
      <w:r w:rsidRPr="00FC484F">
        <w:rPr>
          <w:rFonts w:cs="Arial"/>
        </w:rPr>
        <w:t xml:space="preserve">, </w:t>
      </w:r>
      <w:r>
        <w:rPr>
          <w:rFonts w:cs="Arial"/>
        </w:rPr>
        <w:t xml:space="preserve">and useful suggestions have been made on how the community should be engaged, including </w:t>
      </w:r>
      <w:r w:rsidRPr="00FC484F">
        <w:rPr>
          <w:rFonts w:cs="Arial"/>
        </w:rPr>
        <w:t>community meetings, newsletters and surveys</w:t>
      </w:r>
      <w:r w:rsidR="00325B7D">
        <w:rPr>
          <w:rFonts w:cs="Arial"/>
        </w:rPr>
        <w:t>, which will be considered when engaging with the public regarding air quality.</w:t>
      </w:r>
      <w:r>
        <w:br w:type="page"/>
      </w:r>
    </w:p>
    <w:p w14:paraId="2577CB2C" w14:textId="5B954026" w:rsidR="00EF0C21" w:rsidRPr="0025036F" w:rsidRDefault="00EF0C21" w:rsidP="00F77171">
      <w:pPr>
        <w:pStyle w:val="Heading1"/>
      </w:pPr>
      <w:bookmarkStart w:id="437" w:name="_Toc160129650"/>
      <w:bookmarkStart w:id="438" w:name="_Hlk159234762"/>
      <w:r w:rsidRPr="0025036F">
        <w:t>E.3: Behaviours and Attitudes Towards Healthy Choices: Census Data</w:t>
      </w:r>
      <w:bookmarkEnd w:id="437"/>
      <w:r w:rsidRPr="0025036F">
        <w:t xml:space="preserve"> </w:t>
      </w:r>
    </w:p>
    <w:bookmarkEnd w:id="438"/>
    <w:p w14:paraId="7FBA0D3B" w14:textId="77777777" w:rsidR="00EF0C21" w:rsidRDefault="00EF0C21" w:rsidP="00EF0C21">
      <w:pPr>
        <w:pStyle w:val="AQAPText"/>
        <w:spacing w:line="276" w:lineRule="auto"/>
      </w:pPr>
      <w:r>
        <w:t xml:space="preserve">This section reviews the data available on the Office for National Statistics (ONS) 2021 census data, in the context of healthy choices regarding vehicle ownership and travel to work. </w:t>
      </w:r>
    </w:p>
    <w:p w14:paraId="1F9A7DC2" w14:textId="35ADA196" w:rsidR="00EF0C21" w:rsidRDefault="00E34B3D" w:rsidP="00EF0C21">
      <w:pPr>
        <w:pStyle w:val="AQAPText"/>
        <w:spacing w:line="276" w:lineRule="auto"/>
      </w:pPr>
      <w:r>
        <w:t>Appendix D</w:t>
      </w:r>
      <w:r w:rsidR="00EF0C21">
        <w:t xml:space="preserve"> indicates that the highest contributor to poor air quality in Slough is from private vehicles, particularly diesel cars. This review intends to understand the behaviours and attitudes of Slough residents in relation to vehicle ownership and travel choices, to highlight potential opportunities for improvement. </w:t>
      </w:r>
    </w:p>
    <w:p w14:paraId="04D72F8E" w14:textId="61667EA8" w:rsidR="00EF0C21" w:rsidRPr="006C4F12" w:rsidRDefault="00EF0C21" w:rsidP="0025036F">
      <w:pPr>
        <w:pStyle w:val="Heading2"/>
        <w:numPr>
          <w:ilvl w:val="1"/>
          <w:numId w:val="78"/>
        </w:numPr>
        <w:rPr>
          <w:rStyle w:val="Hyperlink"/>
          <w:color w:val="008938"/>
          <w:sz w:val="24"/>
          <w:szCs w:val="24"/>
          <w:u w:val="none"/>
        </w:rPr>
      </w:pPr>
      <w:bookmarkStart w:id="439" w:name="_Toc160129651"/>
      <w:r w:rsidRPr="006C4F12">
        <w:rPr>
          <w:rStyle w:val="Hyperlink"/>
          <w:color w:val="008938"/>
          <w:sz w:val="24"/>
          <w:szCs w:val="24"/>
          <w:u w:val="none"/>
        </w:rPr>
        <w:t>Methodology</w:t>
      </w:r>
      <w:bookmarkEnd w:id="439"/>
      <w:r w:rsidRPr="006C4F12">
        <w:rPr>
          <w:rStyle w:val="Hyperlink"/>
          <w:color w:val="008938"/>
          <w:sz w:val="24"/>
          <w:szCs w:val="24"/>
          <w:u w:val="none"/>
        </w:rPr>
        <w:t xml:space="preserve"> </w:t>
      </w:r>
    </w:p>
    <w:p w14:paraId="4E481747" w14:textId="2CDF917B" w:rsidR="00EF0C21" w:rsidRDefault="00EF0C21" w:rsidP="00EF0C21">
      <w:pPr>
        <w:pStyle w:val="AQAPText"/>
        <w:spacing w:line="276" w:lineRule="auto"/>
      </w:pPr>
      <w:r>
        <w:t>The data reviewed in this section has been obtained from the 2021 census. This data has been reviewed in terms of vehicle ownership, to understand the number of vehicles Slough households privately own, and the distribution of modes used to travel to work. Information on vehicle use for other activities such as leisure</w:t>
      </w:r>
      <w:r w:rsidR="00325B7D">
        <w:t xml:space="preserve"> or retail purposes</w:t>
      </w:r>
      <w:r>
        <w:t xml:space="preserve"> is not available on ONS.</w:t>
      </w:r>
    </w:p>
    <w:p w14:paraId="3EB1DD94" w14:textId="5D2AB65C" w:rsidR="00EF0C21" w:rsidRDefault="00EF0C21" w:rsidP="00EF0C21">
      <w:pPr>
        <w:pStyle w:val="AQAPText"/>
        <w:spacing w:line="276" w:lineRule="auto"/>
      </w:pPr>
      <w:r>
        <w:t>The</w:t>
      </w:r>
      <w:r w:rsidR="00325B7D">
        <w:t xml:space="preserve"> vehicles included in the</w:t>
      </w:r>
      <w:r>
        <w:t xml:space="preserve"> </w:t>
      </w:r>
      <w:r w:rsidR="00325B7D">
        <w:t>‘</w:t>
      </w:r>
      <w:r>
        <w:t>number of cars or vans owned or available for use by household members</w:t>
      </w:r>
      <w:r w:rsidR="00325B7D">
        <w:t>’ data is provided below:</w:t>
      </w:r>
    </w:p>
    <w:p w14:paraId="156C8ADB" w14:textId="77777777" w:rsidR="00EF0C21" w:rsidRDefault="00EF0C21" w:rsidP="0025036F">
      <w:pPr>
        <w:pStyle w:val="AQAPText"/>
        <w:numPr>
          <w:ilvl w:val="0"/>
          <w:numId w:val="65"/>
        </w:numPr>
        <w:spacing w:line="276" w:lineRule="auto"/>
      </w:pPr>
      <w:r>
        <w:t>pick-ups, camper vans and motor homes</w:t>
      </w:r>
    </w:p>
    <w:p w14:paraId="0017B427" w14:textId="77777777" w:rsidR="00EF0C21" w:rsidRDefault="00EF0C21" w:rsidP="0025036F">
      <w:pPr>
        <w:pStyle w:val="AQAPText"/>
        <w:numPr>
          <w:ilvl w:val="0"/>
          <w:numId w:val="65"/>
        </w:numPr>
        <w:spacing w:line="276" w:lineRule="auto"/>
      </w:pPr>
      <w:r>
        <w:t>vehicles that are temporarily not working</w:t>
      </w:r>
    </w:p>
    <w:p w14:paraId="2866DF50" w14:textId="77777777" w:rsidR="00EF0C21" w:rsidRDefault="00EF0C21" w:rsidP="0025036F">
      <w:pPr>
        <w:pStyle w:val="AQAPText"/>
        <w:numPr>
          <w:ilvl w:val="0"/>
          <w:numId w:val="65"/>
        </w:numPr>
        <w:spacing w:line="276" w:lineRule="auto"/>
      </w:pPr>
      <w:r>
        <w:t>vehicles that have failed their MOT</w:t>
      </w:r>
    </w:p>
    <w:p w14:paraId="0D91BAD0" w14:textId="77777777" w:rsidR="00EF0C21" w:rsidRDefault="00EF0C21" w:rsidP="0025036F">
      <w:pPr>
        <w:pStyle w:val="AQAPText"/>
        <w:numPr>
          <w:ilvl w:val="0"/>
          <w:numId w:val="65"/>
        </w:numPr>
        <w:spacing w:line="276" w:lineRule="auto"/>
      </w:pPr>
      <w:r>
        <w:t>vehicles owned or used by a lodger</w:t>
      </w:r>
    </w:p>
    <w:p w14:paraId="2AB867E6" w14:textId="77777777" w:rsidR="00EF0C21" w:rsidRDefault="00EF0C21" w:rsidP="0025036F">
      <w:pPr>
        <w:pStyle w:val="AQAPText"/>
        <w:numPr>
          <w:ilvl w:val="0"/>
          <w:numId w:val="65"/>
        </w:numPr>
        <w:spacing w:line="276" w:lineRule="auto"/>
      </w:pPr>
      <w:r>
        <w:t>company cars or vans if they're available for private use</w:t>
      </w:r>
    </w:p>
    <w:p w14:paraId="07013911" w14:textId="77777777" w:rsidR="00EF0C21" w:rsidRPr="006C4F12" w:rsidRDefault="00EF0C21" w:rsidP="0025036F">
      <w:pPr>
        <w:pStyle w:val="Heading2"/>
        <w:numPr>
          <w:ilvl w:val="1"/>
          <w:numId w:val="78"/>
        </w:numPr>
        <w:rPr>
          <w:rStyle w:val="Hyperlink"/>
          <w:color w:val="008938"/>
          <w:sz w:val="24"/>
          <w:szCs w:val="24"/>
          <w:u w:val="none"/>
        </w:rPr>
      </w:pPr>
      <w:bookmarkStart w:id="440" w:name="_Toc160129652"/>
      <w:r w:rsidRPr="006C4F12">
        <w:rPr>
          <w:rStyle w:val="Hyperlink"/>
          <w:color w:val="008938"/>
          <w:sz w:val="24"/>
          <w:szCs w:val="24"/>
          <w:u w:val="none"/>
        </w:rPr>
        <w:t>Results</w:t>
      </w:r>
      <w:bookmarkEnd w:id="440"/>
    </w:p>
    <w:p w14:paraId="54F70822" w14:textId="77777777" w:rsidR="00EF0C21" w:rsidRPr="006C4F12" w:rsidRDefault="00EF0C21" w:rsidP="006C4F12">
      <w:pPr>
        <w:pStyle w:val="AQAPText"/>
        <w:rPr>
          <w:rStyle w:val="Hyperlink"/>
          <w:b/>
          <w:bCs/>
          <w:color w:val="auto"/>
          <w:u w:val="none"/>
        </w:rPr>
      </w:pPr>
      <w:r w:rsidRPr="006C4F12">
        <w:rPr>
          <w:rStyle w:val="Hyperlink"/>
          <w:b/>
          <w:bCs/>
          <w:color w:val="auto"/>
          <w:u w:val="none"/>
        </w:rPr>
        <w:t xml:space="preserve">Vehicle Ownership </w:t>
      </w:r>
    </w:p>
    <w:p w14:paraId="23FFDAB8" w14:textId="41C94436" w:rsidR="00EF0C21" w:rsidRDefault="00EF0C21" w:rsidP="00EF0C21">
      <w:pPr>
        <w:pStyle w:val="AQAPText"/>
        <w:spacing w:line="276" w:lineRule="auto"/>
      </w:pPr>
      <w:r>
        <w:t xml:space="preserve">Graph </w:t>
      </w:r>
      <w:r w:rsidR="0008433D">
        <w:t>E.21</w:t>
      </w:r>
      <w:r>
        <w:t xml:space="preserve"> displays the percentage of vehicles owned per household in Slough compared with neighbouring local authorities (Windsor &amp; Maidenhead, Spelthorne and Hillingdon, shown in pink</w:t>
      </w:r>
      <w:r w:rsidR="00325B7D">
        <w:t xml:space="preserve"> shades</w:t>
      </w:r>
      <w:r>
        <w:t>), local authorities in the South East with a similar population density (Reading, Portsmouth and Southampton, shown in blue</w:t>
      </w:r>
      <w:r w:rsidR="00325B7D">
        <w:t xml:space="preserve"> shades</w:t>
      </w:r>
      <w:r>
        <w:t>), and the average for the South East region and England (shown in green</w:t>
      </w:r>
      <w:r w:rsidR="00325B7D">
        <w:t xml:space="preserve"> shades</w:t>
      </w:r>
      <w:r>
        <w:t xml:space="preserve">). </w:t>
      </w:r>
    </w:p>
    <w:p w14:paraId="29767A92" w14:textId="77777777" w:rsidR="00EF0C21" w:rsidRDefault="00EF0C21" w:rsidP="00EF0C21">
      <w:pPr>
        <w:pStyle w:val="AQAPText"/>
        <w:spacing w:line="276" w:lineRule="auto"/>
      </w:pPr>
    </w:p>
    <w:p w14:paraId="6C9DC00D" w14:textId="19A44D14" w:rsidR="0008433D" w:rsidRDefault="0008433D" w:rsidP="0008433D">
      <w:pPr>
        <w:pStyle w:val="Figures"/>
      </w:pPr>
      <w:bookmarkStart w:id="441" w:name="_Toc160129389"/>
      <w:r>
        <w:t>Figure E.21: Vehicle ownership per household in Slough compared to other local authorities and the England and South East average</w:t>
      </w:r>
      <w:bookmarkEnd w:id="441"/>
    </w:p>
    <w:p w14:paraId="4148EF95" w14:textId="77777777" w:rsidR="00EF0C21" w:rsidRDefault="00EF0C21" w:rsidP="00EF0C21">
      <w:pPr>
        <w:pStyle w:val="AQAPText"/>
        <w:spacing w:line="276" w:lineRule="auto"/>
      </w:pPr>
      <w:r>
        <w:rPr>
          <w:noProof/>
        </w:rPr>
        <w:drawing>
          <wp:inline distT="0" distB="0" distL="0" distR="0" wp14:anchorId="4EEACD51" wp14:editId="20E875D3">
            <wp:extent cx="5731510" cy="4246849"/>
            <wp:effectExtent l="0" t="0" r="2540" b="1905"/>
            <wp:docPr id="1138484427" name="Chart 1" descr="A graph showing the number of cars or vans owned per household in Slough, compared to neighbouring and comparable authorities. Slough has a lower number of households with no cars or vans in the household compared to similar urban authorities.">
              <a:extLst xmlns:a="http://schemas.openxmlformats.org/drawingml/2006/main">
                <a:ext uri="{FF2B5EF4-FFF2-40B4-BE49-F238E27FC236}">
                  <a16:creationId xmlns:a16="http://schemas.microsoft.com/office/drawing/2014/main" id="{4310EA5C-A642-402D-AA24-A9F3897BC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61BF7FA" w14:textId="77777777" w:rsidR="00EF0C21" w:rsidRDefault="00EF0C21" w:rsidP="00EF0C21">
      <w:pPr>
        <w:pStyle w:val="AQAPText"/>
        <w:spacing w:line="276" w:lineRule="auto"/>
      </w:pPr>
      <w:r>
        <w:t xml:space="preserve">In Slough, 20.3% of households do not have access to a car or van. This is above the average for the South East region (16.9%) and some neighbouring authorities including Windsor &amp; Maidenhead at 12.7% and Spelthorne at 14.7%. Hillingdon has a greater percentage of households without access to a car or van at 22.3%, however all three of the highest population density areas exceed this at Reading (28.4%), Portsmouth (30.3%) and Southampton (27.4%). There are fewer households in Slough that have no access to a car or van despite Portsmouth and Southampton being more densely populated. </w:t>
      </w:r>
    </w:p>
    <w:p w14:paraId="1A050B4A" w14:textId="77777777" w:rsidR="00EF0C21" w:rsidRDefault="00EF0C21" w:rsidP="00EF0C21">
      <w:pPr>
        <w:pStyle w:val="AQAPText"/>
        <w:spacing w:line="276" w:lineRule="auto"/>
      </w:pPr>
      <w:r>
        <w:t xml:space="preserve">The majority of households have one car or van in their household. Slough exceeds the average for the South East and England at 42.7%, but is comparable to neighbouring authorities with Spelthorne at 42.0% and Hillingdon at 44.0%. Windsor &amp; Maidenhead is slightly lower at 40.0%. Reading, Portsmouth and Southampton all have a higher percentage of households with one car or van, at 44.3%, 43.5% and 44.3%, respectively. </w:t>
      </w:r>
    </w:p>
    <w:p w14:paraId="4E8EC4B6" w14:textId="77777777" w:rsidR="00EF0C21" w:rsidRDefault="00EF0C21" w:rsidP="00EF0C21">
      <w:pPr>
        <w:pStyle w:val="AQAPText"/>
        <w:spacing w:line="276" w:lineRule="auto"/>
      </w:pPr>
      <w:r>
        <w:t xml:space="preserve">Fewer households have access to two cars or vans. Windsor &amp; Maidenhead and Spelthorne both exceed the percentage at Slough (26.9%), by 7.0% and 4.4%, respectively, however Slough has a higher percentage than Reading (21.1%), Portsmouth (20.8%) and Southampton (21.8%). The percentage at Slough is slightly above the England average (26.1%), but is below the average for the South East (30.5%). </w:t>
      </w:r>
    </w:p>
    <w:p w14:paraId="561D681C" w14:textId="77777777" w:rsidR="00EF0C21" w:rsidRDefault="00EF0C21" w:rsidP="00EF0C21">
      <w:pPr>
        <w:pStyle w:val="AQAPText"/>
        <w:spacing w:line="276" w:lineRule="auto"/>
      </w:pPr>
      <w:r>
        <w:t xml:space="preserve">For households who have access to three or more cars or vans, the highest percentage is observed at Windsor &amp; Maidenhead at 13.4%, followed by Spelthorne at 12.0% and Slough at 10.1%. Hillingdon falls below Slough at 8.9%. When comparing to areas with similar population density, Reading, Portsmouth and Southampton all have lower proportions, at 6.2%, 5.4% and 6.5%, respectively. </w:t>
      </w:r>
    </w:p>
    <w:p w14:paraId="412FECE3" w14:textId="178F469B" w:rsidR="00EF0C21" w:rsidRDefault="0008433D" w:rsidP="00EF0C21">
      <w:pPr>
        <w:pStyle w:val="AQAPText"/>
        <w:spacing w:line="276" w:lineRule="auto"/>
      </w:pPr>
      <w:r>
        <w:t>Figure E.22</w:t>
      </w:r>
      <w:r w:rsidR="00EF0C21">
        <w:t xml:space="preserve"> compares the population density of these locations with the percentage of households who have access to three or more cars or vans. </w:t>
      </w:r>
    </w:p>
    <w:p w14:paraId="2884330B" w14:textId="5A56013F" w:rsidR="0008433D" w:rsidRDefault="0008433D" w:rsidP="0008433D">
      <w:pPr>
        <w:pStyle w:val="Figures"/>
      </w:pPr>
      <w:bookmarkStart w:id="442" w:name="_Toc160129390"/>
      <w:r>
        <w:t>Figure E.22: Correlation between percentage of households with three or more cars or vans and population density</w:t>
      </w:r>
      <w:bookmarkEnd w:id="442"/>
      <w:r>
        <w:t xml:space="preserve"> </w:t>
      </w:r>
    </w:p>
    <w:p w14:paraId="669F9DD3" w14:textId="77777777" w:rsidR="00EF0C21" w:rsidRDefault="00EF0C21" w:rsidP="00EF0C21">
      <w:pPr>
        <w:pStyle w:val="AQAPText"/>
        <w:spacing w:line="276" w:lineRule="auto"/>
      </w:pPr>
      <w:r>
        <w:rPr>
          <w:noProof/>
        </w:rPr>
        <w:drawing>
          <wp:inline distT="0" distB="0" distL="0" distR="0" wp14:anchorId="6C62BC48" wp14:editId="6B3FB97A">
            <wp:extent cx="5731510" cy="3551031"/>
            <wp:effectExtent l="0" t="0" r="2540" b="11430"/>
            <wp:docPr id="305867804" name="Chart 1" descr="A graph showing the correlation between population density and the percentage of households with three or more cars or vans. Slough has a high number of households with three or more cars or vans relative to its population density. ">
              <a:extLst xmlns:a="http://schemas.openxmlformats.org/drawingml/2006/main">
                <a:ext uri="{FF2B5EF4-FFF2-40B4-BE49-F238E27FC236}">
                  <a16:creationId xmlns:a16="http://schemas.microsoft.com/office/drawing/2014/main" id="{9F301AB4-6D15-900C-F2EC-C0BD2DF152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2FBAFB" w14:textId="7DC8429D" w:rsidR="00EF0C21" w:rsidRDefault="00EF0C21" w:rsidP="00EF0C21">
      <w:pPr>
        <w:pStyle w:val="AQAPText"/>
        <w:spacing w:line="276" w:lineRule="auto"/>
      </w:pPr>
      <w:r>
        <w:t xml:space="preserve">Slough has a comparable percentage to Hillingdon and Spelthorne however Slough has a much denser population, which will be a contributing factor to the level of congestion experienced at Slough. For its population density, Slough has a high quantity of households who own or have access to three or more cars or vans. </w:t>
      </w:r>
    </w:p>
    <w:p w14:paraId="7924E8A7" w14:textId="77777777" w:rsidR="00EF0C21" w:rsidRDefault="00EF0C21" w:rsidP="00EF0C21">
      <w:pPr>
        <w:pStyle w:val="AQAPText"/>
        <w:spacing w:line="276" w:lineRule="auto"/>
      </w:pPr>
    </w:p>
    <w:p w14:paraId="17FE34B9" w14:textId="77777777" w:rsidR="00EF0C21" w:rsidRDefault="00EF0C21" w:rsidP="00EF0C21">
      <w:pPr>
        <w:spacing w:line="276" w:lineRule="auto"/>
      </w:pPr>
    </w:p>
    <w:p w14:paraId="0E395FF9" w14:textId="77777777" w:rsidR="00EF0C21" w:rsidRDefault="00EF0C21" w:rsidP="00EF0C21">
      <w:pPr>
        <w:spacing w:line="276" w:lineRule="auto"/>
      </w:pPr>
    </w:p>
    <w:p w14:paraId="4A2380DD" w14:textId="77777777" w:rsidR="00EF0C21" w:rsidRPr="00C407D6" w:rsidRDefault="00EF0C21" w:rsidP="00EF0C21">
      <w:pPr>
        <w:spacing w:line="276" w:lineRule="auto"/>
        <w:sectPr w:rsidR="00EF0C21" w:rsidRPr="00C407D6" w:rsidSect="00673568">
          <w:pgSz w:w="11906" w:h="16838"/>
          <w:pgMar w:top="1440" w:right="1440" w:bottom="1440" w:left="1440" w:header="709" w:footer="709" w:gutter="0"/>
          <w:cols w:space="708"/>
          <w:docGrid w:linePitch="360"/>
        </w:sectPr>
      </w:pPr>
    </w:p>
    <w:p w14:paraId="4F137AF9" w14:textId="77777777" w:rsidR="00EF0C21" w:rsidRPr="006C4F12" w:rsidRDefault="00EF0C21" w:rsidP="006C4F12">
      <w:pPr>
        <w:pStyle w:val="AQAPText"/>
        <w:rPr>
          <w:rStyle w:val="Hyperlink"/>
          <w:b/>
          <w:bCs/>
          <w:color w:val="auto"/>
          <w:u w:val="none"/>
        </w:rPr>
      </w:pPr>
      <w:r w:rsidRPr="006C4F12">
        <w:rPr>
          <w:rStyle w:val="Hyperlink"/>
          <w:b/>
          <w:bCs/>
          <w:color w:val="auto"/>
          <w:u w:val="none"/>
        </w:rPr>
        <w:t xml:space="preserve">Travel Behaviours </w:t>
      </w:r>
    </w:p>
    <w:p w14:paraId="39617062" w14:textId="5E69916D" w:rsidR="00EF0C21" w:rsidRDefault="0008433D" w:rsidP="00EF0C21">
      <w:pPr>
        <w:pStyle w:val="AQAPText"/>
        <w:spacing w:line="276" w:lineRule="auto"/>
      </w:pPr>
      <w:r>
        <w:t xml:space="preserve">Figure E.23 </w:t>
      </w:r>
      <w:r w:rsidR="00EF0C21">
        <w:t>below shows the breakdown of economic activity by group in Slough in the context of travel to work. This includes those who are employed and travel to work, those who mostly work from home, those who mainly work offshore or outside of the UK, and those who are not in employment or under 15 years old.</w:t>
      </w:r>
    </w:p>
    <w:p w14:paraId="6A2135D7" w14:textId="6FCF123A" w:rsidR="00EF0C21" w:rsidRDefault="000420C9" w:rsidP="0008433D">
      <w:pPr>
        <w:pStyle w:val="Figures"/>
      </w:pPr>
      <w:bookmarkStart w:id="443" w:name="_Toc160129391"/>
      <w:r>
        <w:t xml:space="preserve">Figure </w:t>
      </w:r>
      <w:r w:rsidR="0008433D">
        <w:t>E.23: Breakdown of economic activity by group in Slough</w:t>
      </w:r>
      <w:bookmarkEnd w:id="443"/>
      <w:r w:rsidR="0008433D">
        <w:t xml:space="preserve"> </w:t>
      </w:r>
    </w:p>
    <w:p w14:paraId="171B7BEF" w14:textId="77777777" w:rsidR="00EF0C21" w:rsidRDefault="00EF0C21" w:rsidP="00EF0C21">
      <w:pPr>
        <w:spacing w:line="276" w:lineRule="auto"/>
      </w:pPr>
      <w:r>
        <w:rPr>
          <w:noProof/>
        </w:rPr>
        <w:drawing>
          <wp:inline distT="0" distB="0" distL="0" distR="0" wp14:anchorId="3A0A3BD4" wp14:editId="53D0AF1F">
            <wp:extent cx="5731510" cy="3176905"/>
            <wp:effectExtent l="0" t="0" r="2540" b="4445"/>
            <wp:docPr id="510493042" name="Chart 1" descr="A pie chart showing the breakdown of economic activity in Slough, from the 2021 census. 53% are not in employment or are aged 15 and under, whereas 26% are employed and travel to work ">
              <a:extLst xmlns:a="http://schemas.openxmlformats.org/drawingml/2006/main">
                <a:ext uri="{FF2B5EF4-FFF2-40B4-BE49-F238E27FC236}">
                  <a16:creationId xmlns:a16="http://schemas.microsoft.com/office/drawing/2014/main" id="{5E3C5A5C-EB81-D249-ED2F-4D929259B6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46E38D9" w14:textId="77777777" w:rsidR="00EF0C21" w:rsidRDefault="00EF0C21" w:rsidP="00EF0C21">
      <w:pPr>
        <w:pStyle w:val="AQAPText"/>
        <w:spacing w:line="276" w:lineRule="auto"/>
      </w:pPr>
      <w:r>
        <w:t xml:space="preserve">The graph shows that 26% of Slough residents are employed and travel to work, whilst 13% mainly work from home. 8% mainly work offshore, in no fixed place or outside of the UK. In contrast, 53% are not in employment due to age, long term sick or disability, looking after home or family, being a student, retired, general unemployment, or other. </w:t>
      </w:r>
    </w:p>
    <w:p w14:paraId="63879913" w14:textId="7D7A5D24" w:rsidR="00EF0C21" w:rsidRDefault="0008433D" w:rsidP="00EF0C21">
      <w:pPr>
        <w:pStyle w:val="AQAPText"/>
        <w:spacing w:line="276" w:lineRule="auto"/>
      </w:pPr>
      <w:r>
        <w:t>Figure E.24</w:t>
      </w:r>
      <w:r w:rsidR="00EF0C21">
        <w:t xml:space="preserve"> shows a further breakdown of the portion of Slough residents who are employed and travel to work. The graph shows that of that portion, 71% travel to work via car or van, whereas public transport and active travel account for 13% each. It is therefore evident that the majority of people who travel to work choose to do so using private vehicles. </w:t>
      </w:r>
    </w:p>
    <w:p w14:paraId="6408493D" w14:textId="77777777" w:rsidR="00EF0C21" w:rsidRDefault="00EF0C21" w:rsidP="00EF0C21">
      <w:pPr>
        <w:pStyle w:val="AQAPText"/>
        <w:spacing w:line="276" w:lineRule="auto"/>
      </w:pPr>
    </w:p>
    <w:p w14:paraId="14D9D7AF" w14:textId="77777777" w:rsidR="0008433D" w:rsidRDefault="0008433D" w:rsidP="00EF0C21">
      <w:pPr>
        <w:pStyle w:val="AQAPText"/>
        <w:spacing w:line="276" w:lineRule="auto"/>
      </w:pPr>
    </w:p>
    <w:p w14:paraId="5F363D94" w14:textId="77777777" w:rsidR="0008433D" w:rsidRDefault="0008433D" w:rsidP="00EF0C21">
      <w:pPr>
        <w:pStyle w:val="AQAPText"/>
        <w:spacing w:line="276" w:lineRule="auto"/>
      </w:pPr>
    </w:p>
    <w:p w14:paraId="7A1BF541" w14:textId="77777777" w:rsidR="0008433D" w:rsidRDefault="0008433D" w:rsidP="00EF0C21">
      <w:pPr>
        <w:pStyle w:val="AQAPText"/>
        <w:spacing w:line="276" w:lineRule="auto"/>
      </w:pPr>
    </w:p>
    <w:p w14:paraId="1DE19140" w14:textId="77777777" w:rsidR="0008433D" w:rsidRDefault="0008433D" w:rsidP="00EF0C21">
      <w:pPr>
        <w:pStyle w:val="AQAPText"/>
        <w:spacing w:line="276" w:lineRule="auto"/>
      </w:pPr>
    </w:p>
    <w:p w14:paraId="6EA1C986" w14:textId="458B813A" w:rsidR="0008433D" w:rsidRDefault="0008433D" w:rsidP="0008433D">
      <w:pPr>
        <w:pStyle w:val="Figures"/>
      </w:pPr>
      <w:bookmarkStart w:id="444" w:name="_Toc160129392"/>
      <w:r>
        <w:t>Figure E.24: Mode choice distribution for Slough residents who are employed and travel to work</w:t>
      </w:r>
      <w:bookmarkEnd w:id="444"/>
    </w:p>
    <w:p w14:paraId="2CEE931C" w14:textId="77777777" w:rsidR="00EF0C21" w:rsidRDefault="00EF0C21" w:rsidP="00EF0C21">
      <w:pPr>
        <w:spacing w:line="276" w:lineRule="auto"/>
      </w:pPr>
      <w:r>
        <w:rPr>
          <w:noProof/>
        </w:rPr>
        <w:drawing>
          <wp:inline distT="0" distB="0" distL="0" distR="0" wp14:anchorId="3E31FEF2" wp14:editId="1CF20D2A">
            <wp:extent cx="5570855" cy="3045125"/>
            <wp:effectExtent l="0" t="0" r="10795" b="3175"/>
            <wp:docPr id="867339846" name="Chart 1" descr="A pie chart showing the mode choice distribution of people in Slough who are employed and travel to work. The majority (71%) travel using a car or van. ">
              <a:extLst xmlns:a="http://schemas.openxmlformats.org/drawingml/2006/main">
                <a:ext uri="{FF2B5EF4-FFF2-40B4-BE49-F238E27FC236}">
                  <a16:creationId xmlns:a16="http://schemas.microsoft.com/office/drawing/2014/main" id="{582849F9-6DAD-3FD5-0C94-FAFDCE607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78E6CDE" w14:textId="0333233A" w:rsidR="00EF0C21" w:rsidRDefault="0008433D" w:rsidP="00EF0C21">
      <w:pPr>
        <w:pStyle w:val="AQAPText"/>
        <w:spacing w:line="276" w:lineRule="auto"/>
      </w:pPr>
      <w:r>
        <w:t xml:space="preserve">Figure E.25 </w:t>
      </w:r>
      <w:r w:rsidR="00EF0C21" w:rsidRPr="00836913">
        <w:t>below provides a more detailed breakdown of</w:t>
      </w:r>
      <w:r w:rsidR="00EF0C21">
        <w:t xml:space="preserve"> travel</w:t>
      </w:r>
      <w:r w:rsidR="00EF0C21" w:rsidRPr="00836913">
        <w:t xml:space="preserve"> mode options. The graph shows that</w:t>
      </w:r>
      <w:r w:rsidR="00EF0C21">
        <w:t xml:space="preserve"> 64.0% of journeys to work by car or van are single occupant, with the remaining 7% being passengers in a car or van. </w:t>
      </w:r>
    </w:p>
    <w:p w14:paraId="7D253702" w14:textId="143AF9F4" w:rsidR="0008433D" w:rsidRDefault="0008433D" w:rsidP="00777FFA">
      <w:pPr>
        <w:pStyle w:val="Figures"/>
      </w:pPr>
      <w:bookmarkStart w:id="445" w:name="_Toc160129393"/>
      <w:r>
        <w:t xml:space="preserve">Figure E.25: </w:t>
      </w:r>
      <w:r w:rsidR="00777FFA">
        <w:t>Detailed mode choice distribution for Slough residents who are employed and travel to work</w:t>
      </w:r>
      <w:bookmarkEnd w:id="445"/>
      <w:r w:rsidR="00777FFA">
        <w:t xml:space="preserve"> </w:t>
      </w:r>
    </w:p>
    <w:p w14:paraId="0DF3565F" w14:textId="77777777" w:rsidR="00EF0C21" w:rsidRDefault="00EF0C21" w:rsidP="00EF0C21">
      <w:pPr>
        <w:pStyle w:val="AQAPText"/>
        <w:spacing w:line="276" w:lineRule="auto"/>
      </w:pPr>
      <w:r>
        <w:rPr>
          <w:noProof/>
        </w:rPr>
        <w:drawing>
          <wp:inline distT="0" distB="0" distL="0" distR="0" wp14:anchorId="077D04A0" wp14:editId="13ADFFF4">
            <wp:extent cx="5433237" cy="3306726"/>
            <wp:effectExtent l="0" t="0" r="15240" b="8255"/>
            <wp:docPr id="565699977" name="Chart 1" descr="A graph showing further detailed mode choice breakdown for people in Slough who are employed and travel to work. Very few travel via public transport compared to driving a car or van.">
              <a:extLst xmlns:a="http://schemas.openxmlformats.org/drawingml/2006/main">
                <a:ext uri="{FF2B5EF4-FFF2-40B4-BE49-F238E27FC236}">
                  <a16:creationId xmlns:a16="http://schemas.microsoft.com/office/drawing/2014/main" id="{AC5C7124-C229-BDD2-842C-93A078EC3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B452632" w14:textId="77777777" w:rsidR="00EF0C21" w:rsidRDefault="00EF0C21" w:rsidP="00EF0C21">
      <w:pPr>
        <w:pStyle w:val="AQAPText"/>
        <w:spacing w:line="276" w:lineRule="auto"/>
      </w:pPr>
      <w:r w:rsidRPr="00836913">
        <w:t>The</w:t>
      </w:r>
      <w:r>
        <w:t xml:space="preserve"> most popular travel mode of choice for Slough residents after private car or van is travelling on foot at 10.6%. Journeys by bicycle are much lower however at 2.8%, suggesting that walking is a more popular mode choice. Bus, minibus or coach is the most popular public transport travel mode at 5.9%, followed by train at 4.3%. </w:t>
      </w:r>
    </w:p>
    <w:p w14:paraId="36D72208" w14:textId="6F2F8FDC" w:rsidR="00EF0C21" w:rsidRDefault="00EF0C21" w:rsidP="00EF0C21">
      <w:pPr>
        <w:pStyle w:val="AQAPText"/>
      </w:pPr>
      <w:r>
        <w:t>Of those who travel to work, the distances travelled are shown in the pie chart</w:t>
      </w:r>
      <w:r w:rsidR="00EF7FFC">
        <w:t xml:space="preserve"> below (Figure</w:t>
      </w:r>
      <w:r>
        <w:t xml:space="preserve"> </w:t>
      </w:r>
      <w:r w:rsidR="00777FFA">
        <w:t>E.26</w:t>
      </w:r>
      <w:r w:rsidR="00EF7FFC">
        <w:t>)</w:t>
      </w:r>
      <w:r>
        <w:t xml:space="preserve">. The majority of residents in Slough who travel to work travel less than 10km to reach their destination (68%). 25% travel between 10-30km, and only 7% travel over 30km to work. </w:t>
      </w:r>
      <w:r w:rsidR="00777FFA">
        <w:t>Figure E.27</w:t>
      </w:r>
      <w:r>
        <w:t xml:space="preserve"> provides a further breakdown of the distances travelled by mode category. This shows that the greatest proportion of journeys by car or van are for travelling less than 10km. As expected, the majority of active travel modes are used to travel less than 10km.</w:t>
      </w:r>
    </w:p>
    <w:p w14:paraId="5E57A6DE" w14:textId="5A587DB3" w:rsidR="0008433D" w:rsidRDefault="0008433D" w:rsidP="00777FFA">
      <w:pPr>
        <w:pStyle w:val="Figures"/>
      </w:pPr>
      <w:bookmarkStart w:id="446" w:name="_Toc160129394"/>
      <w:r>
        <w:t>Figure E:26</w:t>
      </w:r>
      <w:r w:rsidR="00777FFA">
        <w:t>: Distance travelled</w:t>
      </w:r>
      <w:r w:rsidR="004203CC">
        <w:t xml:space="preserve"> by </w:t>
      </w:r>
      <w:r w:rsidR="00777FFA">
        <w:t>Slough residents who are employed and travel to work</w:t>
      </w:r>
      <w:bookmarkEnd w:id="446"/>
      <w:r w:rsidR="00777FFA">
        <w:t xml:space="preserve"> </w:t>
      </w:r>
    </w:p>
    <w:p w14:paraId="76416CE3" w14:textId="77777777" w:rsidR="00EF0C21" w:rsidRDefault="00EF0C21" w:rsidP="00EF0C21">
      <w:pPr>
        <w:spacing w:line="276" w:lineRule="auto"/>
        <w:rPr>
          <w:b/>
          <w:bCs/>
        </w:rPr>
      </w:pPr>
      <w:r>
        <w:rPr>
          <w:noProof/>
        </w:rPr>
        <w:drawing>
          <wp:inline distT="0" distB="0" distL="0" distR="0" wp14:anchorId="0FBA1FB8" wp14:editId="3979270E">
            <wp:extent cx="5731510" cy="3812876"/>
            <wp:effectExtent l="0" t="0" r="2540" b="16510"/>
            <wp:docPr id="487994237" name="Chart 1" descr="A pie chart showing the distance travelled by Slough residents, who are employed and travel to work. 68% travel less than 10km. ">
              <a:extLst xmlns:a="http://schemas.openxmlformats.org/drawingml/2006/main">
                <a:ext uri="{FF2B5EF4-FFF2-40B4-BE49-F238E27FC236}">
                  <a16:creationId xmlns:a16="http://schemas.microsoft.com/office/drawing/2014/main" id="{75148565-BA7A-8CCE-DEB5-4D30A735C4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78426F4" w14:textId="77777777" w:rsidR="0008433D" w:rsidRDefault="0008433D" w:rsidP="00EF0C21">
      <w:pPr>
        <w:spacing w:line="276" w:lineRule="auto"/>
        <w:rPr>
          <w:b/>
          <w:bCs/>
        </w:rPr>
      </w:pPr>
    </w:p>
    <w:p w14:paraId="41B8A2B4" w14:textId="77777777" w:rsidR="0008433D" w:rsidRDefault="0008433D" w:rsidP="00EF0C21">
      <w:pPr>
        <w:spacing w:line="276" w:lineRule="auto"/>
        <w:rPr>
          <w:b/>
          <w:bCs/>
        </w:rPr>
      </w:pPr>
    </w:p>
    <w:p w14:paraId="27095DC8" w14:textId="77777777" w:rsidR="0008433D" w:rsidRDefault="0008433D" w:rsidP="00EF0C21">
      <w:pPr>
        <w:spacing w:line="276" w:lineRule="auto"/>
        <w:rPr>
          <w:b/>
          <w:bCs/>
        </w:rPr>
      </w:pPr>
    </w:p>
    <w:p w14:paraId="47BAAA5C" w14:textId="77777777" w:rsidR="0008433D" w:rsidRDefault="0008433D" w:rsidP="00EF0C21">
      <w:pPr>
        <w:spacing w:line="276" w:lineRule="auto"/>
        <w:rPr>
          <w:b/>
          <w:bCs/>
        </w:rPr>
      </w:pPr>
    </w:p>
    <w:p w14:paraId="609FBAA5" w14:textId="77777777" w:rsidR="0008433D" w:rsidRDefault="0008433D" w:rsidP="00EF0C21">
      <w:pPr>
        <w:spacing w:line="276" w:lineRule="auto"/>
        <w:rPr>
          <w:b/>
          <w:bCs/>
        </w:rPr>
      </w:pPr>
    </w:p>
    <w:p w14:paraId="1F970AB4" w14:textId="77777777" w:rsidR="0008433D" w:rsidRDefault="0008433D" w:rsidP="00EF0C21">
      <w:pPr>
        <w:spacing w:line="276" w:lineRule="auto"/>
        <w:rPr>
          <w:b/>
          <w:bCs/>
        </w:rPr>
      </w:pPr>
    </w:p>
    <w:p w14:paraId="6DFF1FCF" w14:textId="7C7516A5" w:rsidR="0008433D" w:rsidRPr="00C11B82" w:rsidRDefault="0008433D" w:rsidP="00777FFA">
      <w:pPr>
        <w:pStyle w:val="Figures"/>
      </w:pPr>
      <w:bookmarkStart w:id="447" w:name="_Toc160129395"/>
      <w:r>
        <w:t>Figure E.27:</w:t>
      </w:r>
      <w:r w:rsidR="00777FFA">
        <w:t xml:space="preserve"> Distances travelled by mode category</w:t>
      </w:r>
      <w:bookmarkEnd w:id="447"/>
    </w:p>
    <w:p w14:paraId="46FB3474" w14:textId="77777777" w:rsidR="00EF0C21" w:rsidRDefault="00EF0C21" w:rsidP="00EF0C21">
      <w:pPr>
        <w:spacing w:line="276" w:lineRule="auto"/>
      </w:pPr>
      <w:r w:rsidRPr="00DB02E6">
        <w:rPr>
          <w:rFonts w:cs="Arial"/>
          <w:noProof/>
        </w:rPr>
        <w:drawing>
          <wp:inline distT="0" distB="0" distL="0" distR="0" wp14:anchorId="570CB5FC" wp14:editId="571963A9">
            <wp:extent cx="5731510" cy="3466214"/>
            <wp:effectExtent l="0" t="0" r="2540" b="1270"/>
            <wp:docPr id="726058859" name="Chart 1" descr="A graph showing the distance travelled to work by Slough residents, split by mode category. The largest amount of people who travel to work by car or van travel less than 10km (48%)">
              <a:extLst xmlns:a="http://schemas.openxmlformats.org/drawingml/2006/main">
                <a:ext uri="{FF2B5EF4-FFF2-40B4-BE49-F238E27FC236}">
                  <a16:creationId xmlns:a16="http://schemas.microsoft.com/office/drawing/2014/main" id="{77D7625B-DCD7-48D1-9968-5CFF889E5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AF505E4" w14:textId="39D5F6C7" w:rsidR="00EF0C21" w:rsidRDefault="00777FFA" w:rsidP="00EF0C21">
      <w:pPr>
        <w:pStyle w:val="AQAPText"/>
        <w:spacing w:line="276" w:lineRule="auto"/>
      </w:pPr>
      <w:r>
        <w:t>Figure E.28</w:t>
      </w:r>
      <w:r w:rsidR="00EF0C21">
        <w:t xml:space="preserve"> below shows the mode choices for Slough residents who travel less than 10km to work. Of those who travel in a car or van, 57.2% of those journeys are by individuals driving themselves to their destination, whereas only 7.6% are passengers in a car or van. Bus, minibus or coach is the most popular mode for these short journeys out of the public transport options at 7.2%, and travel on foot is more frequently used than bicycle at 17.0% and 4.1%, respectively. </w:t>
      </w:r>
    </w:p>
    <w:p w14:paraId="7BDF678E" w14:textId="77777777" w:rsidR="00777FFA" w:rsidRDefault="00777FFA" w:rsidP="00EF0C21">
      <w:pPr>
        <w:pStyle w:val="AQAPText"/>
        <w:spacing w:line="276" w:lineRule="auto"/>
      </w:pPr>
    </w:p>
    <w:p w14:paraId="14C481ED" w14:textId="77777777" w:rsidR="00777FFA" w:rsidRDefault="00777FFA" w:rsidP="00EF0C21">
      <w:pPr>
        <w:pStyle w:val="AQAPText"/>
        <w:spacing w:line="276" w:lineRule="auto"/>
      </w:pPr>
    </w:p>
    <w:p w14:paraId="47621A07" w14:textId="77777777" w:rsidR="00777FFA" w:rsidRDefault="00777FFA" w:rsidP="00EF0C21">
      <w:pPr>
        <w:pStyle w:val="AQAPText"/>
        <w:spacing w:line="276" w:lineRule="auto"/>
      </w:pPr>
    </w:p>
    <w:p w14:paraId="5DCF616B" w14:textId="77777777" w:rsidR="00777FFA" w:rsidRDefault="00777FFA" w:rsidP="00EF0C21">
      <w:pPr>
        <w:pStyle w:val="AQAPText"/>
        <w:spacing w:line="276" w:lineRule="auto"/>
      </w:pPr>
    </w:p>
    <w:p w14:paraId="63FAC8BD" w14:textId="77777777" w:rsidR="00777FFA" w:rsidRDefault="00777FFA" w:rsidP="00EF0C21">
      <w:pPr>
        <w:pStyle w:val="AQAPText"/>
        <w:spacing w:line="276" w:lineRule="auto"/>
      </w:pPr>
    </w:p>
    <w:p w14:paraId="7593287E" w14:textId="77777777" w:rsidR="00777FFA" w:rsidRDefault="00777FFA" w:rsidP="00EF0C21">
      <w:pPr>
        <w:pStyle w:val="AQAPText"/>
        <w:spacing w:line="276" w:lineRule="auto"/>
      </w:pPr>
    </w:p>
    <w:p w14:paraId="7E3F6D90" w14:textId="77777777" w:rsidR="00777FFA" w:rsidRDefault="00777FFA" w:rsidP="00EF0C21">
      <w:pPr>
        <w:pStyle w:val="AQAPText"/>
        <w:spacing w:line="276" w:lineRule="auto"/>
      </w:pPr>
    </w:p>
    <w:p w14:paraId="5FE80786" w14:textId="77777777" w:rsidR="00777FFA" w:rsidRDefault="00777FFA" w:rsidP="00EF0C21">
      <w:pPr>
        <w:pStyle w:val="AQAPText"/>
        <w:spacing w:line="276" w:lineRule="auto"/>
      </w:pPr>
    </w:p>
    <w:p w14:paraId="2CCC549A" w14:textId="77777777" w:rsidR="00777FFA" w:rsidRDefault="00777FFA" w:rsidP="00EF0C21">
      <w:pPr>
        <w:pStyle w:val="AQAPText"/>
        <w:spacing w:line="276" w:lineRule="auto"/>
      </w:pPr>
    </w:p>
    <w:p w14:paraId="7CEC73CD" w14:textId="77777777" w:rsidR="00777FFA" w:rsidRDefault="00777FFA" w:rsidP="00EF0C21">
      <w:pPr>
        <w:pStyle w:val="AQAPText"/>
        <w:spacing w:line="276" w:lineRule="auto"/>
      </w:pPr>
    </w:p>
    <w:p w14:paraId="6CF3EA00" w14:textId="77777777" w:rsidR="00777FFA" w:rsidRDefault="00777FFA" w:rsidP="00EF0C21">
      <w:pPr>
        <w:pStyle w:val="AQAPText"/>
        <w:spacing w:line="276" w:lineRule="auto"/>
      </w:pPr>
    </w:p>
    <w:p w14:paraId="0F7C0801" w14:textId="54EA9286" w:rsidR="0008433D" w:rsidRDefault="0008433D" w:rsidP="00777FFA">
      <w:pPr>
        <w:pStyle w:val="Figures"/>
      </w:pPr>
      <w:bookmarkStart w:id="448" w:name="_Toc160129396"/>
      <w:r>
        <w:t>Figure E.28:</w:t>
      </w:r>
      <w:r w:rsidR="00777FFA">
        <w:t xml:space="preserve"> Mode choices for Slough residents who travel &lt;10km to get to work</w:t>
      </w:r>
      <w:bookmarkEnd w:id="448"/>
      <w:r w:rsidR="00777FFA">
        <w:t xml:space="preserve"> </w:t>
      </w:r>
    </w:p>
    <w:p w14:paraId="64EFC63B" w14:textId="77777777" w:rsidR="00EF0C21" w:rsidRDefault="00EF0C21" w:rsidP="00EF0C21">
      <w:pPr>
        <w:spacing w:line="276" w:lineRule="auto"/>
      </w:pPr>
      <w:r>
        <w:rPr>
          <w:noProof/>
        </w:rPr>
        <w:drawing>
          <wp:inline distT="0" distB="0" distL="0" distR="0" wp14:anchorId="47113A7F" wp14:editId="02CFACF4">
            <wp:extent cx="5731510" cy="3519578"/>
            <wp:effectExtent l="0" t="0" r="2540" b="5080"/>
            <wp:docPr id="954825969" name="Chart 1" descr="A graph showing a further split of Slough residents who travel under 10km to work and their chosen modes. The majority drive a car or van, 57.2%, followed by on foot, 17%. ">
              <a:extLst xmlns:a="http://schemas.openxmlformats.org/drawingml/2006/main">
                <a:ext uri="{FF2B5EF4-FFF2-40B4-BE49-F238E27FC236}">
                  <a16:creationId xmlns:a16="http://schemas.microsoft.com/office/drawing/2014/main" id="{493E669C-8141-E85B-EE98-3CEB7652B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BCE59A9" w14:textId="0A918227" w:rsidR="00EF0C21" w:rsidRDefault="00EF0C21" w:rsidP="00EF0C21">
      <w:pPr>
        <w:pStyle w:val="AQAPText"/>
        <w:spacing w:line="276" w:lineRule="auto"/>
      </w:pPr>
      <w:r>
        <w:t xml:space="preserve">Figure </w:t>
      </w:r>
      <w:r w:rsidR="00777FFA">
        <w:t>E.29</w:t>
      </w:r>
      <w:r>
        <w:t xml:space="preserve"> below is a map showing the percentage of Slough residents who travel less than 10km to work</w:t>
      </w:r>
      <w:r w:rsidR="00BB051E">
        <w:t xml:space="preserve"> by location</w:t>
      </w:r>
      <w:r w:rsidR="00BB051E">
        <w:rPr>
          <w:rStyle w:val="FootnoteReference"/>
        </w:rPr>
        <w:footnoteReference w:id="44"/>
      </w:r>
      <w:r w:rsidR="00BB051E">
        <w:t>.</w:t>
      </w:r>
      <w:r>
        <w:t xml:space="preserve"> A breakdown of the different modes used to travel under 10km is not available, however it can be inferred from the information shown in </w:t>
      </w:r>
      <w:r w:rsidR="00777FFA">
        <w:t>Figure E.28</w:t>
      </w:r>
      <w:r>
        <w:t xml:space="preserve"> that the majority of the journeys undertaken are done so via private vehicles. </w:t>
      </w:r>
    </w:p>
    <w:p w14:paraId="766F5345" w14:textId="6C48CA8A" w:rsidR="00EF0C21" w:rsidRDefault="00EF0C21" w:rsidP="00EF0C21">
      <w:pPr>
        <w:pStyle w:val="AQAPText"/>
        <w:spacing w:line="276" w:lineRule="auto"/>
      </w:pPr>
      <w:r>
        <w:t xml:space="preserve">Figure </w:t>
      </w:r>
      <w:r w:rsidR="00777FFA">
        <w:t xml:space="preserve">E.30 </w:t>
      </w:r>
      <w:r>
        <w:t>shows the current bus routes in Slough. The maps suggest that t</w:t>
      </w:r>
      <w:r w:rsidR="00BB051E">
        <w:t xml:space="preserve">here are routes which serve some of the areas that have the highest percentage of people who travel less than 10km to work (primarily by private vehicles), therefore there may be opportunities available to improve uptake on public transport, particularly through the BSIP, however there are some areas that appear to be poorly served by public transport. It should be noted also that areas highlighted in dark blue are primarily within industrial areas including Slough Trading Estate and Poyle Industrial Estate. As there is no split between car and van, it is not clear if these industrial areas have higher proportions of private vehicle use due to work purposes. This aspect would need further data collection to draw a reliable conclusion.  </w:t>
      </w:r>
    </w:p>
    <w:p w14:paraId="74FA649D" w14:textId="1BD3EFFA" w:rsidR="0008433D" w:rsidRDefault="0008433D" w:rsidP="00777FFA">
      <w:pPr>
        <w:pStyle w:val="Figures"/>
        <w:spacing w:after="0"/>
        <w:rPr>
          <w:noProof/>
        </w:rPr>
      </w:pPr>
      <w:bookmarkStart w:id="449" w:name="_Toc160129397"/>
      <w:r>
        <w:t>Figure E.29:</w:t>
      </w:r>
      <w:r w:rsidR="00777FFA">
        <w:t xml:space="preserve"> percentage of Slough residents who travel less than 10km to work by location</w:t>
      </w:r>
      <w:bookmarkEnd w:id="449"/>
    </w:p>
    <w:p w14:paraId="27DA829E" w14:textId="77777777" w:rsidR="00EF0C21" w:rsidRDefault="00EF0C21" w:rsidP="00EF0C21">
      <w:pPr>
        <w:pStyle w:val="AQAPText"/>
        <w:spacing w:line="276" w:lineRule="auto"/>
      </w:pPr>
      <w:r>
        <w:rPr>
          <w:noProof/>
        </w:rPr>
        <w:drawing>
          <wp:inline distT="0" distB="0" distL="0" distR="0" wp14:anchorId="7C09C98A" wp14:editId="2D6F20CC">
            <wp:extent cx="3639190" cy="319172"/>
            <wp:effectExtent l="0" t="0" r="0" b="5080"/>
            <wp:docPr id="639135245" name="Picture 1">
              <a:extLst xmlns:a="http://schemas.openxmlformats.org/drawingml/2006/main">
                <a:ext uri="{FF2B5EF4-FFF2-40B4-BE49-F238E27FC236}">
                  <a16:creationId xmlns:a16="http://schemas.microsoft.com/office/drawing/2014/main" id="{5BD39531-C4FE-9B83-C38A-DDDAA399336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35245" name="Picture 1">
                      <a:extLst>
                        <a:ext uri="{FF2B5EF4-FFF2-40B4-BE49-F238E27FC236}">
                          <a16:creationId xmlns:a16="http://schemas.microsoft.com/office/drawing/2014/main" id="{5BD39531-C4FE-9B83-C38A-DDDAA3993360}"/>
                        </a:ext>
                        <a:ext uri="{C183D7F6-B498-43B3-948B-1728B52AA6E4}">
                          <adec:decorative xmlns:adec="http://schemas.microsoft.com/office/drawing/2017/decorative" val="1"/>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9190" cy="319172"/>
                    </a:xfrm>
                    <a:prstGeom prst="rect">
                      <a:avLst/>
                    </a:prstGeom>
                  </pic:spPr>
                </pic:pic>
              </a:graphicData>
            </a:graphic>
          </wp:inline>
        </w:drawing>
      </w:r>
      <w:r>
        <w:rPr>
          <w:noProof/>
        </w:rPr>
        <w:drawing>
          <wp:inline distT="0" distB="0" distL="0" distR="0" wp14:anchorId="0A82B8E4" wp14:editId="3054F303">
            <wp:extent cx="5408762" cy="3261676"/>
            <wp:effectExtent l="0" t="0" r="1905" b="0"/>
            <wp:docPr id="735257944" name="Picture 1" descr="A map showing the percentage of Slough residents who travel less than 10km to work, by location. The highest percentage areas appear to be on the northern outskirts of the borough and industri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57944" name="Picture 1" descr="A map showing the percentage of Slough residents who travel less than 10km to work, by location. The highest percentage areas appear to be on the northern outskirts of the borough and industrial areas."/>
                    <pic:cNvPicPr/>
                  </pic:nvPicPr>
                  <pic:blipFill>
                    <a:blip r:embed="rId69"/>
                    <a:stretch>
                      <a:fillRect/>
                    </a:stretch>
                  </pic:blipFill>
                  <pic:spPr>
                    <a:xfrm>
                      <a:off x="0" y="0"/>
                      <a:ext cx="5427822" cy="3273170"/>
                    </a:xfrm>
                    <a:prstGeom prst="rect">
                      <a:avLst/>
                    </a:prstGeom>
                  </pic:spPr>
                </pic:pic>
              </a:graphicData>
            </a:graphic>
          </wp:inline>
        </w:drawing>
      </w:r>
    </w:p>
    <w:p w14:paraId="7A0C7F93" w14:textId="264C88F5" w:rsidR="00EF0C21" w:rsidRDefault="0008433D" w:rsidP="00EF0C21">
      <w:pPr>
        <w:pStyle w:val="AQAPText"/>
        <w:spacing w:line="276" w:lineRule="auto"/>
      </w:pPr>
      <w:bookmarkStart w:id="450" w:name="_Toc160129398"/>
      <w:r w:rsidRPr="00777FFA">
        <w:rPr>
          <w:rStyle w:val="FiguresChar"/>
        </w:rPr>
        <w:t>Figure E.30:</w:t>
      </w:r>
      <w:r w:rsidR="00777FFA" w:rsidRPr="00777FFA">
        <w:rPr>
          <w:rStyle w:val="FiguresChar"/>
        </w:rPr>
        <w:t xml:space="preserve"> Bus routes in Slough</w:t>
      </w:r>
      <w:bookmarkEnd w:id="450"/>
      <w:r w:rsidR="00EF0C21">
        <w:rPr>
          <w:noProof/>
        </w:rPr>
        <w:drawing>
          <wp:inline distT="0" distB="0" distL="0" distR="0" wp14:anchorId="7834DB09" wp14:editId="7DB990B3">
            <wp:extent cx="5408295" cy="3839016"/>
            <wp:effectExtent l="0" t="0" r="1905" b="9525"/>
            <wp:docPr id="1561654552" name="Picture 1" descr="A map of bus routes in Slough. Some areas are well served (e.g. around the trading estate) whereas others are not (e.g. the southern bound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54552" name="Picture 1" descr="A map of bus routes in Slough. Some areas are well served (e.g. around the trading estate) whereas others are not (e.g. the southern boundary). "/>
                    <pic:cNvPicPr/>
                  </pic:nvPicPr>
                  <pic:blipFill>
                    <a:blip r:embed="rId70"/>
                    <a:stretch>
                      <a:fillRect/>
                    </a:stretch>
                  </pic:blipFill>
                  <pic:spPr>
                    <a:xfrm>
                      <a:off x="0" y="0"/>
                      <a:ext cx="5420585" cy="3847740"/>
                    </a:xfrm>
                    <a:prstGeom prst="rect">
                      <a:avLst/>
                    </a:prstGeom>
                  </pic:spPr>
                </pic:pic>
              </a:graphicData>
            </a:graphic>
          </wp:inline>
        </w:drawing>
      </w:r>
    </w:p>
    <w:p w14:paraId="4C873099" w14:textId="77777777" w:rsidR="00EF0C21" w:rsidRDefault="00EF0C21" w:rsidP="00EF0C21">
      <w:pPr>
        <w:pStyle w:val="AQAPText"/>
        <w:spacing w:line="276" w:lineRule="auto"/>
      </w:pPr>
    </w:p>
    <w:p w14:paraId="796043B5" w14:textId="692B0A66" w:rsidR="00EF0C21" w:rsidRDefault="00992EEE" w:rsidP="00EF0C21">
      <w:pPr>
        <w:pStyle w:val="AQAPText"/>
        <w:spacing w:line="276" w:lineRule="auto"/>
      </w:pPr>
      <w:r>
        <w:t>W</w:t>
      </w:r>
      <w:r w:rsidR="00EF0C21">
        <w:t xml:space="preserve">hen considering mode choice change over time, the proportion of residents who travelled to work by car has reduced from 2011 to 2021. </w:t>
      </w:r>
      <w:r w:rsidR="00777FFA">
        <w:t>Figure E.31</w:t>
      </w:r>
      <w:r w:rsidR="00EF0C21">
        <w:t xml:space="preserve"> below shows that in 2011, 66.6% of Slough residents travelled to work via car or van, which decreased by 19.9% by 2021 to 46.7%. On balance, the proportion of Slough residents who mainly work from home has increased from 2011 to 2021 by 20.4%, from 6.7% to 27.1%. </w:t>
      </w:r>
      <w:r w:rsidR="00777FFA">
        <w:t>Figure E.32</w:t>
      </w:r>
      <w:r>
        <w:t xml:space="preserve"> shows the same data but with the home working and driving portions removed to better visualise the changes in lesser used modes. </w:t>
      </w:r>
      <w:r w:rsidR="00EF0C21">
        <w:t xml:space="preserve">In regards to active travel modes, there is almost no increase (0.04%) in the number of people who are choosing to cycle to work, and the number of people who walk to work has reduced by 0.1%. </w:t>
      </w:r>
    </w:p>
    <w:p w14:paraId="1341A5C0" w14:textId="2E440EA0" w:rsidR="0008433D" w:rsidRDefault="0008433D" w:rsidP="00777FFA">
      <w:pPr>
        <w:pStyle w:val="Figures"/>
      </w:pPr>
      <w:bookmarkStart w:id="451" w:name="_Toc160129399"/>
      <w:r>
        <w:t>Figure E.31:</w:t>
      </w:r>
      <w:r w:rsidR="00777FFA">
        <w:t xml:space="preserve"> Mode of travel to work in 2011 and 2021</w:t>
      </w:r>
      <w:bookmarkEnd w:id="451"/>
    </w:p>
    <w:p w14:paraId="1CCA718D" w14:textId="77777777" w:rsidR="00EF0C21" w:rsidRDefault="00EF0C21" w:rsidP="00EF0C21">
      <w:pPr>
        <w:pStyle w:val="AQAPText"/>
        <w:spacing w:line="276" w:lineRule="auto"/>
      </w:pPr>
      <w:r w:rsidRPr="009F0379">
        <w:rPr>
          <w:noProof/>
          <w:shd w:val="clear" w:color="auto" w:fill="EFA9E0"/>
        </w:rPr>
        <w:drawing>
          <wp:inline distT="0" distB="0" distL="0" distR="0" wp14:anchorId="598140BF" wp14:editId="54D9AA9E">
            <wp:extent cx="5731510" cy="4175184"/>
            <wp:effectExtent l="0" t="0" r="2540" b="15875"/>
            <wp:docPr id="396824183" name="Chart 1" descr="A graph to show the mode of travel to work in 2011 compared to 2021. The amount of people who travel to work via car or van has reduced from 2011 to 2021.">
              <a:extLst xmlns:a="http://schemas.openxmlformats.org/drawingml/2006/main">
                <a:ext uri="{FF2B5EF4-FFF2-40B4-BE49-F238E27FC236}">
                  <a16:creationId xmlns:a16="http://schemas.microsoft.com/office/drawing/2014/main" id="{D2AFF5B7-2A38-54CE-89E0-143E589D39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1E5283F" w14:textId="77777777" w:rsidR="00777FFA" w:rsidRDefault="00777FFA" w:rsidP="00EF0C21">
      <w:pPr>
        <w:pStyle w:val="AQAPText"/>
        <w:spacing w:line="276" w:lineRule="auto"/>
      </w:pPr>
    </w:p>
    <w:p w14:paraId="39946323" w14:textId="77777777" w:rsidR="00777FFA" w:rsidRDefault="00777FFA" w:rsidP="00EF0C21">
      <w:pPr>
        <w:pStyle w:val="AQAPText"/>
        <w:spacing w:line="276" w:lineRule="auto"/>
      </w:pPr>
    </w:p>
    <w:p w14:paraId="3DB5A517" w14:textId="77777777" w:rsidR="00777FFA" w:rsidRDefault="00777FFA" w:rsidP="00EF0C21">
      <w:pPr>
        <w:pStyle w:val="AQAPText"/>
        <w:spacing w:line="276" w:lineRule="auto"/>
      </w:pPr>
    </w:p>
    <w:p w14:paraId="027E5272" w14:textId="77777777" w:rsidR="00777FFA" w:rsidRDefault="00777FFA" w:rsidP="00EF0C21">
      <w:pPr>
        <w:pStyle w:val="AQAPText"/>
        <w:spacing w:line="276" w:lineRule="auto"/>
      </w:pPr>
    </w:p>
    <w:p w14:paraId="47E4756E" w14:textId="77777777" w:rsidR="00777FFA" w:rsidRDefault="00777FFA" w:rsidP="00EF0C21">
      <w:pPr>
        <w:pStyle w:val="AQAPText"/>
        <w:spacing w:line="276" w:lineRule="auto"/>
      </w:pPr>
    </w:p>
    <w:p w14:paraId="0B75DE1F" w14:textId="6AD06EA6" w:rsidR="0008433D" w:rsidRDefault="0008433D" w:rsidP="00777FFA">
      <w:pPr>
        <w:pStyle w:val="Figures"/>
      </w:pPr>
      <w:bookmarkStart w:id="452" w:name="_Toc160129400"/>
      <w:r>
        <w:t>Figure E.32:</w:t>
      </w:r>
      <w:r w:rsidR="00777FFA" w:rsidRPr="00777FFA">
        <w:t xml:space="preserve"> </w:t>
      </w:r>
      <w:r w:rsidR="00777FFA">
        <w:t>Mode of travel to work in 2011 and 2021 (excluding home working and driving a car or van)</w:t>
      </w:r>
      <w:bookmarkEnd w:id="452"/>
    </w:p>
    <w:p w14:paraId="1D7300F2" w14:textId="77777777" w:rsidR="00EF0C21" w:rsidRDefault="00EF0C21" w:rsidP="00EF0C21">
      <w:pPr>
        <w:pStyle w:val="AQAPText"/>
        <w:spacing w:line="276" w:lineRule="auto"/>
      </w:pPr>
      <w:r>
        <w:rPr>
          <w:noProof/>
        </w:rPr>
        <w:drawing>
          <wp:inline distT="0" distB="0" distL="0" distR="0" wp14:anchorId="12CC63C6" wp14:editId="33211F6A">
            <wp:extent cx="5731510" cy="3959525"/>
            <wp:effectExtent l="0" t="0" r="2540" b="3175"/>
            <wp:docPr id="197351584" name="Chart 1" descr="A graph showing the mode of travel to work in 2011 and 2021, excluding the portion of residents who work from home or drive a car or van to work, to show the lower percentages of other travel options more clearly. Travel on foot or by bicycle has changed very little in 10 years. ">
              <a:extLst xmlns:a="http://schemas.openxmlformats.org/drawingml/2006/main">
                <a:ext uri="{FF2B5EF4-FFF2-40B4-BE49-F238E27FC236}">
                  <a16:creationId xmlns:a16="http://schemas.microsoft.com/office/drawing/2014/main" id="{48AEE9C6-C1AC-408C-A0E9-E76A6BC1A7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FF80BC5" w14:textId="77777777" w:rsidR="00EF0C21" w:rsidRDefault="00EF0C21" w:rsidP="00EF0C21">
      <w:pPr>
        <w:pStyle w:val="AQAPText"/>
        <w:spacing w:line="276" w:lineRule="auto"/>
      </w:pPr>
    </w:p>
    <w:p w14:paraId="739720A6" w14:textId="26444806" w:rsidR="00EF0C21" w:rsidRDefault="00EF0C21" w:rsidP="00EF0C21">
      <w:pPr>
        <w:pStyle w:val="AQAPText"/>
        <w:spacing w:line="276" w:lineRule="auto"/>
      </w:pPr>
      <w:r>
        <w:t xml:space="preserve">When considering census data from 2011, the quantity of residents in Slough who work from home has </w:t>
      </w:r>
      <w:r w:rsidR="00992EEE">
        <w:t>tripled</w:t>
      </w:r>
      <w:r>
        <w:t xml:space="preserve">, which </w:t>
      </w:r>
      <w:r w:rsidR="00992EEE">
        <w:t>is</w:t>
      </w:r>
      <w:r>
        <w:t xml:space="preserve"> likely to have been accelerated by improvements in technology since 2011 and the Covid-19 pandemic which saw an increase in home working from March 2020 onwards. </w:t>
      </w:r>
    </w:p>
    <w:p w14:paraId="07CC67B6" w14:textId="77777777" w:rsidR="00EF0C21" w:rsidRPr="0008433D" w:rsidRDefault="00EF0C21" w:rsidP="0008433D">
      <w:pPr>
        <w:pStyle w:val="Heading2"/>
        <w:numPr>
          <w:ilvl w:val="1"/>
          <w:numId w:val="78"/>
        </w:numPr>
        <w:rPr>
          <w:rStyle w:val="Hyperlink"/>
          <w:color w:val="008938"/>
          <w:sz w:val="24"/>
          <w:szCs w:val="24"/>
          <w:u w:val="none"/>
        </w:rPr>
      </w:pPr>
      <w:bookmarkStart w:id="453" w:name="_Toc160129653"/>
      <w:r w:rsidRPr="0008433D">
        <w:rPr>
          <w:rStyle w:val="Hyperlink"/>
          <w:color w:val="008938"/>
          <w:sz w:val="24"/>
          <w:szCs w:val="24"/>
          <w:u w:val="none"/>
        </w:rPr>
        <w:t>Summary</w:t>
      </w:r>
      <w:bookmarkEnd w:id="453"/>
    </w:p>
    <w:p w14:paraId="47B357B5" w14:textId="541EDC6D" w:rsidR="00EF0C21" w:rsidRDefault="00EF0C21" w:rsidP="00EF0C21">
      <w:pPr>
        <w:pStyle w:val="AQAPText"/>
        <w:spacing w:line="276" w:lineRule="auto"/>
      </w:pPr>
      <w:r>
        <w:t xml:space="preserve">In summary, areas with high population density including Reading, Portsmouth and Southampton tend to have a high </w:t>
      </w:r>
      <w:r w:rsidR="00992EEE">
        <w:t>number</w:t>
      </w:r>
      <w:r>
        <w:t xml:space="preserve"> of households who do not have access to a car, at 28.4%, 30.3% and 27.4%, respectively. Slough in comparison has a low</w:t>
      </w:r>
      <w:r w:rsidR="00992EEE">
        <w:t>er</w:t>
      </w:r>
      <w:r>
        <w:t xml:space="preserve"> number of households without access to a car at 20.3%. </w:t>
      </w:r>
    </w:p>
    <w:p w14:paraId="46388322" w14:textId="185F8550" w:rsidR="00EF0C21" w:rsidRDefault="00EF0C21" w:rsidP="00EF0C21">
      <w:pPr>
        <w:pStyle w:val="AQAPText"/>
        <w:spacing w:line="276" w:lineRule="auto"/>
      </w:pPr>
      <w:r>
        <w:t>Areas with high population density also tend to have a low</w:t>
      </w:r>
      <w:r w:rsidR="00992EEE">
        <w:t>er</w:t>
      </w:r>
      <w:r>
        <w:t xml:space="preserve"> </w:t>
      </w:r>
      <w:r w:rsidR="00992EEE">
        <w:t>number</w:t>
      </w:r>
      <w:r>
        <w:t xml:space="preserve"> of households with multiple cars, as the proportion of households in Reading, Portsmouth and Southampton with access to three or more cars or vans </w:t>
      </w:r>
      <w:r w:rsidR="00992EEE">
        <w:t>is</w:t>
      </w:r>
      <w:r>
        <w:t xml:space="preserve"> 6.2%, 5.4% and 6.5%, respectively. Slough in comparison has 10.1% of households with 3 or more cars or vans. </w:t>
      </w:r>
    </w:p>
    <w:p w14:paraId="010B9B07" w14:textId="46DAC653" w:rsidR="00EF0C21" w:rsidRDefault="00EF0C21" w:rsidP="00EF0C21">
      <w:pPr>
        <w:pStyle w:val="AQAPText"/>
        <w:spacing w:line="276" w:lineRule="auto"/>
      </w:pPr>
      <w:r>
        <w:t xml:space="preserve">In regards to travel behaviours, of the 26% of Slough residents who are employed and travel to work, 71% travel via a car or van (64% single occupant, 7% passengers). Of those who are employed and travel to work, 68% travel less than 10km, and over half of those journeys are by private vehicles, despite the journey being relatively short and there being alternative modes of travel </w:t>
      </w:r>
      <w:r w:rsidR="00992EEE">
        <w:t>such as public transport being available to most areas</w:t>
      </w:r>
      <w:r>
        <w:t xml:space="preserve">. </w:t>
      </w:r>
    </w:p>
    <w:p w14:paraId="35470FB2" w14:textId="77777777" w:rsidR="00EF0C21" w:rsidRDefault="00EF0C21" w:rsidP="00EF0C21">
      <w:pPr>
        <w:pStyle w:val="AQAPText"/>
        <w:spacing w:line="276" w:lineRule="auto"/>
      </w:pPr>
      <w:r>
        <w:t xml:space="preserve">When considering mode choice over time however, the proportion of residents who travel by driving a car or van has reduced from 2011 to 2021 by 19.9%. This is balanced by a large increase in the proportion of residents who mainly work at or from home, which will have benefits to air quality. </w:t>
      </w:r>
    </w:p>
    <w:p w14:paraId="0231E354" w14:textId="77777777" w:rsidR="00EF0C21" w:rsidRDefault="00EF0C21" w:rsidP="00EF0C21">
      <w:pPr>
        <w:pStyle w:val="AQAPText"/>
        <w:spacing w:line="276" w:lineRule="auto"/>
      </w:pPr>
    </w:p>
    <w:p w14:paraId="677F861F" w14:textId="77777777" w:rsidR="00EF0C21" w:rsidRDefault="00EF0C21" w:rsidP="00EF0C21"/>
    <w:p w14:paraId="6CA48C7E" w14:textId="77777777" w:rsidR="00EF0C21" w:rsidRDefault="00EF0C21" w:rsidP="00EF0C21"/>
    <w:p w14:paraId="3EF17365" w14:textId="7FAEBD39" w:rsidR="00EF0C21" w:rsidRDefault="00EF0C21">
      <w:pPr>
        <w:spacing w:before="0" w:after="0" w:line="240" w:lineRule="auto"/>
      </w:pPr>
      <w:r>
        <w:br w:type="page"/>
      </w:r>
    </w:p>
    <w:p w14:paraId="6EDAFB4C" w14:textId="77777777" w:rsidR="00EF0C21" w:rsidRDefault="00EF0C21" w:rsidP="00EF0C21">
      <w:pPr>
        <w:sectPr w:rsidR="00EF0C21" w:rsidSect="004E54A8">
          <w:pgSz w:w="11906" w:h="16838" w:code="9"/>
          <w:pgMar w:top="1474" w:right="1418" w:bottom="1134" w:left="1418" w:header="964" w:footer="454" w:gutter="0"/>
          <w:cols w:space="708"/>
          <w:docGrid w:linePitch="360"/>
        </w:sectPr>
      </w:pPr>
    </w:p>
    <w:p w14:paraId="491DE3B9" w14:textId="77777777" w:rsidR="007524F8" w:rsidRDefault="00EF0C21" w:rsidP="007524F8">
      <w:pPr>
        <w:pStyle w:val="Heading1"/>
        <w:spacing w:before="0" w:after="0"/>
      </w:pPr>
      <w:bookmarkStart w:id="454" w:name="_Toc160129654"/>
      <w:r>
        <w:t>Appendix F: Maps</w:t>
      </w:r>
      <w:bookmarkEnd w:id="454"/>
      <w:r>
        <w:t xml:space="preserve"> </w:t>
      </w:r>
      <w:bookmarkStart w:id="455" w:name="_Toc160129401"/>
    </w:p>
    <w:p w14:paraId="0D61192D" w14:textId="786EAE33" w:rsidR="00652386" w:rsidRPr="007524F8" w:rsidRDefault="00652386" w:rsidP="007524F8">
      <w:pPr>
        <w:pStyle w:val="Figures"/>
      </w:pPr>
      <w:r w:rsidRPr="007524F8">
        <w:t>Figure F.1: Air Quality Management Areas in Slough</w:t>
      </w:r>
      <w:bookmarkEnd w:id="455"/>
      <w:r w:rsidRPr="007524F8">
        <w:t xml:space="preserve"> </w:t>
      </w:r>
    </w:p>
    <w:p w14:paraId="69D2B4D5" w14:textId="04DD205C" w:rsidR="00652386" w:rsidRDefault="007524F8" w:rsidP="00652386">
      <w:r w:rsidRPr="00652386">
        <w:rPr>
          <w:rStyle w:val="FiguresChar"/>
          <w:noProof/>
        </w:rPr>
        <w:drawing>
          <wp:inline distT="0" distB="0" distL="0" distR="0" wp14:anchorId="7454B762" wp14:editId="19F01083">
            <wp:extent cx="6481916" cy="4508365"/>
            <wp:effectExtent l="0" t="0" r="0" b="6985"/>
            <wp:docPr id="509293725" name="Picture 1" descr="A map showing all of the air quality management areas in Sl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93725" name="Picture 1" descr="A map showing all of the air quality management areas in Slough "/>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872" b="4368"/>
                    <a:stretch/>
                  </pic:blipFill>
                  <pic:spPr bwMode="auto">
                    <a:xfrm>
                      <a:off x="0" y="0"/>
                      <a:ext cx="6507045" cy="4525843"/>
                    </a:xfrm>
                    <a:prstGeom prst="rect">
                      <a:avLst/>
                    </a:prstGeom>
                    <a:noFill/>
                    <a:ln>
                      <a:noFill/>
                    </a:ln>
                    <a:extLst>
                      <a:ext uri="{53640926-AAD7-44D8-BBD7-CCE9431645EC}">
                        <a14:shadowObscured xmlns:a14="http://schemas.microsoft.com/office/drawing/2010/main"/>
                      </a:ext>
                    </a:extLst>
                  </pic:spPr>
                </pic:pic>
              </a:graphicData>
            </a:graphic>
          </wp:inline>
        </w:drawing>
      </w:r>
    </w:p>
    <w:p w14:paraId="2B366071" w14:textId="4FD465AB" w:rsidR="00652386" w:rsidRPr="00652386" w:rsidRDefault="00652386" w:rsidP="00652386">
      <w:pPr>
        <w:pStyle w:val="Figures"/>
      </w:pPr>
      <w:bookmarkStart w:id="456" w:name="_Toc160129402"/>
      <w:r>
        <w:t>Figure F.2: Passive diffusion tube monitoring sites in Slough</w:t>
      </w:r>
      <w:bookmarkEnd w:id="456"/>
      <w:r>
        <w:t xml:space="preserve"> </w:t>
      </w:r>
    </w:p>
    <w:p w14:paraId="10C6530F" w14:textId="77777777" w:rsidR="00EF0C21" w:rsidRDefault="00EF0C21" w:rsidP="00EF0C21">
      <w:r>
        <w:rPr>
          <w:noProof/>
        </w:rPr>
        <w:drawing>
          <wp:inline distT="0" distB="0" distL="0" distR="0" wp14:anchorId="129C2190" wp14:editId="126DF43C">
            <wp:extent cx="7262752" cy="5134708"/>
            <wp:effectExtent l="0" t="0" r="0" b="8890"/>
            <wp:docPr id="776011647" name="Picture 2" descr="A map showing all of the diffusion tube monitoring sites in Sl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11647" name="Picture 2" descr="A map showing all of the diffusion tube monitoring sites in Slough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298092" cy="5159693"/>
                    </a:xfrm>
                    <a:prstGeom prst="rect">
                      <a:avLst/>
                    </a:prstGeom>
                    <a:noFill/>
                    <a:ln>
                      <a:noFill/>
                    </a:ln>
                  </pic:spPr>
                </pic:pic>
              </a:graphicData>
            </a:graphic>
          </wp:inline>
        </w:drawing>
      </w:r>
    </w:p>
    <w:p w14:paraId="3499560B" w14:textId="63D2A1CC" w:rsidR="00652386" w:rsidRDefault="00652386" w:rsidP="00652386">
      <w:pPr>
        <w:pStyle w:val="Figures"/>
      </w:pPr>
      <w:bookmarkStart w:id="457" w:name="_Toc160129403"/>
      <w:r>
        <w:t>Figure F.3: Automatic (continuous) monitoring sites in Slough</w:t>
      </w:r>
      <w:bookmarkEnd w:id="457"/>
      <w:r>
        <w:t xml:space="preserve"> </w:t>
      </w:r>
    </w:p>
    <w:p w14:paraId="7D74910B" w14:textId="77777777" w:rsidR="00EF0C21" w:rsidRDefault="00CD700F" w:rsidP="00EF0C21">
      <w:r>
        <w:rPr>
          <w:noProof/>
        </w:rPr>
        <w:drawing>
          <wp:inline distT="0" distB="0" distL="0" distR="0" wp14:anchorId="35133457" wp14:editId="633CC56F">
            <wp:extent cx="7244261" cy="5080000"/>
            <wp:effectExtent l="0" t="0" r="0" b="6350"/>
            <wp:docPr id="1003111492" name="Picture 3" descr="A map showing all of the continuous monitors in Sl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11492" name="Picture 3" descr="A map showing all of the continuous monitors in Slough "/>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701" t="2122" r="1888" b="2250"/>
                    <a:stretch/>
                  </pic:blipFill>
                  <pic:spPr bwMode="auto">
                    <a:xfrm>
                      <a:off x="0" y="0"/>
                      <a:ext cx="7256869" cy="5088842"/>
                    </a:xfrm>
                    <a:prstGeom prst="rect">
                      <a:avLst/>
                    </a:prstGeom>
                    <a:noFill/>
                    <a:ln>
                      <a:noFill/>
                    </a:ln>
                    <a:extLst>
                      <a:ext uri="{53640926-AAD7-44D8-BBD7-CCE9431645EC}">
                        <a14:shadowObscured xmlns:a14="http://schemas.microsoft.com/office/drawing/2010/main"/>
                      </a:ext>
                    </a:extLst>
                  </pic:spPr>
                </pic:pic>
              </a:graphicData>
            </a:graphic>
          </wp:inline>
        </w:drawing>
      </w:r>
    </w:p>
    <w:p w14:paraId="61E793A2" w14:textId="2ABC7199" w:rsidR="00CD700F" w:rsidRDefault="00CD700F" w:rsidP="00EF0C21">
      <w:pPr>
        <w:sectPr w:rsidR="00CD700F" w:rsidSect="00EF0C21">
          <w:pgSz w:w="16838" w:h="11906" w:orient="landscape" w:code="9"/>
          <w:pgMar w:top="1418" w:right="1474" w:bottom="1418" w:left="1134" w:header="964" w:footer="454" w:gutter="0"/>
          <w:cols w:space="708"/>
          <w:docGrid w:linePitch="360"/>
        </w:sectPr>
      </w:pPr>
    </w:p>
    <w:p w14:paraId="4D87D3F3" w14:textId="17885B0B" w:rsidR="00EF0C21" w:rsidRDefault="00CD700F" w:rsidP="00F77171">
      <w:pPr>
        <w:pStyle w:val="Heading1"/>
      </w:pPr>
      <w:bookmarkStart w:id="458" w:name="_Toc160129655"/>
      <w:r>
        <w:t>Appendix G: Air Quality Objectives</w:t>
      </w:r>
      <w:bookmarkEnd w:id="458"/>
      <w:r>
        <w:t xml:space="preserve"> </w:t>
      </w:r>
    </w:p>
    <w:p w14:paraId="65D6B9AF" w14:textId="60481709" w:rsidR="00CD700F" w:rsidRPr="00D358A4" w:rsidRDefault="00CD700F" w:rsidP="005E68AF">
      <w:pPr>
        <w:rPr>
          <w:b/>
          <w:bCs/>
        </w:rPr>
      </w:pPr>
      <w:r w:rsidRPr="00D358A4">
        <w:rPr>
          <w:b/>
          <w:bCs/>
        </w:rPr>
        <w:t>The Air Quality (England) Regulations 2000 (2002 as amended)</w:t>
      </w:r>
    </w:p>
    <w:p w14:paraId="076042D4" w14:textId="77777777" w:rsidR="005E68AF" w:rsidRDefault="005E68AF" w:rsidP="005E68AF"/>
    <w:tbl>
      <w:tblPr>
        <w:tblStyle w:val="TableStyle4"/>
        <w:tblpPr w:leftFromText="180" w:rightFromText="180" w:vertAnchor="page" w:horzAnchor="margin" w:tblpY="3132"/>
        <w:tblW w:w="9067" w:type="dxa"/>
        <w:tblLook w:val="04A0" w:firstRow="1" w:lastRow="0" w:firstColumn="1" w:lastColumn="0" w:noHBand="0" w:noVBand="1"/>
        <w:tblCaption w:val="Air Quality Objectives in England"/>
      </w:tblPr>
      <w:tblGrid>
        <w:gridCol w:w="2282"/>
        <w:gridCol w:w="4943"/>
        <w:gridCol w:w="1842"/>
      </w:tblGrid>
      <w:tr w:rsidR="00CD700F" w:rsidRPr="0097313B" w14:paraId="0B895230" w14:textId="77777777" w:rsidTr="005E68A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282" w:type="dxa"/>
          </w:tcPr>
          <w:p w14:paraId="023EA0D4" w14:textId="77777777" w:rsidR="00CD700F" w:rsidRPr="002B1E43" w:rsidRDefault="00CD700F" w:rsidP="005E68AF">
            <w:pPr>
              <w:spacing w:line="240" w:lineRule="auto"/>
              <w:jc w:val="left"/>
              <w:rPr>
                <w:rFonts w:cs="Arial"/>
                <w:szCs w:val="32"/>
              </w:rPr>
            </w:pPr>
            <w:r w:rsidRPr="002B1E43">
              <w:rPr>
                <w:rFonts w:cs="Arial"/>
                <w:szCs w:val="32"/>
              </w:rPr>
              <w:t>Pollutant</w:t>
            </w:r>
          </w:p>
        </w:tc>
        <w:tc>
          <w:tcPr>
            <w:tcW w:w="4943" w:type="dxa"/>
          </w:tcPr>
          <w:p w14:paraId="37AC9A4A" w14:textId="77777777" w:rsidR="00CD700F" w:rsidRPr="002B1E43" w:rsidRDefault="00CD700F" w:rsidP="005E68A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Air Quality Objective</w:t>
            </w:r>
          </w:p>
        </w:tc>
        <w:tc>
          <w:tcPr>
            <w:tcW w:w="1842" w:type="dxa"/>
          </w:tcPr>
          <w:p w14:paraId="73A7E857" w14:textId="77777777" w:rsidR="00CD700F" w:rsidRPr="002B1E43" w:rsidRDefault="00CD700F" w:rsidP="005E68A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Averaging Period</w:t>
            </w:r>
          </w:p>
        </w:tc>
      </w:tr>
      <w:tr w:rsidR="00CD700F" w:rsidRPr="0097313B" w14:paraId="75DE968A"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2E22A33A" w14:textId="1DF88FE8" w:rsidR="00CD700F" w:rsidRPr="005E68AF" w:rsidRDefault="005E68AF" w:rsidP="005E68AF">
            <w:pPr>
              <w:spacing w:before="0" w:after="0" w:line="240" w:lineRule="auto"/>
              <w:rPr>
                <w:rFonts w:cs="Arial"/>
                <w:sz w:val="20"/>
              </w:rPr>
            </w:pPr>
            <w:r>
              <w:rPr>
                <w:rFonts w:cs="Arial"/>
                <w:color w:val="0B0C0C"/>
              </w:rPr>
              <w:t>Nitrogen dioxide</w:t>
            </w:r>
          </w:p>
        </w:tc>
        <w:tc>
          <w:tcPr>
            <w:tcW w:w="4943" w:type="dxa"/>
            <w:vAlign w:val="top"/>
          </w:tcPr>
          <w:p w14:paraId="01DCACDC" w14:textId="270E8203"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200μg/m</w:t>
            </w:r>
            <w:r w:rsidRPr="005E68AF">
              <w:rPr>
                <w:rFonts w:cs="Arial"/>
                <w:color w:val="0B0C0C"/>
                <w:sz w:val="19"/>
                <w:szCs w:val="19"/>
                <w:vertAlign w:val="superscript"/>
              </w:rPr>
              <w:t>3</w:t>
            </w:r>
            <w:r w:rsidRPr="005E68AF">
              <w:rPr>
                <w:rFonts w:cs="Arial"/>
                <w:color w:val="0B0C0C"/>
              </w:rPr>
              <w:t> not to be exceeded more than 18 times per year</w:t>
            </w:r>
          </w:p>
        </w:tc>
        <w:tc>
          <w:tcPr>
            <w:tcW w:w="1842" w:type="dxa"/>
            <w:vAlign w:val="top"/>
          </w:tcPr>
          <w:p w14:paraId="09E01DA9"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1-hour mean</w:t>
            </w:r>
          </w:p>
        </w:tc>
      </w:tr>
      <w:tr w:rsidR="00CD700F" w:rsidRPr="0097313B" w14:paraId="5F854CC3"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77421B2A" w14:textId="4EB3D935" w:rsidR="00CD700F" w:rsidRPr="005E68AF" w:rsidRDefault="005E68AF" w:rsidP="005E68AF">
            <w:pPr>
              <w:spacing w:before="0" w:after="0" w:line="240" w:lineRule="auto"/>
              <w:rPr>
                <w:rFonts w:cs="Arial"/>
                <w:sz w:val="20"/>
              </w:rPr>
            </w:pPr>
            <w:r>
              <w:rPr>
                <w:rFonts w:cs="Arial"/>
                <w:color w:val="0B0C0C"/>
              </w:rPr>
              <w:t>Nitrogen dioxide</w:t>
            </w:r>
          </w:p>
        </w:tc>
        <w:tc>
          <w:tcPr>
            <w:tcW w:w="4943" w:type="dxa"/>
            <w:vAlign w:val="top"/>
          </w:tcPr>
          <w:p w14:paraId="3E1912AB" w14:textId="4E99A0AB"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40μg/m</w:t>
            </w:r>
            <w:r w:rsidRPr="005E68AF">
              <w:rPr>
                <w:rFonts w:cs="Arial"/>
                <w:color w:val="0B0C0C"/>
                <w:sz w:val="19"/>
                <w:szCs w:val="19"/>
                <w:vertAlign w:val="superscript"/>
              </w:rPr>
              <w:t>3</w:t>
            </w:r>
          </w:p>
        </w:tc>
        <w:tc>
          <w:tcPr>
            <w:tcW w:w="1842" w:type="dxa"/>
            <w:vAlign w:val="top"/>
          </w:tcPr>
          <w:p w14:paraId="62EE0010"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Annual mean</w:t>
            </w:r>
          </w:p>
        </w:tc>
      </w:tr>
      <w:tr w:rsidR="00CD700F" w:rsidRPr="0097313B" w14:paraId="310CB09D"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17DEC4B6" w14:textId="6C55EAF7" w:rsidR="00CD700F" w:rsidRPr="005E68AF" w:rsidRDefault="005E68AF" w:rsidP="005E68AF">
            <w:pPr>
              <w:spacing w:before="0" w:after="0" w:line="240" w:lineRule="auto"/>
              <w:rPr>
                <w:rFonts w:cs="Arial"/>
                <w:sz w:val="20"/>
              </w:rPr>
            </w:pPr>
            <w:r>
              <w:rPr>
                <w:rFonts w:cs="Arial"/>
                <w:color w:val="0B0C0C"/>
              </w:rPr>
              <w:t>Particulate matter (</w:t>
            </w:r>
            <w:r w:rsidR="00CD700F" w:rsidRPr="005E68AF">
              <w:rPr>
                <w:rFonts w:cs="Arial"/>
                <w:color w:val="0B0C0C"/>
              </w:rPr>
              <w:t>PM</w:t>
            </w:r>
            <w:r w:rsidR="00CD700F" w:rsidRPr="005E68AF">
              <w:rPr>
                <w:rFonts w:cs="Arial"/>
                <w:color w:val="0B0C0C"/>
                <w:vertAlign w:val="subscript"/>
              </w:rPr>
              <w:t>10</w:t>
            </w:r>
            <w:r>
              <w:rPr>
                <w:rFonts w:cs="Arial"/>
                <w:color w:val="0B0C0C"/>
              </w:rPr>
              <w:t>)</w:t>
            </w:r>
          </w:p>
        </w:tc>
        <w:tc>
          <w:tcPr>
            <w:tcW w:w="4943" w:type="dxa"/>
            <w:vAlign w:val="top"/>
          </w:tcPr>
          <w:p w14:paraId="582D34DC" w14:textId="172A58B4"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50μg/m</w:t>
            </w:r>
            <w:r w:rsidRPr="005E68AF">
              <w:rPr>
                <w:rFonts w:cs="Arial"/>
                <w:color w:val="0B0C0C"/>
                <w:sz w:val="19"/>
                <w:szCs w:val="19"/>
                <w:vertAlign w:val="superscript"/>
              </w:rPr>
              <w:t>3</w:t>
            </w:r>
            <w:r w:rsidRPr="005E68AF">
              <w:rPr>
                <w:rFonts w:cs="Arial"/>
                <w:color w:val="0B0C0C"/>
              </w:rPr>
              <w:t> not to be exceeded more than 35 times/ year</w:t>
            </w:r>
          </w:p>
        </w:tc>
        <w:tc>
          <w:tcPr>
            <w:tcW w:w="1842" w:type="dxa"/>
            <w:vAlign w:val="top"/>
          </w:tcPr>
          <w:p w14:paraId="5951C558"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24-hour mean</w:t>
            </w:r>
          </w:p>
        </w:tc>
      </w:tr>
      <w:tr w:rsidR="00CD700F" w:rsidRPr="0097313B" w14:paraId="701CCB12" w14:textId="77777777" w:rsidTr="005E68AF">
        <w:trPr>
          <w:trHeight w:val="77"/>
        </w:trPr>
        <w:tc>
          <w:tcPr>
            <w:cnfStyle w:val="001000000000" w:firstRow="0" w:lastRow="0" w:firstColumn="1" w:lastColumn="0" w:oddVBand="0" w:evenVBand="0" w:oddHBand="0" w:evenHBand="0" w:firstRowFirstColumn="0" w:firstRowLastColumn="0" w:lastRowFirstColumn="0" w:lastRowLastColumn="0"/>
            <w:tcW w:w="2282" w:type="dxa"/>
            <w:vAlign w:val="top"/>
          </w:tcPr>
          <w:p w14:paraId="4EE0433D" w14:textId="6831F99C" w:rsidR="00CD700F" w:rsidRPr="005E68AF" w:rsidRDefault="005E68AF" w:rsidP="005E68AF">
            <w:pPr>
              <w:spacing w:before="0" w:after="0" w:line="240" w:lineRule="auto"/>
              <w:rPr>
                <w:rFonts w:cs="Arial"/>
                <w:sz w:val="20"/>
              </w:rPr>
            </w:pPr>
            <w:r>
              <w:rPr>
                <w:rFonts w:cs="Arial"/>
                <w:color w:val="0B0C0C"/>
              </w:rPr>
              <w:t>Particulate matter (</w:t>
            </w:r>
            <w:r w:rsidRPr="005E68AF">
              <w:rPr>
                <w:rFonts w:cs="Arial"/>
                <w:color w:val="0B0C0C"/>
              </w:rPr>
              <w:t>PM</w:t>
            </w:r>
            <w:r w:rsidRPr="005E68AF">
              <w:rPr>
                <w:rFonts w:cs="Arial"/>
                <w:color w:val="0B0C0C"/>
                <w:vertAlign w:val="subscript"/>
              </w:rPr>
              <w:t>10</w:t>
            </w:r>
            <w:r>
              <w:rPr>
                <w:rFonts w:cs="Arial"/>
                <w:color w:val="0B0C0C"/>
              </w:rPr>
              <w:t>)</w:t>
            </w:r>
          </w:p>
        </w:tc>
        <w:tc>
          <w:tcPr>
            <w:tcW w:w="4943" w:type="dxa"/>
            <w:vAlign w:val="top"/>
          </w:tcPr>
          <w:p w14:paraId="0C804A96" w14:textId="59C93606"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40μg/m</w:t>
            </w:r>
            <w:r w:rsidRPr="005E68AF">
              <w:rPr>
                <w:rFonts w:cs="Arial"/>
                <w:color w:val="0B0C0C"/>
                <w:sz w:val="19"/>
                <w:szCs w:val="19"/>
                <w:vertAlign w:val="superscript"/>
              </w:rPr>
              <w:t>3</w:t>
            </w:r>
          </w:p>
        </w:tc>
        <w:tc>
          <w:tcPr>
            <w:tcW w:w="1842" w:type="dxa"/>
            <w:vAlign w:val="top"/>
          </w:tcPr>
          <w:p w14:paraId="30BA24A6"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Annual mean</w:t>
            </w:r>
          </w:p>
        </w:tc>
      </w:tr>
      <w:tr w:rsidR="00CD700F" w:rsidRPr="0097313B" w14:paraId="6C6D69AA"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1BA7586B" w14:textId="2C1EB9B9" w:rsidR="00CD700F" w:rsidRPr="005E68AF" w:rsidRDefault="005E68AF" w:rsidP="005E68AF">
            <w:pPr>
              <w:spacing w:before="0" w:after="0" w:line="240" w:lineRule="auto"/>
              <w:rPr>
                <w:rFonts w:cs="Arial"/>
                <w:sz w:val="20"/>
              </w:rPr>
            </w:pPr>
            <w:r w:rsidRPr="005E68AF">
              <w:rPr>
                <w:rFonts w:cs="Arial"/>
                <w:color w:val="0B0C0C"/>
              </w:rPr>
              <w:t>Sulphur dioxide</w:t>
            </w:r>
          </w:p>
        </w:tc>
        <w:tc>
          <w:tcPr>
            <w:tcW w:w="4943" w:type="dxa"/>
            <w:vAlign w:val="top"/>
          </w:tcPr>
          <w:p w14:paraId="7DF7C37B" w14:textId="58D62614"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266μg/m</w:t>
            </w:r>
            <w:r w:rsidRPr="005E68AF">
              <w:rPr>
                <w:rFonts w:cs="Arial"/>
                <w:color w:val="0B0C0C"/>
                <w:sz w:val="19"/>
                <w:szCs w:val="19"/>
                <w:vertAlign w:val="superscript"/>
              </w:rPr>
              <w:t>3</w:t>
            </w:r>
            <w:r w:rsidRPr="005E68AF">
              <w:rPr>
                <w:rFonts w:cs="Arial"/>
                <w:color w:val="0B0C0C"/>
              </w:rPr>
              <w:t> not to be exceeded more than 35 times per year</w:t>
            </w:r>
          </w:p>
        </w:tc>
        <w:tc>
          <w:tcPr>
            <w:tcW w:w="1842" w:type="dxa"/>
            <w:vAlign w:val="top"/>
          </w:tcPr>
          <w:p w14:paraId="251331E2"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15 minute mean</w:t>
            </w:r>
          </w:p>
        </w:tc>
      </w:tr>
      <w:tr w:rsidR="00CD700F" w:rsidRPr="0097313B" w14:paraId="54B56811"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3C7B924C" w14:textId="2C35D190" w:rsidR="00CD700F" w:rsidRPr="005E68AF" w:rsidRDefault="005E68AF" w:rsidP="005E68AF">
            <w:pPr>
              <w:spacing w:before="0" w:after="0" w:line="240" w:lineRule="auto"/>
              <w:rPr>
                <w:rFonts w:cs="Arial"/>
                <w:sz w:val="20"/>
              </w:rPr>
            </w:pPr>
            <w:r w:rsidRPr="005E68AF">
              <w:rPr>
                <w:rFonts w:cs="Arial"/>
                <w:color w:val="0B0C0C"/>
              </w:rPr>
              <w:t>Sulphur dioxide</w:t>
            </w:r>
          </w:p>
        </w:tc>
        <w:tc>
          <w:tcPr>
            <w:tcW w:w="4943" w:type="dxa"/>
            <w:vAlign w:val="top"/>
          </w:tcPr>
          <w:p w14:paraId="6BA84B0B" w14:textId="76B5B18F"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350μg/m</w:t>
            </w:r>
            <w:r w:rsidRPr="005E68AF">
              <w:rPr>
                <w:rFonts w:cs="Arial"/>
                <w:color w:val="0B0C0C"/>
                <w:sz w:val="19"/>
                <w:szCs w:val="19"/>
                <w:vertAlign w:val="superscript"/>
              </w:rPr>
              <w:t>3</w:t>
            </w:r>
            <w:r w:rsidRPr="005E68AF">
              <w:rPr>
                <w:rFonts w:cs="Arial"/>
                <w:color w:val="0B0C0C"/>
              </w:rPr>
              <w:t> not to be exceeded more than 24 times per year.</w:t>
            </w:r>
          </w:p>
        </w:tc>
        <w:tc>
          <w:tcPr>
            <w:tcW w:w="1842" w:type="dxa"/>
            <w:vAlign w:val="top"/>
          </w:tcPr>
          <w:p w14:paraId="3253D23E"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 hour mean</w:t>
            </w:r>
          </w:p>
        </w:tc>
      </w:tr>
      <w:tr w:rsidR="00CD700F" w:rsidRPr="0097313B" w14:paraId="4D3428A1"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4E664252" w14:textId="73207CB7" w:rsidR="00CD700F" w:rsidRPr="005E68AF" w:rsidRDefault="005E68AF" w:rsidP="005E68AF">
            <w:pPr>
              <w:spacing w:before="0" w:after="0" w:line="240" w:lineRule="auto"/>
              <w:rPr>
                <w:rFonts w:cs="Arial"/>
                <w:sz w:val="20"/>
              </w:rPr>
            </w:pPr>
            <w:r w:rsidRPr="005E68AF">
              <w:rPr>
                <w:rFonts w:cs="Arial"/>
                <w:color w:val="0B0C0C"/>
              </w:rPr>
              <w:t>Sulphur dioxide</w:t>
            </w:r>
          </w:p>
        </w:tc>
        <w:tc>
          <w:tcPr>
            <w:tcW w:w="4943" w:type="dxa"/>
            <w:vAlign w:val="top"/>
          </w:tcPr>
          <w:p w14:paraId="440B1E14" w14:textId="3369BB4D"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125μg/m</w:t>
            </w:r>
            <w:r w:rsidRPr="005E68AF">
              <w:rPr>
                <w:rFonts w:cs="Arial"/>
                <w:color w:val="0B0C0C"/>
                <w:sz w:val="19"/>
                <w:szCs w:val="19"/>
                <w:vertAlign w:val="superscript"/>
              </w:rPr>
              <w:t>3</w:t>
            </w:r>
            <w:r w:rsidRPr="005E68AF">
              <w:rPr>
                <w:rFonts w:cs="Arial"/>
                <w:color w:val="0B0C0C"/>
              </w:rPr>
              <w:t> not to be exceeded more than 3 times per year</w:t>
            </w:r>
          </w:p>
        </w:tc>
        <w:tc>
          <w:tcPr>
            <w:tcW w:w="1842" w:type="dxa"/>
            <w:vAlign w:val="top"/>
          </w:tcPr>
          <w:p w14:paraId="798DBA62"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24 hour mean</w:t>
            </w:r>
          </w:p>
        </w:tc>
      </w:tr>
      <w:tr w:rsidR="00CD700F" w:rsidRPr="0097313B" w14:paraId="6F698E18"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65077909" w14:textId="77777777" w:rsidR="00CD700F" w:rsidRPr="005E68AF" w:rsidRDefault="00CD700F" w:rsidP="005E68AF">
            <w:pPr>
              <w:spacing w:before="0" w:after="0" w:line="240" w:lineRule="auto"/>
              <w:rPr>
                <w:rFonts w:cs="Arial"/>
                <w:sz w:val="20"/>
              </w:rPr>
            </w:pPr>
            <w:r w:rsidRPr="005E68AF">
              <w:rPr>
                <w:rFonts w:cs="Arial"/>
                <w:color w:val="0B0C0C"/>
              </w:rPr>
              <w:t>Benzene</w:t>
            </w:r>
          </w:p>
        </w:tc>
        <w:tc>
          <w:tcPr>
            <w:tcW w:w="4943" w:type="dxa"/>
            <w:vAlign w:val="top"/>
          </w:tcPr>
          <w:p w14:paraId="6ABB3239" w14:textId="7A4358A7"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16.25μg/m</w:t>
            </w:r>
            <w:r w:rsidRPr="005E68AF">
              <w:rPr>
                <w:rFonts w:cs="Arial"/>
                <w:color w:val="0B0C0C"/>
                <w:sz w:val="19"/>
                <w:szCs w:val="19"/>
                <w:vertAlign w:val="superscript"/>
              </w:rPr>
              <w:t>3</w:t>
            </w:r>
          </w:p>
        </w:tc>
        <w:tc>
          <w:tcPr>
            <w:tcW w:w="1842" w:type="dxa"/>
            <w:vAlign w:val="top"/>
          </w:tcPr>
          <w:p w14:paraId="2A829A63"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Running annual mean</w:t>
            </w:r>
          </w:p>
        </w:tc>
      </w:tr>
      <w:tr w:rsidR="00CD700F" w:rsidRPr="0097313B" w14:paraId="257471B9"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3F7D2F85" w14:textId="77777777" w:rsidR="00CD700F" w:rsidRPr="005E68AF" w:rsidRDefault="00CD700F" w:rsidP="005E68AF">
            <w:pPr>
              <w:spacing w:before="0" w:after="0" w:line="240" w:lineRule="auto"/>
              <w:rPr>
                <w:rFonts w:cs="Arial"/>
                <w:sz w:val="20"/>
              </w:rPr>
            </w:pPr>
            <w:r w:rsidRPr="005E68AF">
              <w:rPr>
                <w:rFonts w:cs="Arial"/>
                <w:color w:val="0B0C0C"/>
              </w:rPr>
              <w:t>Benzene</w:t>
            </w:r>
          </w:p>
        </w:tc>
        <w:tc>
          <w:tcPr>
            <w:tcW w:w="4943" w:type="dxa"/>
            <w:vAlign w:val="top"/>
          </w:tcPr>
          <w:p w14:paraId="4094E472" w14:textId="43145500"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5μg/m</w:t>
            </w:r>
            <w:r w:rsidRPr="005E68AF">
              <w:rPr>
                <w:rFonts w:cs="Arial"/>
                <w:color w:val="0B0C0C"/>
                <w:sz w:val="19"/>
                <w:szCs w:val="19"/>
                <w:vertAlign w:val="superscript"/>
              </w:rPr>
              <w:t>3</w:t>
            </w:r>
          </w:p>
        </w:tc>
        <w:tc>
          <w:tcPr>
            <w:tcW w:w="1842" w:type="dxa"/>
            <w:vAlign w:val="top"/>
          </w:tcPr>
          <w:p w14:paraId="2B0CCF2B"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Annual mean</w:t>
            </w:r>
          </w:p>
        </w:tc>
      </w:tr>
      <w:tr w:rsidR="00CD700F" w:rsidRPr="0097313B" w14:paraId="4644E22D"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7F3B9C85" w14:textId="77777777" w:rsidR="00CD700F" w:rsidRPr="005E68AF" w:rsidRDefault="00CD700F" w:rsidP="005E68AF">
            <w:pPr>
              <w:spacing w:before="0" w:after="0" w:line="240" w:lineRule="auto"/>
              <w:rPr>
                <w:rFonts w:cs="Arial"/>
                <w:sz w:val="20"/>
              </w:rPr>
            </w:pPr>
            <w:r w:rsidRPr="005E68AF">
              <w:rPr>
                <w:rFonts w:cs="Arial"/>
                <w:color w:val="0B0C0C"/>
              </w:rPr>
              <w:t>1,3-butadiene</w:t>
            </w:r>
          </w:p>
        </w:tc>
        <w:tc>
          <w:tcPr>
            <w:tcW w:w="4943" w:type="dxa"/>
            <w:vAlign w:val="top"/>
          </w:tcPr>
          <w:p w14:paraId="2CF0A41C" w14:textId="7B7865A8"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2.25μg/m</w:t>
            </w:r>
            <w:r w:rsidRPr="005E68AF">
              <w:rPr>
                <w:rFonts w:cs="Arial"/>
                <w:color w:val="0B0C0C"/>
                <w:sz w:val="19"/>
                <w:szCs w:val="19"/>
                <w:vertAlign w:val="superscript"/>
              </w:rPr>
              <w:t>3</w:t>
            </w:r>
          </w:p>
        </w:tc>
        <w:tc>
          <w:tcPr>
            <w:tcW w:w="1842" w:type="dxa"/>
            <w:vAlign w:val="top"/>
          </w:tcPr>
          <w:p w14:paraId="26D4A183"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Running annual mean</w:t>
            </w:r>
          </w:p>
        </w:tc>
      </w:tr>
      <w:tr w:rsidR="00CD700F" w:rsidRPr="0097313B" w14:paraId="22BD85FD"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5BA5AC0B" w14:textId="77777777" w:rsidR="00CD700F" w:rsidRPr="005E68AF" w:rsidRDefault="00CD700F" w:rsidP="005E68AF">
            <w:pPr>
              <w:spacing w:before="0" w:after="0" w:line="240" w:lineRule="auto"/>
              <w:rPr>
                <w:rFonts w:cs="Arial"/>
                <w:sz w:val="20"/>
              </w:rPr>
            </w:pPr>
            <w:r w:rsidRPr="005E68AF">
              <w:rPr>
                <w:rFonts w:cs="Arial"/>
                <w:color w:val="0B0C0C"/>
              </w:rPr>
              <w:t>Carbon monoxide</w:t>
            </w:r>
          </w:p>
        </w:tc>
        <w:tc>
          <w:tcPr>
            <w:tcW w:w="4943" w:type="dxa"/>
            <w:vAlign w:val="top"/>
          </w:tcPr>
          <w:p w14:paraId="7DC5F7B6" w14:textId="7198F811"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10mg/m</w:t>
            </w:r>
            <w:r w:rsidRPr="005E68AF">
              <w:rPr>
                <w:rFonts w:cs="Arial"/>
                <w:color w:val="0B0C0C"/>
                <w:sz w:val="19"/>
                <w:szCs w:val="19"/>
                <w:vertAlign w:val="superscript"/>
              </w:rPr>
              <w:t>3</w:t>
            </w:r>
          </w:p>
        </w:tc>
        <w:tc>
          <w:tcPr>
            <w:tcW w:w="1842" w:type="dxa"/>
            <w:vAlign w:val="top"/>
          </w:tcPr>
          <w:p w14:paraId="2EBCF987"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Maximum daily running 8-hour mean</w:t>
            </w:r>
          </w:p>
        </w:tc>
      </w:tr>
      <w:tr w:rsidR="00CD700F" w:rsidRPr="0097313B" w14:paraId="44200F05"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5BC9FB7F" w14:textId="77777777" w:rsidR="00CD700F" w:rsidRPr="005E68AF" w:rsidRDefault="00CD700F" w:rsidP="005E68AF">
            <w:pPr>
              <w:spacing w:before="0" w:after="0" w:line="240" w:lineRule="auto"/>
              <w:rPr>
                <w:rFonts w:cs="Arial"/>
                <w:sz w:val="20"/>
              </w:rPr>
            </w:pPr>
            <w:r w:rsidRPr="005E68AF">
              <w:rPr>
                <w:rFonts w:cs="Arial"/>
                <w:color w:val="0B0C0C"/>
              </w:rPr>
              <w:t>Lead</w:t>
            </w:r>
          </w:p>
        </w:tc>
        <w:tc>
          <w:tcPr>
            <w:tcW w:w="4943" w:type="dxa"/>
            <w:vAlign w:val="top"/>
          </w:tcPr>
          <w:p w14:paraId="6EC22701" w14:textId="1963BBC2"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0.5μg/m</w:t>
            </w:r>
            <w:r w:rsidRPr="005E68AF">
              <w:rPr>
                <w:rFonts w:cs="Arial"/>
                <w:color w:val="0B0C0C"/>
                <w:vertAlign w:val="superscript"/>
              </w:rPr>
              <w:t>3</w:t>
            </w:r>
            <w:r w:rsidR="005E68AF" w:rsidRPr="005E68AF">
              <w:rPr>
                <w:rFonts w:cs="Arial"/>
                <w:color w:val="0B0C0C"/>
                <w:vertAlign w:val="superscript"/>
              </w:rPr>
              <w:t xml:space="preserve"> </w:t>
            </w:r>
            <w:r w:rsidR="005E68AF" w:rsidRPr="005E68AF">
              <w:rPr>
                <w:rFonts w:cs="Arial"/>
                <w:color w:val="0B0C0C"/>
              </w:rPr>
              <w:t>(limit value)</w:t>
            </w:r>
          </w:p>
        </w:tc>
        <w:tc>
          <w:tcPr>
            <w:tcW w:w="1842" w:type="dxa"/>
            <w:vAlign w:val="top"/>
          </w:tcPr>
          <w:p w14:paraId="295F3279"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Annual mean</w:t>
            </w:r>
          </w:p>
        </w:tc>
      </w:tr>
      <w:tr w:rsidR="00CD700F" w:rsidRPr="0097313B" w14:paraId="0E487E13" w14:textId="77777777" w:rsidTr="005E68AF">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1CECFC19" w14:textId="77777777" w:rsidR="00CD700F" w:rsidRPr="005E68AF" w:rsidRDefault="00CD700F" w:rsidP="005E68AF">
            <w:pPr>
              <w:spacing w:before="0" w:after="0" w:line="240" w:lineRule="auto"/>
              <w:rPr>
                <w:rFonts w:cs="Arial"/>
                <w:sz w:val="20"/>
              </w:rPr>
            </w:pPr>
            <w:r w:rsidRPr="005E68AF">
              <w:rPr>
                <w:rFonts w:cs="Arial"/>
                <w:color w:val="0B0C0C"/>
              </w:rPr>
              <w:t>Lead</w:t>
            </w:r>
          </w:p>
        </w:tc>
        <w:tc>
          <w:tcPr>
            <w:tcW w:w="4943" w:type="dxa"/>
            <w:vAlign w:val="top"/>
          </w:tcPr>
          <w:p w14:paraId="4A901749" w14:textId="2F28354D" w:rsidR="00CD700F" w:rsidRPr="005E68AF" w:rsidRDefault="00CD700F" w:rsidP="005E68A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005E68AF">
              <w:rPr>
                <w:rFonts w:cs="Arial"/>
                <w:color w:val="0B0C0C"/>
              </w:rPr>
              <w:t>0.25μg/m</w:t>
            </w:r>
            <w:r w:rsidRPr="005E68AF">
              <w:rPr>
                <w:rFonts w:cs="Arial"/>
                <w:color w:val="0B0C0C"/>
                <w:sz w:val="19"/>
                <w:szCs w:val="19"/>
                <w:vertAlign w:val="superscript"/>
              </w:rPr>
              <w:t>3</w:t>
            </w:r>
            <w:r w:rsidR="005E68AF">
              <w:rPr>
                <w:rFonts w:cs="Arial"/>
                <w:color w:val="0B0C0C"/>
                <w:sz w:val="19"/>
                <w:szCs w:val="19"/>
              </w:rPr>
              <w:t xml:space="preserve"> </w:t>
            </w:r>
            <w:r w:rsidR="005E68AF">
              <w:rPr>
                <w:rFonts w:cs="Arial"/>
                <w:color w:val="0B0C0C"/>
              </w:rPr>
              <w:t xml:space="preserve">(objective) </w:t>
            </w:r>
          </w:p>
        </w:tc>
        <w:tc>
          <w:tcPr>
            <w:tcW w:w="1842" w:type="dxa"/>
            <w:vAlign w:val="top"/>
          </w:tcPr>
          <w:p w14:paraId="14DA1AF2" w14:textId="77777777" w:rsidR="00CD700F" w:rsidRPr="005E68AF" w:rsidRDefault="00CD700F" w:rsidP="005E68A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5E68AF">
              <w:rPr>
                <w:rFonts w:cs="Arial"/>
                <w:color w:val="0B0C0C"/>
              </w:rPr>
              <w:t>Annual mean</w:t>
            </w:r>
          </w:p>
        </w:tc>
      </w:tr>
    </w:tbl>
    <w:tbl>
      <w:tblPr>
        <w:tblStyle w:val="TableStyle4"/>
        <w:tblpPr w:leftFromText="180" w:rightFromText="180" w:vertAnchor="page" w:horzAnchor="margin" w:tblpY="11822"/>
        <w:tblW w:w="9067" w:type="dxa"/>
        <w:tblLook w:val="04A0" w:firstRow="1" w:lastRow="0" w:firstColumn="1" w:lastColumn="0" w:noHBand="0" w:noVBand="1"/>
        <w:tblCaption w:val="Air Quality Objectives in England"/>
      </w:tblPr>
      <w:tblGrid>
        <w:gridCol w:w="2282"/>
        <w:gridCol w:w="5226"/>
        <w:gridCol w:w="1559"/>
      </w:tblGrid>
      <w:tr w:rsidR="005E68AF" w:rsidRPr="00130A54" w14:paraId="55B78A5F" w14:textId="77777777" w:rsidTr="00D358A4">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282" w:type="dxa"/>
          </w:tcPr>
          <w:p w14:paraId="6057A07F" w14:textId="77777777" w:rsidR="005E68AF" w:rsidRPr="002B1E43" w:rsidRDefault="005E68AF" w:rsidP="00D358A4">
            <w:pPr>
              <w:spacing w:before="0" w:after="0" w:line="240" w:lineRule="auto"/>
              <w:jc w:val="left"/>
              <w:rPr>
                <w:rFonts w:cs="Arial"/>
                <w:szCs w:val="32"/>
              </w:rPr>
            </w:pPr>
            <w:r w:rsidRPr="002B1E43">
              <w:rPr>
                <w:rFonts w:cs="Arial"/>
                <w:szCs w:val="32"/>
              </w:rPr>
              <w:t>Pollutant and metric</w:t>
            </w:r>
          </w:p>
        </w:tc>
        <w:tc>
          <w:tcPr>
            <w:tcW w:w="5226" w:type="dxa"/>
          </w:tcPr>
          <w:p w14:paraId="1CB50F8A" w14:textId="77777777" w:rsidR="005E68AF" w:rsidRPr="002B1E43" w:rsidRDefault="005E68AF" w:rsidP="00D358A4">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Target</w:t>
            </w:r>
          </w:p>
        </w:tc>
        <w:tc>
          <w:tcPr>
            <w:tcW w:w="1559" w:type="dxa"/>
          </w:tcPr>
          <w:p w14:paraId="6921EE15" w14:textId="77777777" w:rsidR="005E68AF" w:rsidRPr="002B1E43" w:rsidRDefault="005E68AF" w:rsidP="00D358A4">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 xml:space="preserve">Target year </w:t>
            </w:r>
          </w:p>
        </w:tc>
      </w:tr>
      <w:tr w:rsidR="005E68AF" w14:paraId="4FA9359E" w14:textId="77777777" w:rsidTr="00D358A4">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7D444A2E" w14:textId="77777777" w:rsidR="005E68AF" w:rsidRPr="005E68AF" w:rsidRDefault="005E68AF" w:rsidP="00D358A4">
            <w:pPr>
              <w:spacing w:before="0" w:after="0" w:line="240" w:lineRule="auto"/>
              <w:rPr>
                <w:rFonts w:cs="Arial"/>
                <w:sz w:val="20"/>
              </w:rPr>
            </w:pPr>
            <w:r w:rsidRPr="005E68AF">
              <w:rPr>
                <w:rFonts w:cs="Arial"/>
                <w:color w:val="0B0C0C"/>
              </w:rPr>
              <w:t>PM</w:t>
            </w:r>
            <w:r w:rsidRPr="005E68AF">
              <w:rPr>
                <w:rFonts w:cs="Arial"/>
                <w:color w:val="0B0C0C"/>
                <w:vertAlign w:val="subscript"/>
              </w:rPr>
              <w:t>2.5</w:t>
            </w:r>
            <w:r w:rsidRPr="005E68AF">
              <w:rPr>
                <w:rFonts w:cs="Arial"/>
                <w:color w:val="0B0C0C"/>
              </w:rPr>
              <w:t> annual mean concentration</w:t>
            </w:r>
          </w:p>
        </w:tc>
        <w:tc>
          <w:tcPr>
            <w:tcW w:w="5226" w:type="dxa"/>
            <w:vAlign w:val="top"/>
          </w:tcPr>
          <w:p w14:paraId="3FDEC797" w14:textId="77777777" w:rsidR="005E68AF" w:rsidRPr="0013236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Interim target: 12μg/m</w:t>
            </w:r>
            <w:r>
              <w:rPr>
                <w:rFonts w:cs="Arial"/>
                <w:color w:val="0B0C0C"/>
                <w:sz w:val="19"/>
                <w:szCs w:val="19"/>
                <w:vertAlign w:val="superscript"/>
              </w:rPr>
              <w:t>3</w:t>
            </w:r>
          </w:p>
        </w:tc>
        <w:tc>
          <w:tcPr>
            <w:tcW w:w="1559" w:type="dxa"/>
            <w:vAlign w:val="top"/>
          </w:tcPr>
          <w:p w14:paraId="609BAF84" w14:textId="77777777" w:rsidR="005E68A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2028</w:t>
            </w:r>
          </w:p>
        </w:tc>
      </w:tr>
      <w:tr w:rsidR="005E68AF" w14:paraId="0D7F567E" w14:textId="77777777" w:rsidTr="00D358A4">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297ABFFF" w14:textId="77777777" w:rsidR="005E68AF" w:rsidRPr="005E68AF" w:rsidRDefault="005E68AF" w:rsidP="00D358A4">
            <w:pPr>
              <w:spacing w:before="0" w:after="0" w:line="240" w:lineRule="auto"/>
              <w:rPr>
                <w:rFonts w:cs="Arial"/>
                <w:sz w:val="20"/>
              </w:rPr>
            </w:pPr>
            <w:r w:rsidRPr="005E68AF">
              <w:rPr>
                <w:rFonts w:cs="Arial"/>
                <w:color w:val="0B0C0C"/>
              </w:rPr>
              <w:t>PM</w:t>
            </w:r>
            <w:r w:rsidRPr="005E68AF">
              <w:rPr>
                <w:rFonts w:cs="Arial"/>
                <w:color w:val="0B0C0C"/>
                <w:vertAlign w:val="subscript"/>
              </w:rPr>
              <w:t>2.5</w:t>
            </w:r>
            <w:r w:rsidRPr="005E68AF">
              <w:rPr>
                <w:rFonts w:cs="Arial"/>
                <w:color w:val="0B0C0C"/>
              </w:rPr>
              <w:t> annual mean concentration</w:t>
            </w:r>
          </w:p>
        </w:tc>
        <w:tc>
          <w:tcPr>
            <w:tcW w:w="5226" w:type="dxa"/>
            <w:vAlign w:val="top"/>
          </w:tcPr>
          <w:p w14:paraId="65246C0E" w14:textId="77777777" w:rsidR="005E68AF" w:rsidRPr="0013236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Legally binding target: 10μg/m</w:t>
            </w:r>
            <w:r>
              <w:rPr>
                <w:rFonts w:cs="Arial"/>
                <w:color w:val="0B0C0C"/>
                <w:sz w:val="19"/>
                <w:szCs w:val="19"/>
                <w:vertAlign w:val="superscript"/>
              </w:rPr>
              <w:t>3</w:t>
            </w:r>
          </w:p>
        </w:tc>
        <w:tc>
          <w:tcPr>
            <w:tcW w:w="1559" w:type="dxa"/>
            <w:vAlign w:val="top"/>
          </w:tcPr>
          <w:p w14:paraId="41524DCC" w14:textId="77777777" w:rsidR="005E68A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2040</w:t>
            </w:r>
          </w:p>
        </w:tc>
      </w:tr>
      <w:tr w:rsidR="005E68AF" w14:paraId="47911FDE" w14:textId="77777777" w:rsidTr="00D358A4">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6925C8E8" w14:textId="77777777" w:rsidR="005E68AF" w:rsidRPr="005E68AF" w:rsidRDefault="005E68AF" w:rsidP="00D358A4">
            <w:pPr>
              <w:spacing w:before="0" w:after="0" w:line="240" w:lineRule="auto"/>
              <w:rPr>
                <w:rFonts w:cs="Arial"/>
                <w:sz w:val="20"/>
              </w:rPr>
            </w:pPr>
            <w:r w:rsidRPr="005E68AF">
              <w:rPr>
                <w:rFonts w:cs="Arial"/>
                <w:color w:val="0B0C0C"/>
              </w:rPr>
              <w:t>PM</w:t>
            </w:r>
            <w:r w:rsidRPr="005E68AF">
              <w:rPr>
                <w:rFonts w:cs="Arial"/>
                <w:color w:val="0B0C0C"/>
                <w:vertAlign w:val="subscript"/>
              </w:rPr>
              <w:t>2.5</w:t>
            </w:r>
            <w:r w:rsidRPr="005E68AF">
              <w:rPr>
                <w:rFonts w:cs="Arial"/>
                <w:color w:val="0B0C0C"/>
              </w:rPr>
              <w:t> population exposure</w:t>
            </w:r>
          </w:p>
        </w:tc>
        <w:tc>
          <w:tcPr>
            <w:tcW w:w="5226" w:type="dxa"/>
            <w:vAlign w:val="top"/>
          </w:tcPr>
          <w:p w14:paraId="699961C4" w14:textId="77777777" w:rsidR="005E68AF" w:rsidRPr="0013236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Interim target: 22% reduction in exposure compared to 2018</w:t>
            </w:r>
          </w:p>
        </w:tc>
        <w:tc>
          <w:tcPr>
            <w:tcW w:w="1559" w:type="dxa"/>
            <w:vAlign w:val="top"/>
          </w:tcPr>
          <w:p w14:paraId="3C489536" w14:textId="77777777" w:rsidR="005E68A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2028</w:t>
            </w:r>
          </w:p>
        </w:tc>
      </w:tr>
      <w:tr w:rsidR="005E68AF" w14:paraId="0FC80A45" w14:textId="77777777" w:rsidTr="00D358A4">
        <w:trPr>
          <w:trHeight w:val="203"/>
        </w:trPr>
        <w:tc>
          <w:tcPr>
            <w:cnfStyle w:val="001000000000" w:firstRow="0" w:lastRow="0" w:firstColumn="1" w:lastColumn="0" w:oddVBand="0" w:evenVBand="0" w:oddHBand="0" w:evenHBand="0" w:firstRowFirstColumn="0" w:firstRowLastColumn="0" w:lastRowFirstColumn="0" w:lastRowLastColumn="0"/>
            <w:tcW w:w="2282" w:type="dxa"/>
            <w:vAlign w:val="top"/>
          </w:tcPr>
          <w:p w14:paraId="25806D07" w14:textId="77777777" w:rsidR="005E68AF" w:rsidRPr="005E68AF" w:rsidRDefault="005E68AF" w:rsidP="00D358A4">
            <w:pPr>
              <w:spacing w:before="0" w:after="0" w:line="240" w:lineRule="auto"/>
              <w:rPr>
                <w:rFonts w:cs="Arial"/>
                <w:sz w:val="20"/>
              </w:rPr>
            </w:pPr>
            <w:r w:rsidRPr="005E68AF">
              <w:rPr>
                <w:rFonts w:cs="Arial"/>
                <w:color w:val="0B0C0C"/>
              </w:rPr>
              <w:t>PM</w:t>
            </w:r>
            <w:r w:rsidRPr="005E68AF">
              <w:rPr>
                <w:rFonts w:cs="Arial"/>
                <w:color w:val="0B0C0C"/>
                <w:vertAlign w:val="subscript"/>
              </w:rPr>
              <w:t>2.5</w:t>
            </w:r>
            <w:r w:rsidRPr="005E68AF">
              <w:rPr>
                <w:rFonts w:cs="Arial"/>
                <w:color w:val="0B0C0C"/>
              </w:rPr>
              <w:t> population exposure</w:t>
            </w:r>
          </w:p>
        </w:tc>
        <w:tc>
          <w:tcPr>
            <w:tcW w:w="5226" w:type="dxa"/>
            <w:vAlign w:val="top"/>
          </w:tcPr>
          <w:p w14:paraId="4AE3762A" w14:textId="77777777" w:rsidR="005E68AF" w:rsidRPr="0013236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Legally binding target: 35% reduction in exposure compared to 2018</w:t>
            </w:r>
          </w:p>
        </w:tc>
        <w:tc>
          <w:tcPr>
            <w:tcW w:w="1559" w:type="dxa"/>
            <w:vAlign w:val="top"/>
          </w:tcPr>
          <w:p w14:paraId="1339142F" w14:textId="77777777" w:rsidR="005E68AF" w:rsidRDefault="005E68AF" w:rsidP="00D358A4">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2040</w:t>
            </w:r>
          </w:p>
        </w:tc>
      </w:tr>
    </w:tbl>
    <w:p w14:paraId="6E4A4314" w14:textId="767BC5D1" w:rsidR="00CD700F" w:rsidRPr="00D358A4" w:rsidRDefault="00CD700F" w:rsidP="00CD700F">
      <w:pPr>
        <w:rPr>
          <w:b/>
          <w:bCs/>
        </w:rPr>
      </w:pPr>
      <w:r w:rsidRPr="00D358A4">
        <w:rPr>
          <w:b/>
          <w:bCs/>
        </w:rPr>
        <w:t>The Environmental Targets (Fine Particulate Matter) (England) Regulations 2023</w:t>
      </w:r>
    </w:p>
    <w:p w14:paraId="4B9FE284" w14:textId="4847BEB8" w:rsidR="00CD700F" w:rsidRDefault="00CD700F" w:rsidP="00CD700F"/>
    <w:p w14:paraId="0F9ECF46" w14:textId="540471CA" w:rsidR="00CD700F" w:rsidRPr="00D358A4" w:rsidRDefault="00CD700F" w:rsidP="00CD700F">
      <w:pPr>
        <w:rPr>
          <w:b/>
          <w:bCs/>
        </w:rPr>
      </w:pPr>
      <w:r w:rsidRPr="00D358A4">
        <w:rPr>
          <w:b/>
          <w:bCs/>
        </w:rPr>
        <w:t>The Air Quality Standards Regulations 2010</w:t>
      </w:r>
    </w:p>
    <w:tbl>
      <w:tblPr>
        <w:tblStyle w:val="TableStyle4"/>
        <w:tblpPr w:leftFromText="180" w:rightFromText="180" w:vertAnchor="page" w:horzAnchor="margin" w:tblpY="2195"/>
        <w:tblW w:w="9085" w:type="dxa"/>
        <w:tblLook w:val="04A0" w:firstRow="1" w:lastRow="0" w:firstColumn="1" w:lastColumn="0" w:noHBand="0" w:noVBand="1"/>
      </w:tblPr>
      <w:tblGrid>
        <w:gridCol w:w="2286"/>
        <w:gridCol w:w="5080"/>
        <w:gridCol w:w="1719"/>
      </w:tblGrid>
      <w:tr w:rsidR="005E68AF" w:rsidRPr="00130A54" w14:paraId="6E517D43" w14:textId="77777777" w:rsidTr="008805B9">
        <w:trPr>
          <w:cnfStyle w:val="100000000000" w:firstRow="1" w:lastRow="0" w:firstColumn="0" w:lastColumn="0" w:oddVBand="0" w:evenVBand="0" w:oddHBand="0" w:evenHBand="0" w:firstRowFirstColumn="0" w:firstRowLastColumn="0" w:lastRowFirstColumn="0" w:lastRowLastColumn="0"/>
          <w:trHeight w:val="788"/>
          <w:tblHeader/>
        </w:trPr>
        <w:tc>
          <w:tcPr>
            <w:cnfStyle w:val="001000000000" w:firstRow="0" w:lastRow="0" w:firstColumn="1" w:lastColumn="0" w:oddVBand="0" w:evenVBand="0" w:oddHBand="0" w:evenHBand="0" w:firstRowFirstColumn="0" w:firstRowLastColumn="0" w:lastRowFirstColumn="0" w:lastRowLastColumn="0"/>
            <w:tcW w:w="2286" w:type="dxa"/>
          </w:tcPr>
          <w:p w14:paraId="145760C3" w14:textId="77777777" w:rsidR="005E68AF" w:rsidRPr="002B1E43" w:rsidRDefault="005E68AF" w:rsidP="005E68AF">
            <w:pPr>
              <w:spacing w:line="240" w:lineRule="auto"/>
              <w:jc w:val="left"/>
              <w:rPr>
                <w:rFonts w:cs="Arial"/>
                <w:szCs w:val="32"/>
              </w:rPr>
            </w:pPr>
            <w:r w:rsidRPr="002B1E43">
              <w:rPr>
                <w:rFonts w:cs="Arial"/>
                <w:szCs w:val="32"/>
              </w:rPr>
              <w:t>Pollutant</w:t>
            </w:r>
          </w:p>
        </w:tc>
        <w:tc>
          <w:tcPr>
            <w:tcW w:w="5080" w:type="dxa"/>
          </w:tcPr>
          <w:p w14:paraId="7727DFA5" w14:textId="77777777" w:rsidR="005E68AF" w:rsidRPr="002B1E43" w:rsidRDefault="005E68AF" w:rsidP="005E68A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Air Quality Objective</w:t>
            </w:r>
          </w:p>
        </w:tc>
        <w:tc>
          <w:tcPr>
            <w:tcW w:w="1719" w:type="dxa"/>
          </w:tcPr>
          <w:p w14:paraId="4FBBAFBB" w14:textId="77777777" w:rsidR="005E68AF" w:rsidRPr="002B1E43" w:rsidRDefault="005E68AF" w:rsidP="005E68A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32"/>
              </w:rPr>
            </w:pPr>
            <w:r w:rsidRPr="002B1E43">
              <w:rPr>
                <w:rFonts w:cs="Arial"/>
                <w:szCs w:val="32"/>
              </w:rPr>
              <w:t>Averaging Period</w:t>
            </w:r>
          </w:p>
        </w:tc>
      </w:tr>
      <w:tr w:rsidR="005E68AF" w14:paraId="3E4347CA"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473F557F" w14:textId="17E585C5" w:rsidR="005E68AF" w:rsidRDefault="005E68AF" w:rsidP="008805B9">
            <w:pPr>
              <w:spacing w:before="0" w:after="0" w:line="240" w:lineRule="auto"/>
              <w:rPr>
                <w:rFonts w:cs="Arial"/>
                <w:sz w:val="20"/>
              </w:rPr>
            </w:pPr>
            <w:r>
              <w:rPr>
                <w:rFonts w:cs="Arial"/>
                <w:color w:val="0B0C0C"/>
              </w:rPr>
              <w:t>Particulate matter (</w:t>
            </w:r>
            <w:r w:rsidRPr="005E68AF">
              <w:rPr>
                <w:rFonts w:cs="Arial"/>
                <w:color w:val="0B0C0C"/>
              </w:rPr>
              <w:t>PM</w:t>
            </w:r>
            <w:r w:rsidRPr="005E68AF">
              <w:rPr>
                <w:rFonts w:cs="Arial"/>
                <w:color w:val="0B0C0C"/>
                <w:vertAlign w:val="subscript"/>
              </w:rPr>
              <w:t>10</w:t>
            </w:r>
            <w:r>
              <w:rPr>
                <w:rFonts w:cs="Arial"/>
                <w:color w:val="0B0C0C"/>
              </w:rPr>
              <w:t>)</w:t>
            </w:r>
          </w:p>
        </w:tc>
        <w:tc>
          <w:tcPr>
            <w:tcW w:w="5080" w:type="dxa"/>
            <w:vAlign w:val="top"/>
          </w:tcPr>
          <w:p w14:paraId="63BFC12D" w14:textId="77777777" w:rsidR="005E68AF" w:rsidRPr="0013236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50 µg/m</w:t>
            </w:r>
            <w:r>
              <w:rPr>
                <w:rFonts w:cs="Arial"/>
                <w:color w:val="0B0C0C"/>
                <w:sz w:val="19"/>
                <w:szCs w:val="19"/>
                <w:vertAlign w:val="superscript"/>
              </w:rPr>
              <w:t>3</w:t>
            </w:r>
            <w:r>
              <w:rPr>
                <w:rFonts w:cs="Arial"/>
                <w:color w:val="0B0C0C"/>
              </w:rPr>
              <w:t> not to be exceeded more than 35 times a year</w:t>
            </w:r>
          </w:p>
        </w:tc>
        <w:tc>
          <w:tcPr>
            <w:tcW w:w="1719" w:type="dxa"/>
            <w:vAlign w:val="top"/>
          </w:tcPr>
          <w:p w14:paraId="4E62C598"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color w:val="0B0C0C"/>
              </w:rPr>
              <w:t>24 hour mean</w:t>
            </w:r>
          </w:p>
        </w:tc>
      </w:tr>
      <w:tr w:rsidR="005E68AF" w14:paraId="31E82EF4"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3625D59E" w14:textId="31470264" w:rsidR="005E68AF" w:rsidRDefault="005E68AF" w:rsidP="008805B9">
            <w:pPr>
              <w:spacing w:before="0" w:after="0" w:line="240" w:lineRule="auto"/>
              <w:rPr>
                <w:rFonts w:cs="Arial"/>
                <w:b/>
                <w:bCs/>
                <w:color w:val="0B0C0C"/>
              </w:rPr>
            </w:pPr>
            <w:r>
              <w:rPr>
                <w:rFonts w:cs="Arial"/>
                <w:color w:val="0B0C0C"/>
              </w:rPr>
              <w:t>Particulate matter (</w:t>
            </w:r>
            <w:r w:rsidRPr="005E68AF">
              <w:rPr>
                <w:rFonts w:cs="Arial"/>
                <w:color w:val="0B0C0C"/>
              </w:rPr>
              <w:t>PM</w:t>
            </w:r>
            <w:r w:rsidRPr="005E68AF">
              <w:rPr>
                <w:rFonts w:cs="Arial"/>
                <w:color w:val="0B0C0C"/>
                <w:vertAlign w:val="subscript"/>
              </w:rPr>
              <w:t>10</w:t>
            </w:r>
            <w:r>
              <w:rPr>
                <w:rFonts w:cs="Arial"/>
                <w:color w:val="0B0C0C"/>
              </w:rPr>
              <w:t>)</w:t>
            </w:r>
          </w:p>
        </w:tc>
        <w:tc>
          <w:tcPr>
            <w:tcW w:w="5080" w:type="dxa"/>
            <w:vAlign w:val="top"/>
          </w:tcPr>
          <w:p w14:paraId="6480E1F1"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40 µg/m</w:t>
            </w:r>
            <w:r>
              <w:rPr>
                <w:rFonts w:cs="Arial"/>
                <w:color w:val="0B0C0C"/>
                <w:sz w:val="19"/>
                <w:szCs w:val="19"/>
                <w:vertAlign w:val="superscript"/>
              </w:rPr>
              <w:t>3</w:t>
            </w:r>
          </w:p>
        </w:tc>
        <w:tc>
          <w:tcPr>
            <w:tcW w:w="1719" w:type="dxa"/>
            <w:vAlign w:val="top"/>
          </w:tcPr>
          <w:p w14:paraId="3F68C8B2" w14:textId="77777777" w:rsidR="005E68AF" w:rsidRDefault="005E68AF" w:rsidP="008805B9">
            <w:pPr>
              <w:spacing w:before="0" w:after="0" w:line="240" w:lineRule="auto"/>
              <w:ind w:firstLine="36"/>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r w:rsidR="005E68AF" w14:paraId="19FD393B"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335E1BC3" w14:textId="2B90FE18" w:rsidR="005E68AF" w:rsidRPr="005E68AF" w:rsidRDefault="005E68AF" w:rsidP="008805B9">
            <w:pPr>
              <w:spacing w:before="0" w:after="0" w:line="240" w:lineRule="auto"/>
              <w:rPr>
                <w:rFonts w:cs="Arial"/>
                <w:color w:val="0B0C0C"/>
              </w:rPr>
            </w:pPr>
            <w:r w:rsidRPr="005E68AF">
              <w:rPr>
                <w:rFonts w:cs="Arial"/>
                <w:color w:val="0B0C0C"/>
              </w:rPr>
              <w:t>Particulate matter (PM</w:t>
            </w:r>
            <w:r w:rsidRPr="005E68AF">
              <w:rPr>
                <w:rFonts w:cs="Arial"/>
                <w:color w:val="0B0C0C"/>
                <w:vertAlign w:val="subscript"/>
              </w:rPr>
              <w:t>2.5</w:t>
            </w:r>
            <w:r w:rsidRPr="005E68AF">
              <w:rPr>
                <w:rFonts w:cs="Arial"/>
                <w:color w:val="0B0C0C"/>
              </w:rPr>
              <w:t>)</w:t>
            </w:r>
          </w:p>
        </w:tc>
        <w:tc>
          <w:tcPr>
            <w:tcW w:w="5080" w:type="dxa"/>
            <w:vAlign w:val="top"/>
          </w:tcPr>
          <w:p w14:paraId="3C5BC881"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20 µg/m</w:t>
            </w:r>
            <w:r>
              <w:rPr>
                <w:rFonts w:cs="Arial"/>
                <w:color w:val="0B0C0C"/>
                <w:sz w:val="19"/>
                <w:szCs w:val="19"/>
                <w:vertAlign w:val="superscript"/>
              </w:rPr>
              <w:t>3</w:t>
            </w:r>
          </w:p>
        </w:tc>
        <w:tc>
          <w:tcPr>
            <w:tcW w:w="1719" w:type="dxa"/>
            <w:vAlign w:val="top"/>
          </w:tcPr>
          <w:p w14:paraId="2827CD57"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r w:rsidR="005E68AF" w14:paraId="14533E58"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22894FDF" w14:textId="7F67177F" w:rsidR="005E68AF" w:rsidRDefault="005E68AF" w:rsidP="008805B9">
            <w:pPr>
              <w:spacing w:before="0" w:after="0" w:line="240" w:lineRule="auto"/>
              <w:rPr>
                <w:rFonts w:cs="Arial"/>
                <w:b/>
                <w:bCs/>
                <w:color w:val="0B0C0C"/>
              </w:rPr>
            </w:pPr>
            <w:r w:rsidRPr="005E68AF">
              <w:rPr>
                <w:rFonts w:cs="Arial"/>
                <w:color w:val="0B0C0C"/>
              </w:rPr>
              <w:t>Particulate matter (PM</w:t>
            </w:r>
            <w:r w:rsidRPr="005E68AF">
              <w:rPr>
                <w:rFonts w:cs="Arial"/>
                <w:color w:val="0B0C0C"/>
                <w:vertAlign w:val="subscript"/>
              </w:rPr>
              <w:t>2.5</w:t>
            </w:r>
            <w:r w:rsidRPr="005E68AF">
              <w:rPr>
                <w:rFonts w:cs="Arial"/>
                <w:color w:val="0B0C0C"/>
              </w:rPr>
              <w:t>)</w:t>
            </w:r>
          </w:p>
        </w:tc>
        <w:tc>
          <w:tcPr>
            <w:tcW w:w="5080" w:type="dxa"/>
            <w:vAlign w:val="top"/>
          </w:tcPr>
          <w:p w14:paraId="08C9E3C6"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Target of 20% reduction in concentrations at urban background</w:t>
            </w:r>
          </w:p>
        </w:tc>
        <w:tc>
          <w:tcPr>
            <w:tcW w:w="1719" w:type="dxa"/>
            <w:vAlign w:val="top"/>
          </w:tcPr>
          <w:p w14:paraId="4433DA87"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annual mean</w:t>
            </w:r>
          </w:p>
        </w:tc>
      </w:tr>
      <w:tr w:rsidR="005E68AF" w14:paraId="4376334A"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588B6C84" w14:textId="30FD528E" w:rsidR="005E68AF" w:rsidRPr="005E68AF" w:rsidRDefault="005E68AF" w:rsidP="008805B9">
            <w:pPr>
              <w:spacing w:before="0" w:after="0" w:line="240" w:lineRule="auto"/>
              <w:rPr>
                <w:rFonts w:cs="Arial"/>
                <w:color w:val="0B0C0C"/>
              </w:rPr>
            </w:pPr>
            <w:r w:rsidRPr="005E68AF">
              <w:rPr>
                <w:rFonts w:cs="Arial"/>
                <w:color w:val="0B0C0C"/>
              </w:rPr>
              <w:t>Nitrogen dioxide </w:t>
            </w:r>
          </w:p>
        </w:tc>
        <w:tc>
          <w:tcPr>
            <w:tcW w:w="5080" w:type="dxa"/>
            <w:vAlign w:val="top"/>
          </w:tcPr>
          <w:p w14:paraId="77CEE6C8"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200 µg/m</w:t>
            </w:r>
            <w:r>
              <w:rPr>
                <w:rFonts w:cs="Arial"/>
                <w:color w:val="0B0C0C"/>
                <w:sz w:val="19"/>
                <w:szCs w:val="19"/>
                <w:vertAlign w:val="superscript"/>
              </w:rPr>
              <w:t>3</w:t>
            </w:r>
            <w:r>
              <w:rPr>
                <w:rFonts w:cs="Arial"/>
                <w:color w:val="0B0C0C"/>
              </w:rPr>
              <w:t> not to be exceeded more than 18 times a year</w:t>
            </w:r>
          </w:p>
        </w:tc>
        <w:tc>
          <w:tcPr>
            <w:tcW w:w="1719" w:type="dxa"/>
            <w:vAlign w:val="top"/>
          </w:tcPr>
          <w:p w14:paraId="577876E6" w14:textId="76705599" w:rsidR="005E68AF" w:rsidRDefault="008805B9"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hourly mean</w:t>
            </w:r>
            <w:r w:rsidR="005E68AF">
              <w:rPr>
                <w:rFonts w:cs="Arial"/>
                <w:color w:val="0B0C0C"/>
              </w:rPr>
              <w:t> </w:t>
            </w:r>
          </w:p>
        </w:tc>
      </w:tr>
      <w:tr w:rsidR="005E68AF" w14:paraId="30AE6258"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289A80A4" w14:textId="6C1A670A" w:rsidR="005E68AF" w:rsidRDefault="008805B9" w:rsidP="008805B9">
            <w:pPr>
              <w:spacing w:before="0" w:after="0" w:line="240" w:lineRule="auto"/>
              <w:rPr>
                <w:rFonts w:cs="Arial"/>
                <w:b/>
                <w:bCs/>
                <w:color w:val="0B0C0C"/>
              </w:rPr>
            </w:pPr>
            <w:r w:rsidRPr="005E68AF">
              <w:rPr>
                <w:rFonts w:cs="Arial"/>
                <w:color w:val="0B0C0C"/>
              </w:rPr>
              <w:t>Nitrogen dioxide</w:t>
            </w:r>
          </w:p>
        </w:tc>
        <w:tc>
          <w:tcPr>
            <w:tcW w:w="5080" w:type="dxa"/>
            <w:vAlign w:val="top"/>
          </w:tcPr>
          <w:p w14:paraId="4A45D67D"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40 µg/m</w:t>
            </w:r>
            <w:r>
              <w:rPr>
                <w:rFonts w:cs="Arial"/>
                <w:color w:val="0B0C0C"/>
                <w:sz w:val="19"/>
                <w:szCs w:val="19"/>
                <w:vertAlign w:val="superscript"/>
              </w:rPr>
              <w:t>3</w:t>
            </w:r>
          </w:p>
        </w:tc>
        <w:tc>
          <w:tcPr>
            <w:tcW w:w="1719" w:type="dxa"/>
            <w:vAlign w:val="top"/>
          </w:tcPr>
          <w:p w14:paraId="74425B1D" w14:textId="331BDCB6"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 </w:t>
            </w:r>
            <w:r w:rsidR="008805B9">
              <w:rPr>
                <w:rFonts w:cs="Arial"/>
                <w:color w:val="0B0C0C"/>
              </w:rPr>
              <w:t>annual mean</w:t>
            </w:r>
          </w:p>
        </w:tc>
      </w:tr>
      <w:tr w:rsidR="005E68AF" w14:paraId="3EA3C8A2" w14:textId="77777777" w:rsidTr="008805B9">
        <w:trPr>
          <w:trHeight w:val="229"/>
        </w:trPr>
        <w:tc>
          <w:tcPr>
            <w:cnfStyle w:val="001000000000" w:firstRow="0" w:lastRow="0" w:firstColumn="1" w:lastColumn="0" w:oddVBand="0" w:evenVBand="0" w:oddHBand="0" w:evenHBand="0" w:firstRowFirstColumn="0" w:firstRowLastColumn="0" w:lastRowFirstColumn="0" w:lastRowLastColumn="0"/>
            <w:tcW w:w="2286" w:type="dxa"/>
            <w:vAlign w:val="top"/>
          </w:tcPr>
          <w:p w14:paraId="2CFF98B8" w14:textId="4BEFCA9E" w:rsidR="005E68AF" w:rsidRPr="008805B9" w:rsidRDefault="005E68AF" w:rsidP="008805B9">
            <w:pPr>
              <w:spacing w:before="0" w:after="0" w:line="240" w:lineRule="auto"/>
              <w:rPr>
                <w:rFonts w:cs="Arial"/>
                <w:color w:val="0B0C0C"/>
              </w:rPr>
            </w:pPr>
            <w:r w:rsidRPr="008805B9">
              <w:rPr>
                <w:rFonts w:cs="Arial"/>
                <w:color w:val="0B0C0C"/>
              </w:rPr>
              <w:t>Ozone</w:t>
            </w:r>
          </w:p>
        </w:tc>
        <w:tc>
          <w:tcPr>
            <w:tcW w:w="5080" w:type="dxa"/>
            <w:vAlign w:val="top"/>
          </w:tcPr>
          <w:p w14:paraId="6492A102"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100 µg/m</w:t>
            </w:r>
            <w:r>
              <w:rPr>
                <w:rFonts w:cs="Arial"/>
                <w:color w:val="0B0C0C"/>
                <w:sz w:val="19"/>
                <w:szCs w:val="19"/>
                <w:vertAlign w:val="superscript"/>
              </w:rPr>
              <w:t>3</w:t>
            </w:r>
            <w:r>
              <w:rPr>
                <w:rFonts w:cs="Arial"/>
                <w:color w:val="0B0C0C"/>
              </w:rPr>
              <w:t> not to be exceeded more than 10 times a year</w:t>
            </w:r>
          </w:p>
        </w:tc>
        <w:tc>
          <w:tcPr>
            <w:tcW w:w="1719" w:type="dxa"/>
            <w:vAlign w:val="top"/>
          </w:tcPr>
          <w:p w14:paraId="6837C595" w14:textId="77777777" w:rsidR="005E68AF" w:rsidRDefault="005E68AF" w:rsidP="008805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B0C0C"/>
              </w:rPr>
            </w:pPr>
            <w:r>
              <w:rPr>
                <w:rFonts w:cs="Arial"/>
                <w:color w:val="0B0C0C"/>
              </w:rPr>
              <w:t>8 hour mean</w:t>
            </w:r>
          </w:p>
        </w:tc>
      </w:tr>
    </w:tbl>
    <w:p w14:paraId="5A82604F" w14:textId="6770233B" w:rsidR="00CD700F" w:rsidRDefault="00CD700F" w:rsidP="00CD700F"/>
    <w:p w14:paraId="54A1E310" w14:textId="422B70F0" w:rsidR="002B1E43" w:rsidRDefault="002B1E43" w:rsidP="00CD700F">
      <w:r>
        <w:t xml:space="preserve">World Health Organisation Air Quality Guidelines (AQGs) 2021 </w:t>
      </w:r>
    </w:p>
    <w:tbl>
      <w:tblPr>
        <w:tblStyle w:val="TableGrid"/>
        <w:tblW w:w="0" w:type="auto"/>
        <w:tblLook w:val="04A0" w:firstRow="1" w:lastRow="0" w:firstColumn="1" w:lastColumn="0" w:noHBand="0" w:noVBand="1"/>
      </w:tblPr>
      <w:tblGrid>
        <w:gridCol w:w="2265"/>
        <w:gridCol w:w="1983"/>
        <w:gridCol w:w="1984"/>
        <w:gridCol w:w="2828"/>
      </w:tblGrid>
      <w:tr w:rsidR="002B1E43" w:rsidRPr="002B1E43" w14:paraId="2728B71D" w14:textId="77777777" w:rsidTr="002B1E43">
        <w:tc>
          <w:tcPr>
            <w:tcW w:w="2265" w:type="dxa"/>
            <w:shd w:val="clear" w:color="auto" w:fill="008938"/>
          </w:tcPr>
          <w:p w14:paraId="251E1EE1" w14:textId="5AF75D68" w:rsidR="002B1E43" w:rsidRPr="002B1E43" w:rsidRDefault="002B1E43" w:rsidP="002B1E43">
            <w:pPr>
              <w:jc w:val="center"/>
              <w:rPr>
                <w:b/>
                <w:bCs/>
                <w:color w:val="FFFFFF" w:themeColor="background1"/>
              </w:rPr>
            </w:pPr>
            <w:r w:rsidRPr="002B1E43">
              <w:rPr>
                <w:b/>
                <w:bCs/>
                <w:color w:val="FFFFFF" w:themeColor="background1"/>
              </w:rPr>
              <w:t>Pollutant</w:t>
            </w:r>
          </w:p>
        </w:tc>
        <w:tc>
          <w:tcPr>
            <w:tcW w:w="1983" w:type="dxa"/>
            <w:shd w:val="clear" w:color="auto" w:fill="008938"/>
          </w:tcPr>
          <w:p w14:paraId="0F9367EC" w14:textId="27DF46BC" w:rsidR="002B1E43" w:rsidRPr="002B1E43" w:rsidRDefault="002B1E43" w:rsidP="002B1E43">
            <w:pPr>
              <w:jc w:val="center"/>
              <w:rPr>
                <w:b/>
                <w:bCs/>
                <w:color w:val="FFFFFF" w:themeColor="background1"/>
              </w:rPr>
            </w:pPr>
            <w:r>
              <w:rPr>
                <w:b/>
                <w:bCs/>
                <w:color w:val="FFFFFF" w:themeColor="background1"/>
              </w:rPr>
              <w:t>2005 AQGs</w:t>
            </w:r>
          </w:p>
        </w:tc>
        <w:tc>
          <w:tcPr>
            <w:tcW w:w="1984" w:type="dxa"/>
            <w:shd w:val="clear" w:color="auto" w:fill="008938"/>
          </w:tcPr>
          <w:p w14:paraId="25067578" w14:textId="5693FEB7" w:rsidR="002B1E43" w:rsidRPr="002B1E43" w:rsidRDefault="002B1E43" w:rsidP="002B1E43">
            <w:pPr>
              <w:jc w:val="center"/>
              <w:rPr>
                <w:b/>
                <w:bCs/>
                <w:color w:val="FFFFFF" w:themeColor="background1"/>
              </w:rPr>
            </w:pPr>
            <w:r>
              <w:rPr>
                <w:b/>
                <w:bCs/>
                <w:color w:val="FFFFFF" w:themeColor="background1"/>
              </w:rPr>
              <w:t>2021 AQGs</w:t>
            </w:r>
          </w:p>
        </w:tc>
        <w:tc>
          <w:tcPr>
            <w:tcW w:w="2828" w:type="dxa"/>
            <w:shd w:val="clear" w:color="auto" w:fill="008938"/>
          </w:tcPr>
          <w:p w14:paraId="03D540EF" w14:textId="369E3D08" w:rsidR="002B1E43" w:rsidRPr="002B1E43" w:rsidRDefault="002B1E43" w:rsidP="002B1E43">
            <w:pPr>
              <w:jc w:val="center"/>
              <w:rPr>
                <w:b/>
                <w:bCs/>
                <w:color w:val="FFFFFF" w:themeColor="background1"/>
              </w:rPr>
            </w:pPr>
            <w:r>
              <w:rPr>
                <w:b/>
                <w:bCs/>
                <w:color w:val="FFFFFF" w:themeColor="background1"/>
              </w:rPr>
              <w:t>Averaging Time</w:t>
            </w:r>
          </w:p>
        </w:tc>
      </w:tr>
      <w:tr w:rsidR="002B1E43" w14:paraId="414A3CC2" w14:textId="77777777" w:rsidTr="002B1E43">
        <w:tc>
          <w:tcPr>
            <w:tcW w:w="2265" w:type="dxa"/>
          </w:tcPr>
          <w:p w14:paraId="6005A667" w14:textId="03C4DD29" w:rsidR="002B1E43" w:rsidRPr="002B1E43" w:rsidRDefault="002B1E43" w:rsidP="002B1E43">
            <w:pPr>
              <w:spacing w:before="60" w:after="60"/>
              <w:jc w:val="center"/>
            </w:pPr>
            <w:r>
              <w:t>PM</w:t>
            </w:r>
            <w:r>
              <w:rPr>
                <w:vertAlign w:val="subscript"/>
              </w:rPr>
              <w:t>2.5</w:t>
            </w:r>
            <w:r>
              <w:rPr>
                <w:vertAlign w:val="subscript"/>
              </w:rPr>
              <w:softHyphen/>
              <w:t xml:space="preserve">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53CDB993" w14:textId="5397C9CC" w:rsidR="002B1E43" w:rsidRPr="002B1E43" w:rsidRDefault="002B1E43" w:rsidP="002B1E43">
            <w:pPr>
              <w:spacing w:before="60" w:after="60"/>
              <w:jc w:val="center"/>
            </w:pPr>
            <w:r>
              <w:t>10</w:t>
            </w:r>
          </w:p>
        </w:tc>
        <w:tc>
          <w:tcPr>
            <w:tcW w:w="1984" w:type="dxa"/>
          </w:tcPr>
          <w:p w14:paraId="1655156C" w14:textId="35F1B197" w:rsidR="002B1E43" w:rsidRPr="002B1E43" w:rsidRDefault="002B1E43" w:rsidP="002B1E43">
            <w:pPr>
              <w:spacing w:before="60" w:after="60"/>
              <w:jc w:val="center"/>
            </w:pPr>
            <w:r>
              <w:t>5</w:t>
            </w:r>
          </w:p>
        </w:tc>
        <w:tc>
          <w:tcPr>
            <w:tcW w:w="2828" w:type="dxa"/>
          </w:tcPr>
          <w:p w14:paraId="59237B9E" w14:textId="365BA8F5" w:rsidR="002B1E43" w:rsidRPr="002B1E43" w:rsidRDefault="002B1E43" w:rsidP="002B1E43">
            <w:pPr>
              <w:spacing w:before="60" w:after="60"/>
              <w:jc w:val="center"/>
            </w:pPr>
            <w:r>
              <w:t>Annual</w:t>
            </w:r>
          </w:p>
        </w:tc>
      </w:tr>
      <w:tr w:rsidR="002B1E43" w14:paraId="441BB456" w14:textId="77777777" w:rsidTr="002B1E43">
        <w:tc>
          <w:tcPr>
            <w:tcW w:w="2265" w:type="dxa"/>
          </w:tcPr>
          <w:p w14:paraId="5809A894" w14:textId="28980B0E" w:rsidR="002B1E43" w:rsidRPr="002B1E43" w:rsidRDefault="002B1E43" w:rsidP="002B1E43">
            <w:pPr>
              <w:spacing w:before="60" w:after="60"/>
              <w:jc w:val="center"/>
            </w:pPr>
            <w:r>
              <w:t>PM</w:t>
            </w:r>
            <w:r>
              <w:rPr>
                <w:vertAlign w:val="subscript"/>
              </w:rPr>
              <w:t>2.5</w:t>
            </w:r>
            <w:r>
              <w:rPr>
                <w:vertAlign w:val="subscript"/>
              </w:rPr>
              <w:softHyphen/>
              <w:t xml:space="preserve">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05952843" w14:textId="1598BE5F" w:rsidR="002B1E43" w:rsidRPr="002B1E43" w:rsidRDefault="002B1E43" w:rsidP="002B1E43">
            <w:pPr>
              <w:spacing w:before="60" w:after="60"/>
              <w:jc w:val="center"/>
            </w:pPr>
            <w:r>
              <w:t>25</w:t>
            </w:r>
          </w:p>
        </w:tc>
        <w:tc>
          <w:tcPr>
            <w:tcW w:w="1984" w:type="dxa"/>
          </w:tcPr>
          <w:p w14:paraId="4636346F" w14:textId="14025010" w:rsidR="002B1E43" w:rsidRPr="002B1E43" w:rsidRDefault="002B1E43" w:rsidP="002B1E43">
            <w:pPr>
              <w:spacing w:before="60" w:after="60"/>
              <w:jc w:val="center"/>
            </w:pPr>
            <w:r>
              <w:t>15</w:t>
            </w:r>
          </w:p>
        </w:tc>
        <w:tc>
          <w:tcPr>
            <w:tcW w:w="2828" w:type="dxa"/>
          </w:tcPr>
          <w:p w14:paraId="2886529A" w14:textId="6F981D77" w:rsidR="002B1E43" w:rsidRPr="002B1E43" w:rsidRDefault="002B1E43" w:rsidP="002B1E43">
            <w:pPr>
              <w:spacing w:before="60" w:after="60"/>
              <w:jc w:val="center"/>
            </w:pPr>
            <w:r>
              <w:t>24 hour</w:t>
            </w:r>
          </w:p>
        </w:tc>
      </w:tr>
      <w:tr w:rsidR="002B1E43" w14:paraId="258125C9" w14:textId="77777777" w:rsidTr="002B1E43">
        <w:tc>
          <w:tcPr>
            <w:tcW w:w="2265" w:type="dxa"/>
          </w:tcPr>
          <w:p w14:paraId="75E231A3" w14:textId="7367BA0C" w:rsidR="002B1E43" w:rsidRPr="002B1E43" w:rsidRDefault="002B1E43" w:rsidP="002B1E43">
            <w:pPr>
              <w:spacing w:before="60" w:after="60"/>
              <w:jc w:val="center"/>
            </w:pPr>
            <w:r>
              <w:t>PM</w:t>
            </w:r>
            <w:r>
              <w:rPr>
                <w:vertAlign w:val="subscript"/>
              </w:rPr>
              <w:t>10</w:t>
            </w:r>
            <w:r>
              <w:rPr>
                <w:vertAlign w:val="subscript"/>
              </w:rPr>
              <w:softHyphen/>
              <w:t xml:space="preserve">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019737B9" w14:textId="72BC3923" w:rsidR="002B1E43" w:rsidRPr="002B1E43" w:rsidRDefault="002B1E43" w:rsidP="002B1E43">
            <w:pPr>
              <w:spacing w:before="60" w:after="60"/>
              <w:jc w:val="center"/>
            </w:pPr>
            <w:r>
              <w:t>20</w:t>
            </w:r>
          </w:p>
        </w:tc>
        <w:tc>
          <w:tcPr>
            <w:tcW w:w="1984" w:type="dxa"/>
          </w:tcPr>
          <w:p w14:paraId="21417147" w14:textId="4B77E788" w:rsidR="002B1E43" w:rsidRPr="002B1E43" w:rsidRDefault="002B1E43" w:rsidP="002B1E43">
            <w:pPr>
              <w:spacing w:before="60" w:after="60"/>
              <w:jc w:val="center"/>
            </w:pPr>
            <w:r>
              <w:t>15</w:t>
            </w:r>
          </w:p>
        </w:tc>
        <w:tc>
          <w:tcPr>
            <w:tcW w:w="2828" w:type="dxa"/>
          </w:tcPr>
          <w:p w14:paraId="66A365B1" w14:textId="499AE45A" w:rsidR="002B1E43" w:rsidRPr="002B1E43" w:rsidRDefault="002B1E43" w:rsidP="002B1E43">
            <w:pPr>
              <w:spacing w:before="60" w:after="60"/>
              <w:jc w:val="center"/>
            </w:pPr>
            <w:r>
              <w:t>Annual</w:t>
            </w:r>
          </w:p>
        </w:tc>
      </w:tr>
      <w:tr w:rsidR="002B1E43" w14:paraId="1644AFBF" w14:textId="77777777" w:rsidTr="002B1E43">
        <w:tc>
          <w:tcPr>
            <w:tcW w:w="2265" w:type="dxa"/>
          </w:tcPr>
          <w:p w14:paraId="66935028" w14:textId="76CC9BC8" w:rsidR="002B1E43" w:rsidRPr="002B1E43" w:rsidRDefault="002B1E43" w:rsidP="002B1E43">
            <w:pPr>
              <w:spacing w:before="60" w:after="60"/>
              <w:jc w:val="center"/>
            </w:pPr>
            <w:r>
              <w:t>PM</w:t>
            </w:r>
            <w:r>
              <w:rPr>
                <w:vertAlign w:val="subscript"/>
              </w:rPr>
              <w:t xml:space="preserve">10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3C76FAF4" w14:textId="5E5FB35A" w:rsidR="002B1E43" w:rsidRPr="002B1E43" w:rsidRDefault="002B1E43" w:rsidP="002B1E43">
            <w:pPr>
              <w:spacing w:before="60" w:after="60"/>
              <w:jc w:val="center"/>
            </w:pPr>
            <w:r>
              <w:t>50</w:t>
            </w:r>
          </w:p>
        </w:tc>
        <w:tc>
          <w:tcPr>
            <w:tcW w:w="1984" w:type="dxa"/>
          </w:tcPr>
          <w:p w14:paraId="3B86361D" w14:textId="06EFF5AA" w:rsidR="002B1E43" w:rsidRPr="002B1E43" w:rsidRDefault="002B1E43" w:rsidP="002B1E43">
            <w:pPr>
              <w:spacing w:before="60" w:after="60"/>
              <w:jc w:val="center"/>
            </w:pPr>
            <w:r>
              <w:t>45</w:t>
            </w:r>
          </w:p>
        </w:tc>
        <w:tc>
          <w:tcPr>
            <w:tcW w:w="2828" w:type="dxa"/>
          </w:tcPr>
          <w:p w14:paraId="26D6B75A" w14:textId="39AF5BF6" w:rsidR="002B1E43" w:rsidRPr="002B1E43" w:rsidRDefault="002B1E43" w:rsidP="002B1E43">
            <w:pPr>
              <w:spacing w:before="60" w:after="60"/>
              <w:jc w:val="center"/>
            </w:pPr>
            <w:r>
              <w:t>24 hour</w:t>
            </w:r>
          </w:p>
        </w:tc>
      </w:tr>
      <w:tr w:rsidR="002B1E43" w14:paraId="2CE8AE09" w14:textId="77777777" w:rsidTr="002B1E43">
        <w:tc>
          <w:tcPr>
            <w:tcW w:w="2265" w:type="dxa"/>
          </w:tcPr>
          <w:p w14:paraId="6416E0C4" w14:textId="1568AF1A" w:rsidR="002B1E43" w:rsidRPr="002B1E43" w:rsidRDefault="002B1E43" w:rsidP="002B1E43">
            <w:pPr>
              <w:spacing w:before="60" w:after="60"/>
              <w:jc w:val="center"/>
            </w:pPr>
            <w:r>
              <w:t>O</w:t>
            </w:r>
            <w:r>
              <w:rPr>
                <w:vertAlign w:val="subscript"/>
              </w:rPr>
              <w:t>3</w:t>
            </w:r>
            <w:r>
              <w:rPr>
                <w:vertAlign w:val="subscript"/>
              </w:rPr>
              <w:softHyphen/>
              <w:t xml:space="preserve">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5CB9A9C0" w14:textId="654BC3D4" w:rsidR="002B1E43" w:rsidRPr="002B1E43" w:rsidRDefault="002B1E43" w:rsidP="002B1E43">
            <w:pPr>
              <w:spacing w:before="60" w:after="60"/>
              <w:jc w:val="center"/>
            </w:pPr>
            <w:r>
              <w:t>-</w:t>
            </w:r>
          </w:p>
        </w:tc>
        <w:tc>
          <w:tcPr>
            <w:tcW w:w="1984" w:type="dxa"/>
          </w:tcPr>
          <w:p w14:paraId="59B20FD4" w14:textId="05DF5D03" w:rsidR="002B1E43" w:rsidRPr="002B1E43" w:rsidRDefault="002B1E43" w:rsidP="002B1E43">
            <w:pPr>
              <w:spacing w:before="60" w:after="60"/>
              <w:jc w:val="center"/>
            </w:pPr>
            <w:r>
              <w:t>60</w:t>
            </w:r>
          </w:p>
        </w:tc>
        <w:tc>
          <w:tcPr>
            <w:tcW w:w="2828" w:type="dxa"/>
          </w:tcPr>
          <w:p w14:paraId="1F161321" w14:textId="1767BE6B" w:rsidR="002B1E43" w:rsidRPr="002B1E43" w:rsidRDefault="002B1E43" w:rsidP="002B1E43">
            <w:pPr>
              <w:spacing w:before="60" w:after="60"/>
              <w:jc w:val="center"/>
            </w:pPr>
            <w:r>
              <w:t>Peak season</w:t>
            </w:r>
          </w:p>
        </w:tc>
      </w:tr>
      <w:tr w:rsidR="002B1E43" w14:paraId="08EAE327" w14:textId="77777777" w:rsidTr="002B1E43">
        <w:tc>
          <w:tcPr>
            <w:tcW w:w="2265" w:type="dxa"/>
          </w:tcPr>
          <w:p w14:paraId="756948F6" w14:textId="4F4C8F09" w:rsidR="002B1E43" w:rsidRPr="002B1E43" w:rsidRDefault="002B1E43" w:rsidP="002B1E43">
            <w:pPr>
              <w:spacing w:before="60" w:after="60"/>
              <w:jc w:val="center"/>
            </w:pPr>
            <w:r>
              <w:t>O</w:t>
            </w:r>
            <w:r>
              <w:rPr>
                <w:vertAlign w:val="subscript"/>
              </w:rPr>
              <w:t>3</w:t>
            </w:r>
            <w:r>
              <w:rPr>
                <w:vertAlign w:val="subscript"/>
              </w:rPr>
              <w:softHyphen/>
              <w:t xml:space="preserve"> </w:t>
            </w:r>
            <w:r w:rsidRPr="002B1E43">
              <w:t>(</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63210053" w14:textId="7297B7FF" w:rsidR="002B1E43" w:rsidRPr="002B1E43" w:rsidRDefault="002B1E43" w:rsidP="002B1E43">
            <w:pPr>
              <w:spacing w:before="60" w:after="60"/>
              <w:jc w:val="center"/>
            </w:pPr>
            <w:r>
              <w:t>100</w:t>
            </w:r>
          </w:p>
        </w:tc>
        <w:tc>
          <w:tcPr>
            <w:tcW w:w="1984" w:type="dxa"/>
          </w:tcPr>
          <w:p w14:paraId="04164CD8" w14:textId="7FEB1485" w:rsidR="002B1E43" w:rsidRPr="002B1E43" w:rsidRDefault="002B1E43" w:rsidP="002B1E43">
            <w:pPr>
              <w:spacing w:before="60" w:after="60"/>
              <w:jc w:val="center"/>
            </w:pPr>
            <w:r>
              <w:t>100</w:t>
            </w:r>
          </w:p>
        </w:tc>
        <w:tc>
          <w:tcPr>
            <w:tcW w:w="2828" w:type="dxa"/>
          </w:tcPr>
          <w:p w14:paraId="668EA207" w14:textId="0200BE61" w:rsidR="002B1E43" w:rsidRPr="002B1E43" w:rsidRDefault="002B1E43" w:rsidP="002B1E43">
            <w:pPr>
              <w:spacing w:before="60" w:after="60"/>
              <w:jc w:val="center"/>
            </w:pPr>
            <w:r>
              <w:t>8 hour</w:t>
            </w:r>
          </w:p>
        </w:tc>
      </w:tr>
      <w:tr w:rsidR="002B1E43" w14:paraId="61ED4C51" w14:textId="77777777" w:rsidTr="002B1E43">
        <w:tc>
          <w:tcPr>
            <w:tcW w:w="2265" w:type="dxa"/>
          </w:tcPr>
          <w:p w14:paraId="36190544" w14:textId="655EF284" w:rsidR="002B1E43" w:rsidRPr="002B1E43" w:rsidRDefault="002B1E43" w:rsidP="002B1E43">
            <w:pPr>
              <w:spacing w:before="60" w:after="60"/>
              <w:jc w:val="center"/>
            </w:pPr>
            <w:r>
              <w:t>NO</w:t>
            </w:r>
            <w:r>
              <w:rPr>
                <w:vertAlign w:val="subscript"/>
              </w:rPr>
              <w:t>2</w:t>
            </w:r>
            <w:r>
              <w:t xml:space="preserve"> (</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78EBE115" w14:textId="1916ED19" w:rsidR="002B1E43" w:rsidRPr="002B1E43" w:rsidRDefault="002B1E43" w:rsidP="002B1E43">
            <w:pPr>
              <w:spacing w:before="60" w:after="60"/>
              <w:jc w:val="center"/>
            </w:pPr>
            <w:r>
              <w:t>40</w:t>
            </w:r>
          </w:p>
        </w:tc>
        <w:tc>
          <w:tcPr>
            <w:tcW w:w="1984" w:type="dxa"/>
          </w:tcPr>
          <w:p w14:paraId="0C26EB9A" w14:textId="4503AFFE" w:rsidR="002B1E43" w:rsidRPr="002B1E43" w:rsidRDefault="002B1E43" w:rsidP="002B1E43">
            <w:pPr>
              <w:spacing w:before="60" w:after="60"/>
              <w:jc w:val="center"/>
            </w:pPr>
            <w:r>
              <w:t>10</w:t>
            </w:r>
          </w:p>
        </w:tc>
        <w:tc>
          <w:tcPr>
            <w:tcW w:w="2828" w:type="dxa"/>
          </w:tcPr>
          <w:p w14:paraId="4C2927EB" w14:textId="719448DB" w:rsidR="002B1E43" w:rsidRPr="002B1E43" w:rsidRDefault="002B1E43" w:rsidP="002B1E43">
            <w:pPr>
              <w:spacing w:before="60" w:after="60"/>
              <w:jc w:val="center"/>
            </w:pPr>
            <w:r>
              <w:t>Annual</w:t>
            </w:r>
          </w:p>
        </w:tc>
      </w:tr>
      <w:tr w:rsidR="002B1E43" w14:paraId="0585C82B" w14:textId="77777777" w:rsidTr="002B1E43">
        <w:tc>
          <w:tcPr>
            <w:tcW w:w="2265" w:type="dxa"/>
          </w:tcPr>
          <w:p w14:paraId="2ECD6BC1" w14:textId="70CB84B8" w:rsidR="002B1E43" w:rsidRPr="002B1E43" w:rsidRDefault="002B1E43" w:rsidP="002B1E43">
            <w:pPr>
              <w:spacing w:before="60" w:after="60"/>
              <w:jc w:val="center"/>
            </w:pPr>
            <w:r>
              <w:t>NO</w:t>
            </w:r>
            <w:r>
              <w:rPr>
                <w:vertAlign w:val="subscript"/>
              </w:rPr>
              <w:t>2</w:t>
            </w:r>
            <w:r>
              <w:t xml:space="preserve"> (</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19AB949F" w14:textId="1F92A45D" w:rsidR="002B1E43" w:rsidRPr="002B1E43" w:rsidRDefault="002B1E43" w:rsidP="002B1E43">
            <w:pPr>
              <w:spacing w:before="60" w:after="60"/>
              <w:jc w:val="center"/>
            </w:pPr>
            <w:r>
              <w:t>-</w:t>
            </w:r>
          </w:p>
        </w:tc>
        <w:tc>
          <w:tcPr>
            <w:tcW w:w="1984" w:type="dxa"/>
          </w:tcPr>
          <w:p w14:paraId="66715281" w14:textId="06ADF8D4" w:rsidR="002B1E43" w:rsidRPr="002B1E43" w:rsidRDefault="002B1E43" w:rsidP="002B1E43">
            <w:pPr>
              <w:spacing w:before="60" w:after="60"/>
              <w:jc w:val="center"/>
            </w:pPr>
            <w:r>
              <w:t>25</w:t>
            </w:r>
          </w:p>
        </w:tc>
        <w:tc>
          <w:tcPr>
            <w:tcW w:w="2828" w:type="dxa"/>
          </w:tcPr>
          <w:p w14:paraId="2477084A" w14:textId="60BBED8C" w:rsidR="002B1E43" w:rsidRPr="002B1E43" w:rsidRDefault="002B1E43" w:rsidP="002B1E43">
            <w:pPr>
              <w:spacing w:before="60" w:after="60"/>
              <w:jc w:val="center"/>
            </w:pPr>
            <w:r>
              <w:t>24 hour</w:t>
            </w:r>
          </w:p>
        </w:tc>
      </w:tr>
      <w:tr w:rsidR="002B1E43" w14:paraId="7D5C28AD" w14:textId="77777777" w:rsidTr="002B1E43">
        <w:tc>
          <w:tcPr>
            <w:tcW w:w="2265" w:type="dxa"/>
          </w:tcPr>
          <w:p w14:paraId="0BE3B21B" w14:textId="2D2B880A" w:rsidR="002B1E43" w:rsidRPr="002B1E43" w:rsidRDefault="002B1E43" w:rsidP="002B1E43">
            <w:pPr>
              <w:spacing w:before="60" w:after="60"/>
              <w:jc w:val="center"/>
            </w:pPr>
            <w:r>
              <w:t>SO</w:t>
            </w:r>
            <w:r>
              <w:rPr>
                <w:vertAlign w:val="subscript"/>
              </w:rPr>
              <w:t>2</w:t>
            </w:r>
            <w:r>
              <w:t xml:space="preserve"> (</w:t>
            </w:r>
            <w:r>
              <w:rPr>
                <w:rFonts w:cs="Arial"/>
                <w:color w:val="0B0C0C"/>
              </w:rPr>
              <w:t>µg/m</w:t>
            </w:r>
            <w:r>
              <w:rPr>
                <w:rFonts w:cs="Arial"/>
                <w:color w:val="0B0C0C"/>
                <w:sz w:val="19"/>
                <w:szCs w:val="19"/>
                <w:vertAlign w:val="superscript"/>
              </w:rPr>
              <w:t>3</w:t>
            </w:r>
            <w:r>
              <w:rPr>
                <w:rFonts w:cs="Arial"/>
                <w:color w:val="0B0C0C"/>
              </w:rPr>
              <w:t>)</w:t>
            </w:r>
          </w:p>
        </w:tc>
        <w:tc>
          <w:tcPr>
            <w:tcW w:w="1983" w:type="dxa"/>
          </w:tcPr>
          <w:p w14:paraId="39345FEB" w14:textId="50A89CF6" w:rsidR="002B1E43" w:rsidRPr="002B1E43" w:rsidRDefault="002B1E43" w:rsidP="002B1E43">
            <w:pPr>
              <w:spacing w:before="60" w:after="60"/>
              <w:jc w:val="center"/>
            </w:pPr>
            <w:r>
              <w:t>20</w:t>
            </w:r>
          </w:p>
        </w:tc>
        <w:tc>
          <w:tcPr>
            <w:tcW w:w="1984" w:type="dxa"/>
          </w:tcPr>
          <w:p w14:paraId="2950975C" w14:textId="4B343E88" w:rsidR="002B1E43" w:rsidRPr="002B1E43" w:rsidRDefault="002B1E43" w:rsidP="002B1E43">
            <w:pPr>
              <w:spacing w:before="60" w:after="60"/>
              <w:jc w:val="center"/>
            </w:pPr>
            <w:r>
              <w:t>40</w:t>
            </w:r>
          </w:p>
        </w:tc>
        <w:tc>
          <w:tcPr>
            <w:tcW w:w="2828" w:type="dxa"/>
          </w:tcPr>
          <w:p w14:paraId="13CB67DC" w14:textId="24950BAC" w:rsidR="002B1E43" w:rsidRPr="002B1E43" w:rsidRDefault="002B1E43" w:rsidP="002B1E43">
            <w:pPr>
              <w:spacing w:before="60" w:after="60"/>
              <w:jc w:val="center"/>
            </w:pPr>
            <w:r>
              <w:t>24 hour</w:t>
            </w:r>
          </w:p>
        </w:tc>
      </w:tr>
      <w:tr w:rsidR="002B1E43" w14:paraId="5F011E7D" w14:textId="77777777" w:rsidTr="002B1E43">
        <w:tc>
          <w:tcPr>
            <w:tcW w:w="2265" w:type="dxa"/>
          </w:tcPr>
          <w:p w14:paraId="1CFFE7D5" w14:textId="568507A1" w:rsidR="002B1E43" w:rsidRPr="002B1E43" w:rsidRDefault="002B1E43" w:rsidP="002B1E43">
            <w:pPr>
              <w:spacing w:before="60" w:after="60"/>
              <w:jc w:val="center"/>
            </w:pPr>
            <w:r>
              <w:t>CO (m</w:t>
            </w:r>
            <w:r>
              <w:rPr>
                <w:rFonts w:cs="Arial"/>
                <w:color w:val="0B0C0C"/>
              </w:rPr>
              <w:t>g/m</w:t>
            </w:r>
            <w:r>
              <w:rPr>
                <w:rFonts w:cs="Arial"/>
                <w:color w:val="0B0C0C"/>
                <w:sz w:val="19"/>
                <w:szCs w:val="19"/>
                <w:vertAlign w:val="superscript"/>
              </w:rPr>
              <w:t>3</w:t>
            </w:r>
            <w:r>
              <w:rPr>
                <w:rFonts w:cs="Arial"/>
                <w:color w:val="0B0C0C"/>
              </w:rPr>
              <w:t>)</w:t>
            </w:r>
          </w:p>
        </w:tc>
        <w:tc>
          <w:tcPr>
            <w:tcW w:w="1983" w:type="dxa"/>
          </w:tcPr>
          <w:p w14:paraId="206DA804" w14:textId="6F9A6082" w:rsidR="002B1E43" w:rsidRPr="002B1E43" w:rsidRDefault="002B1E43" w:rsidP="002B1E43">
            <w:pPr>
              <w:spacing w:before="60" w:after="60"/>
              <w:jc w:val="center"/>
            </w:pPr>
            <w:r>
              <w:t>-</w:t>
            </w:r>
          </w:p>
        </w:tc>
        <w:tc>
          <w:tcPr>
            <w:tcW w:w="1984" w:type="dxa"/>
          </w:tcPr>
          <w:p w14:paraId="29D3642E" w14:textId="2E4FBDA6" w:rsidR="002B1E43" w:rsidRPr="002B1E43" w:rsidRDefault="002B1E43" w:rsidP="002B1E43">
            <w:pPr>
              <w:spacing w:before="60" w:after="60"/>
              <w:jc w:val="center"/>
            </w:pPr>
            <w:r>
              <w:t>4</w:t>
            </w:r>
          </w:p>
        </w:tc>
        <w:tc>
          <w:tcPr>
            <w:tcW w:w="2828" w:type="dxa"/>
          </w:tcPr>
          <w:p w14:paraId="2DB6F5D1" w14:textId="04ED89F9" w:rsidR="002B1E43" w:rsidRPr="002B1E43" w:rsidRDefault="002B1E43" w:rsidP="002B1E43">
            <w:pPr>
              <w:spacing w:before="60" w:after="60"/>
              <w:jc w:val="center"/>
            </w:pPr>
            <w:r>
              <w:t>24 hour</w:t>
            </w:r>
          </w:p>
        </w:tc>
      </w:tr>
    </w:tbl>
    <w:p w14:paraId="2EA3560D" w14:textId="5B6843D5" w:rsidR="002B1E43" w:rsidRDefault="002B1E43" w:rsidP="00CD700F">
      <w:r>
        <w:t xml:space="preserve">*Please note, WHO AQGs are not legally binding but are useful health based targets. </w:t>
      </w:r>
    </w:p>
    <w:p w14:paraId="6D9E32DC" w14:textId="7BED464F" w:rsidR="00EF0C21" w:rsidRPr="00EF0C21" w:rsidRDefault="00CD700F" w:rsidP="00CD700F">
      <w:pPr>
        <w:tabs>
          <w:tab w:val="left" w:pos="1087"/>
        </w:tabs>
        <w:sectPr w:rsidR="00EF0C21" w:rsidRPr="00EF0C21" w:rsidSect="004E54A8">
          <w:pgSz w:w="11906" w:h="16838" w:code="9"/>
          <w:pgMar w:top="1474" w:right="1418" w:bottom="1134" w:left="1418" w:header="964" w:footer="454" w:gutter="0"/>
          <w:cols w:space="708"/>
          <w:docGrid w:linePitch="360"/>
        </w:sectPr>
      </w:pPr>
      <w:r>
        <w:tab/>
      </w:r>
    </w:p>
    <w:p w14:paraId="27781708" w14:textId="77777777" w:rsidR="001529CE" w:rsidRPr="00FC56B6" w:rsidRDefault="001529CE" w:rsidP="00F77171">
      <w:pPr>
        <w:pStyle w:val="Heading1"/>
      </w:pPr>
      <w:bookmarkStart w:id="459" w:name="_Toc159264935"/>
      <w:bookmarkStart w:id="460" w:name="_Toc160129656"/>
      <w:r w:rsidRPr="00FC56B6">
        <w:t>Glossary of Terms</w:t>
      </w:r>
      <w:bookmarkEnd w:id="459"/>
      <w:bookmarkEnd w:id="460"/>
    </w:p>
    <w:tbl>
      <w:tblPr>
        <w:tblStyle w:val="LAQMReporting"/>
        <w:tblW w:w="9286" w:type="dxa"/>
        <w:tblLook w:val="04A0" w:firstRow="1" w:lastRow="0" w:firstColumn="1" w:lastColumn="0" w:noHBand="0" w:noVBand="1"/>
      </w:tblPr>
      <w:tblGrid>
        <w:gridCol w:w="1951"/>
        <w:gridCol w:w="7335"/>
      </w:tblGrid>
      <w:tr w:rsidR="001529CE" w14:paraId="3540D29C" w14:textId="77777777" w:rsidTr="007B10BD">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951" w:type="dxa"/>
          </w:tcPr>
          <w:p w14:paraId="53008B30" w14:textId="77777777" w:rsidR="001529CE" w:rsidRPr="00442353" w:rsidRDefault="001529CE" w:rsidP="007B10BD">
            <w:pPr>
              <w:pStyle w:val="Style1"/>
              <w:rPr>
                <w:rFonts w:cs="Arial"/>
                <w:bCs/>
              </w:rPr>
            </w:pPr>
            <w:bookmarkStart w:id="461" w:name="_Toc88486008"/>
            <w:r w:rsidRPr="00442353">
              <w:rPr>
                <w:rFonts w:cs="Arial"/>
                <w:bCs/>
              </w:rPr>
              <w:t>Abbreviation</w:t>
            </w:r>
          </w:p>
        </w:tc>
        <w:tc>
          <w:tcPr>
            <w:tcW w:w="7335" w:type="dxa"/>
          </w:tcPr>
          <w:p w14:paraId="56E89FA1" w14:textId="77777777" w:rsidR="001529CE" w:rsidRPr="00442353" w:rsidRDefault="001529CE" w:rsidP="007B10BD">
            <w:pPr>
              <w:pStyle w:val="Style1"/>
              <w:cnfStyle w:val="100000000000" w:firstRow="1" w:lastRow="0" w:firstColumn="0" w:lastColumn="0" w:oddVBand="0" w:evenVBand="0" w:oddHBand="0" w:evenHBand="0" w:firstRowFirstColumn="0" w:firstRowLastColumn="0" w:lastRowFirstColumn="0" w:lastRowLastColumn="0"/>
              <w:rPr>
                <w:rFonts w:cs="Arial"/>
                <w:bCs/>
              </w:rPr>
            </w:pPr>
            <w:r w:rsidRPr="00442353">
              <w:rPr>
                <w:rFonts w:cs="Arial"/>
                <w:bCs/>
              </w:rPr>
              <w:t>Description</w:t>
            </w:r>
          </w:p>
        </w:tc>
      </w:tr>
      <w:tr w:rsidR="00FA49BE" w14:paraId="193F87D4"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2DC6C76" w14:textId="2F6C025C" w:rsidR="00FA49BE" w:rsidRPr="00FA49BE" w:rsidRDefault="00FA49BE" w:rsidP="00FA49BE">
            <w:pPr>
              <w:pStyle w:val="AQAPText"/>
              <w:spacing w:before="120" w:after="120" w:line="276" w:lineRule="auto"/>
            </w:pPr>
            <w:r w:rsidRPr="00FA49BE">
              <w:rPr>
                <w:rFonts w:eastAsia="Arial"/>
                <w:color w:val="000000"/>
              </w:rPr>
              <w:t>AQMA</w:t>
            </w:r>
          </w:p>
        </w:tc>
        <w:tc>
          <w:tcPr>
            <w:tcW w:w="7335" w:type="dxa"/>
          </w:tcPr>
          <w:p w14:paraId="2D39B0C7" w14:textId="5F630354"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Air Quality Management Area – An area where air pollutant concentrations exceed / are likely to exceed the relevant air quality objectives. AQMAs are declared for specific pollutants and objectives</w:t>
            </w:r>
          </w:p>
        </w:tc>
      </w:tr>
      <w:tr w:rsidR="00FA49BE" w14:paraId="50A2F150"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354A9912" w14:textId="7853788B" w:rsidR="00FA49BE" w:rsidRPr="00FA49BE" w:rsidRDefault="00FA49BE" w:rsidP="00FA49BE">
            <w:pPr>
              <w:pStyle w:val="AQAPText"/>
              <w:spacing w:before="120" w:after="120" w:line="276" w:lineRule="auto"/>
            </w:pPr>
            <w:r w:rsidRPr="00FA49BE">
              <w:rPr>
                <w:rFonts w:eastAsia="Arial"/>
                <w:color w:val="000000"/>
              </w:rPr>
              <w:t>AQS</w:t>
            </w:r>
          </w:p>
        </w:tc>
        <w:tc>
          <w:tcPr>
            <w:tcW w:w="7335" w:type="dxa"/>
          </w:tcPr>
          <w:p w14:paraId="09DF2534" w14:textId="19D4C5C4"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Air Quality Strategy</w:t>
            </w:r>
          </w:p>
        </w:tc>
      </w:tr>
      <w:tr w:rsidR="00FA49BE" w14:paraId="3C977DB5"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6107776" w14:textId="0FFD0300" w:rsidR="00FA49BE" w:rsidRPr="00FA49BE" w:rsidRDefault="00FA49BE" w:rsidP="00FA49BE">
            <w:pPr>
              <w:pStyle w:val="AQAPText"/>
              <w:spacing w:before="120" w:after="120" w:line="276" w:lineRule="auto"/>
            </w:pPr>
            <w:r w:rsidRPr="00FA49BE">
              <w:rPr>
                <w:rFonts w:eastAsia="Arial"/>
                <w:color w:val="000000"/>
              </w:rPr>
              <w:t>ASR</w:t>
            </w:r>
          </w:p>
        </w:tc>
        <w:tc>
          <w:tcPr>
            <w:tcW w:w="7335" w:type="dxa"/>
          </w:tcPr>
          <w:p w14:paraId="10C3A4D7" w14:textId="669422D8"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Air quality Annual Status Report</w:t>
            </w:r>
          </w:p>
        </w:tc>
      </w:tr>
      <w:tr w:rsidR="00FA49BE" w14:paraId="322A4C71"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ABE6C09" w14:textId="7A2CC51B" w:rsidR="00FA49BE" w:rsidRPr="00FA49BE" w:rsidRDefault="00FA49BE" w:rsidP="00FA49BE">
            <w:pPr>
              <w:pStyle w:val="AQAPText"/>
              <w:spacing w:before="120" w:after="120" w:line="276" w:lineRule="auto"/>
            </w:pPr>
            <w:r w:rsidRPr="00FA49BE">
              <w:rPr>
                <w:color w:val="000000"/>
              </w:rPr>
              <w:t>ASR</w:t>
            </w:r>
          </w:p>
        </w:tc>
        <w:tc>
          <w:tcPr>
            <w:tcW w:w="7335" w:type="dxa"/>
          </w:tcPr>
          <w:p w14:paraId="16436299" w14:textId="6A1D762F"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Annual Status Report </w:t>
            </w:r>
          </w:p>
        </w:tc>
      </w:tr>
      <w:tr w:rsidR="00FA49BE" w14:paraId="2DA9C9F0"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BC3621F" w14:textId="04724F4A" w:rsidR="00FA49BE" w:rsidRPr="00FA49BE" w:rsidRDefault="00FA49BE" w:rsidP="00FA49BE">
            <w:pPr>
              <w:pStyle w:val="AQAPText"/>
              <w:spacing w:before="120" w:after="120" w:line="276" w:lineRule="auto"/>
            </w:pPr>
            <w:r w:rsidRPr="00FA49BE">
              <w:rPr>
                <w:color w:val="000000"/>
              </w:rPr>
              <w:t>BSIP</w:t>
            </w:r>
          </w:p>
        </w:tc>
        <w:tc>
          <w:tcPr>
            <w:tcW w:w="7335" w:type="dxa"/>
          </w:tcPr>
          <w:p w14:paraId="3197F549" w14:textId="4F6ED157"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Bus Service Improvement Plan</w:t>
            </w:r>
          </w:p>
        </w:tc>
      </w:tr>
      <w:tr w:rsidR="00FA49BE" w14:paraId="0F88208C"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65B4BC8D" w14:textId="6AE4FBCC" w:rsidR="00FA49BE" w:rsidRPr="00FA49BE" w:rsidRDefault="00FA49BE" w:rsidP="00FA49BE">
            <w:pPr>
              <w:pStyle w:val="AQAPText"/>
              <w:spacing w:before="120" w:after="120" w:line="276" w:lineRule="auto"/>
            </w:pPr>
            <w:r w:rsidRPr="00FA49BE">
              <w:rPr>
                <w:color w:val="000000"/>
              </w:rPr>
              <w:t>CCS</w:t>
            </w:r>
          </w:p>
        </w:tc>
        <w:tc>
          <w:tcPr>
            <w:tcW w:w="7335" w:type="dxa"/>
          </w:tcPr>
          <w:p w14:paraId="61B2482F" w14:textId="2DCB789D"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Climate Change Strategy </w:t>
            </w:r>
          </w:p>
        </w:tc>
      </w:tr>
      <w:tr w:rsidR="00FA49BE" w14:paraId="6AE4615E"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74555CCB" w14:textId="0DC5ABAD" w:rsidR="00FA49BE" w:rsidRPr="00FA49BE" w:rsidRDefault="00FA49BE" w:rsidP="00FA49BE">
            <w:pPr>
              <w:pStyle w:val="AQAPText"/>
              <w:spacing w:before="120" w:after="120" w:line="276" w:lineRule="auto"/>
            </w:pPr>
            <w:r w:rsidRPr="00FA49BE">
              <w:rPr>
                <w:color w:val="000000"/>
              </w:rPr>
              <w:t>CMP</w:t>
            </w:r>
          </w:p>
        </w:tc>
        <w:tc>
          <w:tcPr>
            <w:tcW w:w="7335" w:type="dxa"/>
          </w:tcPr>
          <w:p w14:paraId="09D5D1F5" w14:textId="0A870B7B"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Carbon Management Plan</w:t>
            </w:r>
          </w:p>
        </w:tc>
      </w:tr>
      <w:tr w:rsidR="00FA49BE" w14:paraId="62BB2382"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56784A49" w14:textId="4038F7B5" w:rsidR="00FA49BE" w:rsidRPr="00FA49BE" w:rsidRDefault="00FA49BE" w:rsidP="00FA49BE">
            <w:pPr>
              <w:pStyle w:val="AQAPText"/>
              <w:spacing w:before="120" w:after="120" w:line="276" w:lineRule="auto"/>
            </w:pPr>
            <w:r w:rsidRPr="00FA49BE">
              <w:rPr>
                <w:color w:val="000000"/>
              </w:rPr>
              <w:t>CSSD</w:t>
            </w:r>
          </w:p>
        </w:tc>
        <w:tc>
          <w:tcPr>
            <w:tcW w:w="7335" w:type="dxa"/>
          </w:tcPr>
          <w:p w14:paraId="5FC6A52A" w14:textId="286CA2A8"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Cycling Supplementary Strategy Document </w:t>
            </w:r>
          </w:p>
        </w:tc>
      </w:tr>
      <w:tr w:rsidR="00FA49BE" w14:paraId="1E0F4663"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404E179B" w14:textId="6813075C" w:rsidR="00FA49BE" w:rsidRPr="00FA49BE" w:rsidRDefault="00FA49BE" w:rsidP="00FA49BE">
            <w:pPr>
              <w:pStyle w:val="AQAPText"/>
              <w:spacing w:before="120" w:after="120" w:line="276" w:lineRule="auto"/>
            </w:pPr>
            <w:r w:rsidRPr="00FA49BE">
              <w:rPr>
                <w:rFonts w:eastAsia="Arial"/>
                <w:color w:val="000000"/>
              </w:rPr>
              <w:t>Defra</w:t>
            </w:r>
          </w:p>
        </w:tc>
        <w:tc>
          <w:tcPr>
            <w:tcW w:w="7335" w:type="dxa"/>
          </w:tcPr>
          <w:p w14:paraId="0EEC65EF" w14:textId="6695750A"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Department for Environment, Food and Rural Affairs</w:t>
            </w:r>
          </w:p>
        </w:tc>
      </w:tr>
      <w:tr w:rsidR="00FA49BE" w14:paraId="488BDC56"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4B0BFF28" w14:textId="4397A854" w:rsidR="00FA49BE" w:rsidRPr="00FA49BE" w:rsidRDefault="00FA49BE" w:rsidP="00FA49BE">
            <w:pPr>
              <w:pStyle w:val="AQAPText"/>
              <w:spacing w:before="120" w:after="120" w:line="276" w:lineRule="auto"/>
              <w:rPr>
                <w:noProof/>
              </w:rPr>
            </w:pPr>
            <w:r w:rsidRPr="00FA49BE">
              <w:rPr>
                <w:color w:val="000000"/>
              </w:rPr>
              <w:t>EfW</w:t>
            </w:r>
          </w:p>
        </w:tc>
        <w:tc>
          <w:tcPr>
            <w:tcW w:w="7335" w:type="dxa"/>
          </w:tcPr>
          <w:p w14:paraId="26488E67" w14:textId="1B7A8814"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Energy from Waste </w:t>
            </w:r>
          </w:p>
        </w:tc>
      </w:tr>
      <w:tr w:rsidR="00FA49BE" w14:paraId="2219EFFC"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38909DB1" w14:textId="4697F4AD" w:rsidR="00FA49BE" w:rsidRPr="00FA49BE" w:rsidRDefault="00FA49BE" w:rsidP="00FA49BE">
            <w:pPr>
              <w:pStyle w:val="AQAPText"/>
              <w:spacing w:before="120" w:after="120" w:line="276" w:lineRule="auto"/>
              <w:rPr>
                <w:noProof/>
              </w:rPr>
            </w:pPr>
            <w:r w:rsidRPr="00FA49BE">
              <w:rPr>
                <w:rFonts w:eastAsia="Arial"/>
                <w:color w:val="000000"/>
              </w:rPr>
              <w:t>EU</w:t>
            </w:r>
          </w:p>
        </w:tc>
        <w:tc>
          <w:tcPr>
            <w:tcW w:w="7335" w:type="dxa"/>
          </w:tcPr>
          <w:p w14:paraId="1EFE6FF6" w14:textId="63F69DE1"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European Union</w:t>
            </w:r>
          </w:p>
        </w:tc>
      </w:tr>
      <w:tr w:rsidR="00FA49BE" w14:paraId="40CF9C41"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2B4DD144" w14:textId="1B87731B" w:rsidR="00FA49BE" w:rsidRPr="00FA49BE" w:rsidRDefault="00FA49BE" w:rsidP="00FA49BE">
            <w:pPr>
              <w:pStyle w:val="AQAPText"/>
              <w:spacing w:before="120" w:after="120" w:line="276" w:lineRule="auto"/>
              <w:rPr>
                <w:noProof/>
              </w:rPr>
            </w:pPr>
            <w:r w:rsidRPr="00FA49BE">
              <w:rPr>
                <w:color w:val="000000"/>
              </w:rPr>
              <w:t>EV</w:t>
            </w:r>
          </w:p>
        </w:tc>
        <w:tc>
          <w:tcPr>
            <w:tcW w:w="7335" w:type="dxa"/>
          </w:tcPr>
          <w:p w14:paraId="6361FA63" w14:textId="57FDE239"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Electric Vehicle </w:t>
            </w:r>
          </w:p>
        </w:tc>
      </w:tr>
      <w:tr w:rsidR="00205D38" w14:paraId="2D821F5D"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97FDC23" w14:textId="09F8DD91" w:rsidR="00205D38" w:rsidRPr="00FA49BE" w:rsidRDefault="00205D38" w:rsidP="00FA49BE">
            <w:pPr>
              <w:pStyle w:val="AQAPText"/>
              <w:spacing w:before="120" w:after="120" w:line="276" w:lineRule="auto"/>
              <w:rPr>
                <w:color w:val="000000"/>
              </w:rPr>
            </w:pPr>
            <w:r>
              <w:rPr>
                <w:color w:val="000000"/>
              </w:rPr>
              <w:t>EVCI</w:t>
            </w:r>
          </w:p>
        </w:tc>
        <w:tc>
          <w:tcPr>
            <w:tcW w:w="7335" w:type="dxa"/>
          </w:tcPr>
          <w:p w14:paraId="592CFA10" w14:textId="52C0D910" w:rsidR="00205D38" w:rsidRPr="00FA49BE" w:rsidRDefault="00205D38" w:rsidP="00205D38">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rPr>
                <w:color w:val="000000"/>
              </w:rPr>
            </w:pPr>
            <w:r w:rsidRPr="00205D38">
              <w:rPr>
                <w:color w:val="000000"/>
              </w:rPr>
              <w:t>Electric Vehicle Charging Infrastructure</w:t>
            </w:r>
          </w:p>
        </w:tc>
      </w:tr>
      <w:tr w:rsidR="00FA49BE" w14:paraId="49AB9BC4"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2C78C249" w14:textId="4528B8ED" w:rsidR="00FA49BE" w:rsidRPr="00FA49BE" w:rsidRDefault="00FA49BE" w:rsidP="00FA49BE">
            <w:pPr>
              <w:pStyle w:val="AQAPText"/>
              <w:spacing w:before="120" w:after="120" w:line="276" w:lineRule="auto"/>
              <w:rPr>
                <w:noProof/>
              </w:rPr>
            </w:pPr>
            <w:r w:rsidRPr="00FA49BE">
              <w:rPr>
                <w:color w:val="000000"/>
              </w:rPr>
              <w:t>FC</w:t>
            </w:r>
          </w:p>
        </w:tc>
        <w:tc>
          <w:tcPr>
            <w:tcW w:w="7335" w:type="dxa"/>
          </w:tcPr>
          <w:p w14:paraId="2FC23D04" w14:textId="4CC31C7B"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Fleet Challenge</w:t>
            </w:r>
          </w:p>
        </w:tc>
      </w:tr>
      <w:tr w:rsidR="00FA49BE" w14:paraId="6333C5F6"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75CAFA6" w14:textId="51ABAC17" w:rsidR="00FA49BE" w:rsidRPr="00FA49BE" w:rsidRDefault="00FA49BE" w:rsidP="00FA49BE">
            <w:pPr>
              <w:pStyle w:val="AQAPText"/>
              <w:spacing w:before="120" w:after="120" w:line="276" w:lineRule="auto"/>
              <w:rPr>
                <w:noProof/>
              </w:rPr>
            </w:pPr>
            <w:r w:rsidRPr="00FA49BE">
              <w:rPr>
                <w:rFonts w:eastAsia="Arial"/>
                <w:color w:val="000000"/>
              </w:rPr>
              <w:t>LAQM</w:t>
            </w:r>
          </w:p>
        </w:tc>
        <w:tc>
          <w:tcPr>
            <w:tcW w:w="7335" w:type="dxa"/>
          </w:tcPr>
          <w:p w14:paraId="59CB316B" w14:textId="0C3381AB"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Local Air Quality Management</w:t>
            </w:r>
          </w:p>
        </w:tc>
      </w:tr>
      <w:tr w:rsidR="00FA49BE" w14:paraId="4B99C794"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5600E660" w14:textId="02EF652C" w:rsidR="00FA49BE" w:rsidRPr="00FA49BE" w:rsidRDefault="00FA49BE" w:rsidP="00FA49BE">
            <w:pPr>
              <w:pStyle w:val="AQAPText"/>
              <w:spacing w:before="120" w:after="120" w:line="276" w:lineRule="auto"/>
              <w:rPr>
                <w:noProof/>
              </w:rPr>
            </w:pPr>
            <w:r w:rsidRPr="00FA49BE">
              <w:rPr>
                <w:color w:val="000000"/>
              </w:rPr>
              <w:t>LCWIP</w:t>
            </w:r>
          </w:p>
        </w:tc>
        <w:tc>
          <w:tcPr>
            <w:tcW w:w="7335" w:type="dxa"/>
          </w:tcPr>
          <w:p w14:paraId="7B92D8F2" w14:textId="328B2668"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Local Cycling and Walking Infrastructure Plan</w:t>
            </w:r>
          </w:p>
        </w:tc>
      </w:tr>
      <w:tr w:rsidR="00FA49BE" w14:paraId="00572178"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587B4735" w14:textId="71AC29A5" w:rsidR="00FA49BE" w:rsidRPr="00FA49BE" w:rsidRDefault="00FA49BE" w:rsidP="00FA49BE">
            <w:pPr>
              <w:pStyle w:val="AQAPText"/>
              <w:spacing w:before="120" w:after="120" w:line="276" w:lineRule="auto"/>
              <w:rPr>
                <w:noProof/>
              </w:rPr>
            </w:pPr>
            <w:r w:rsidRPr="00FA49BE">
              <w:rPr>
                <w:color w:val="000000"/>
              </w:rPr>
              <w:t>LES</w:t>
            </w:r>
          </w:p>
        </w:tc>
        <w:tc>
          <w:tcPr>
            <w:tcW w:w="7335" w:type="dxa"/>
          </w:tcPr>
          <w:p w14:paraId="0C67ACA6" w14:textId="02E83F5D"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Low Emission Strategy </w:t>
            </w:r>
          </w:p>
        </w:tc>
      </w:tr>
      <w:tr w:rsidR="00205D38" w14:paraId="6177207F"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6E229C5E" w14:textId="3D7B3519" w:rsidR="00205D38" w:rsidRPr="00FA49BE" w:rsidRDefault="00205D38" w:rsidP="00FA49BE">
            <w:pPr>
              <w:pStyle w:val="AQAPText"/>
              <w:spacing w:before="120" w:after="120" w:line="276" w:lineRule="auto"/>
              <w:rPr>
                <w:color w:val="000000"/>
              </w:rPr>
            </w:pPr>
            <w:r>
              <w:rPr>
                <w:color w:val="000000"/>
              </w:rPr>
              <w:t>LEVI</w:t>
            </w:r>
          </w:p>
        </w:tc>
        <w:tc>
          <w:tcPr>
            <w:tcW w:w="7335" w:type="dxa"/>
          </w:tcPr>
          <w:p w14:paraId="40D5B46A" w14:textId="7589BEE4" w:rsidR="00205D38" w:rsidRPr="00FA49BE" w:rsidRDefault="00205D38" w:rsidP="00205D38">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rPr>
                <w:color w:val="000000"/>
              </w:rPr>
            </w:pPr>
            <w:r w:rsidRPr="00205D38">
              <w:rPr>
                <w:color w:val="000000"/>
              </w:rPr>
              <w:t xml:space="preserve">Local Electric Vehicle Infrastructure </w:t>
            </w:r>
          </w:p>
        </w:tc>
      </w:tr>
      <w:tr w:rsidR="00FA49BE" w14:paraId="12918A17"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4866C8BF" w14:textId="25882466" w:rsidR="00FA49BE" w:rsidRPr="00FA49BE" w:rsidRDefault="00FA49BE" w:rsidP="00FA49BE">
            <w:pPr>
              <w:pStyle w:val="AQAPText"/>
              <w:spacing w:before="120" w:after="120" w:line="276" w:lineRule="auto"/>
              <w:rPr>
                <w:noProof/>
              </w:rPr>
            </w:pPr>
            <w:r w:rsidRPr="00FA49BE">
              <w:rPr>
                <w:color w:val="000000"/>
              </w:rPr>
              <w:t>LTP3</w:t>
            </w:r>
          </w:p>
        </w:tc>
        <w:tc>
          <w:tcPr>
            <w:tcW w:w="7335" w:type="dxa"/>
          </w:tcPr>
          <w:p w14:paraId="2A301B3C" w14:textId="750EC1D7"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Local Transport Plan 3 </w:t>
            </w:r>
          </w:p>
        </w:tc>
      </w:tr>
      <w:tr w:rsidR="00FA49BE" w14:paraId="6A2B5A8D"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10FA7788" w14:textId="795C324F" w:rsidR="00FA49BE" w:rsidRPr="00FA49BE" w:rsidRDefault="00FA49BE" w:rsidP="00FA49BE">
            <w:pPr>
              <w:pStyle w:val="AQAPText"/>
              <w:spacing w:before="120" w:after="120" w:line="276" w:lineRule="auto"/>
              <w:rPr>
                <w:noProof/>
              </w:rPr>
            </w:pPr>
            <w:r w:rsidRPr="00FA49BE">
              <w:rPr>
                <w:rFonts w:eastAsia="Arial"/>
                <w:color w:val="000000"/>
              </w:rPr>
              <w:t>NO</w:t>
            </w:r>
            <w:r w:rsidRPr="00FA49BE">
              <w:rPr>
                <w:rFonts w:eastAsia="Arial"/>
                <w:color w:val="000000"/>
                <w:vertAlign w:val="subscript"/>
              </w:rPr>
              <w:t>2</w:t>
            </w:r>
          </w:p>
        </w:tc>
        <w:tc>
          <w:tcPr>
            <w:tcW w:w="7335" w:type="dxa"/>
          </w:tcPr>
          <w:p w14:paraId="73C8672F" w14:textId="4BF0081C"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Nitrogen Dioxide</w:t>
            </w:r>
          </w:p>
        </w:tc>
      </w:tr>
      <w:tr w:rsidR="00FA49BE" w14:paraId="608ABCB8"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57ED81DA" w14:textId="457907DB" w:rsidR="00FA49BE" w:rsidRPr="00FA49BE" w:rsidRDefault="00FA49BE" w:rsidP="00FA49BE">
            <w:pPr>
              <w:pStyle w:val="AQAPText"/>
              <w:spacing w:before="120" w:after="120" w:line="276" w:lineRule="auto"/>
              <w:rPr>
                <w:noProof/>
              </w:rPr>
            </w:pPr>
            <w:r w:rsidRPr="00FA49BE">
              <w:rPr>
                <w:rFonts w:eastAsia="Arial"/>
                <w:color w:val="000000"/>
              </w:rPr>
              <w:t>NO</w:t>
            </w:r>
            <w:r w:rsidRPr="00FA49BE">
              <w:rPr>
                <w:rFonts w:eastAsia="Arial"/>
                <w:color w:val="000000"/>
                <w:vertAlign w:val="subscript"/>
              </w:rPr>
              <w:t>x</w:t>
            </w:r>
          </w:p>
        </w:tc>
        <w:tc>
          <w:tcPr>
            <w:tcW w:w="7335" w:type="dxa"/>
          </w:tcPr>
          <w:p w14:paraId="4D9B7956" w14:textId="62A28914"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Nitrogen Oxides</w:t>
            </w:r>
          </w:p>
        </w:tc>
      </w:tr>
      <w:tr w:rsidR="00FA49BE" w14:paraId="208F1AE7"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2BA69ACE" w14:textId="71BCE420" w:rsidR="00FA49BE" w:rsidRPr="00FA49BE" w:rsidRDefault="00FA49BE" w:rsidP="00FA49BE">
            <w:pPr>
              <w:pStyle w:val="AQAPText"/>
              <w:spacing w:before="120" w:after="120" w:line="276" w:lineRule="auto"/>
              <w:rPr>
                <w:noProof/>
              </w:rPr>
            </w:pPr>
            <w:r w:rsidRPr="00FA49BE">
              <w:rPr>
                <w:color w:val="000000"/>
              </w:rPr>
              <w:t>PH</w:t>
            </w:r>
          </w:p>
        </w:tc>
        <w:tc>
          <w:tcPr>
            <w:tcW w:w="7335" w:type="dxa"/>
          </w:tcPr>
          <w:p w14:paraId="318D9B64" w14:textId="6FADD91C"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Public Health </w:t>
            </w:r>
          </w:p>
        </w:tc>
      </w:tr>
      <w:tr w:rsidR="00FA49BE" w14:paraId="10AD23A2"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309CA1AA" w14:textId="6E04B969" w:rsidR="00FA49BE" w:rsidRPr="00FA49BE" w:rsidRDefault="00FA49BE" w:rsidP="00FA49BE">
            <w:pPr>
              <w:pStyle w:val="AQAPText"/>
              <w:spacing w:before="120" w:after="120" w:line="276" w:lineRule="auto"/>
              <w:rPr>
                <w:noProof/>
              </w:rPr>
            </w:pPr>
            <w:r w:rsidRPr="00FA49BE">
              <w:rPr>
                <w:rFonts w:eastAsia="Arial"/>
                <w:noProof/>
                <w:color w:val="000000"/>
              </w:rPr>
              <w:t>PM</w:t>
            </w:r>
            <w:r w:rsidRPr="00FA49BE">
              <w:rPr>
                <w:rFonts w:eastAsia="Arial"/>
                <w:noProof/>
                <w:color w:val="000000"/>
                <w:vertAlign w:val="subscript"/>
              </w:rPr>
              <w:t>10</w:t>
            </w:r>
          </w:p>
        </w:tc>
        <w:tc>
          <w:tcPr>
            <w:tcW w:w="7335" w:type="dxa"/>
          </w:tcPr>
          <w:p w14:paraId="03F2B241" w14:textId="1DD3B40C"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Airborne particulate matter with an aerodynamic diameter of 10µm (micrometres or microns) or less</w:t>
            </w:r>
          </w:p>
        </w:tc>
      </w:tr>
      <w:tr w:rsidR="00FA49BE" w14:paraId="6BB4785F"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46A9722A" w14:textId="1B3065DB" w:rsidR="00FA49BE" w:rsidRPr="00FA49BE" w:rsidRDefault="00FA49BE" w:rsidP="00FA49BE">
            <w:pPr>
              <w:pStyle w:val="AQAPText"/>
              <w:spacing w:before="120" w:after="120" w:line="276" w:lineRule="auto"/>
              <w:rPr>
                <w:noProof/>
              </w:rPr>
            </w:pPr>
            <w:r w:rsidRPr="00FA49BE">
              <w:rPr>
                <w:rFonts w:eastAsia="Arial"/>
                <w:noProof/>
                <w:color w:val="000000"/>
              </w:rPr>
              <w:t>PM</w:t>
            </w:r>
            <w:r w:rsidRPr="00FA49BE">
              <w:rPr>
                <w:rFonts w:eastAsia="Arial"/>
                <w:noProof/>
                <w:color w:val="000000"/>
                <w:vertAlign w:val="subscript"/>
              </w:rPr>
              <w:t>2.5</w:t>
            </w:r>
          </w:p>
        </w:tc>
        <w:tc>
          <w:tcPr>
            <w:tcW w:w="7335" w:type="dxa"/>
          </w:tcPr>
          <w:p w14:paraId="6D8D95B0" w14:textId="2A5EAF05"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Airborne particulate matter with an aerodynamic diameter of 2.5µm or less</w:t>
            </w:r>
          </w:p>
        </w:tc>
      </w:tr>
      <w:tr w:rsidR="00FA49BE" w14:paraId="06975E4C"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70F2ED3B" w14:textId="308D983F" w:rsidR="00FA49BE" w:rsidRPr="00FA49BE" w:rsidRDefault="00FA49BE" w:rsidP="00FA49BE">
            <w:pPr>
              <w:pStyle w:val="AQAPText"/>
              <w:spacing w:before="120" w:after="120" w:line="276" w:lineRule="auto"/>
              <w:rPr>
                <w:noProof/>
              </w:rPr>
            </w:pPr>
            <w:r w:rsidRPr="00FA49BE">
              <w:rPr>
                <w:color w:val="000000"/>
              </w:rPr>
              <w:t>PSSD</w:t>
            </w:r>
          </w:p>
        </w:tc>
        <w:tc>
          <w:tcPr>
            <w:tcW w:w="7335" w:type="dxa"/>
          </w:tcPr>
          <w:p w14:paraId="3283D537" w14:textId="51544EBC"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Parking Supplementary Strategy Document </w:t>
            </w:r>
          </w:p>
        </w:tc>
      </w:tr>
      <w:tr w:rsidR="00FA49BE" w14:paraId="75EAEC6D"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2B15C000" w14:textId="5A00A3C2" w:rsidR="00FA49BE" w:rsidRPr="00FA49BE" w:rsidRDefault="00FA49BE" w:rsidP="00FA49BE">
            <w:pPr>
              <w:pStyle w:val="AQAPText"/>
              <w:spacing w:before="120" w:after="120" w:line="276" w:lineRule="auto"/>
              <w:rPr>
                <w:noProof/>
              </w:rPr>
            </w:pPr>
            <w:r w:rsidRPr="00FA49BE">
              <w:rPr>
                <w:rFonts w:eastAsia="Arial"/>
                <w:noProof/>
                <w:color w:val="000000"/>
              </w:rPr>
              <w:t>SBC</w:t>
            </w:r>
          </w:p>
        </w:tc>
        <w:tc>
          <w:tcPr>
            <w:tcW w:w="7335" w:type="dxa"/>
          </w:tcPr>
          <w:p w14:paraId="7C737F63" w14:textId="72D684B9"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rFonts w:eastAsia="Arial"/>
                <w:color w:val="000000"/>
              </w:rPr>
              <w:t>Slough Borough Council</w:t>
            </w:r>
          </w:p>
        </w:tc>
      </w:tr>
      <w:tr w:rsidR="00FA49BE" w14:paraId="531EEF4A"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567AB8BB" w14:textId="09790FE5" w:rsidR="00FA49BE" w:rsidRPr="00FA49BE" w:rsidRDefault="00FA49BE" w:rsidP="00FA49BE">
            <w:pPr>
              <w:pStyle w:val="AQAPText"/>
              <w:spacing w:before="120" w:after="120" w:line="276" w:lineRule="auto"/>
              <w:rPr>
                <w:noProof/>
              </w:rPr>
            </w:pPr>
            <w:r w:rsidRPr="00FA49BE">
              <w:rPr>
                <w:color w:val="000000"/>
              </w:rPr>
              <w:t>STIP</w:t>
            </w:r>
          </w:p>
        </w:tc>
        <w:tc>
          <w:tcPr>
            <w:tcW w:w="7335" w:type="dxa"/>
          </w:tcPr>
          <w:p w14:paraId="3D0DBD2B" w14:textId="7596DC70"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Strategic Transport Infrastructure Plan</w:t>
            </w:r>
          </w:p>
        </w:tc>
      </w:tr>
      <w:tr w:rsidR="00FA49BE" w14:paraId="2CCD2F01"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0B9CFCAA" w14:textId="387B4168" w:rsidR="00FA49BE" w:rsidRPr="00FA49BE" w:rsidRDefault="00FA49BE" w:rsidP="00FA49BE">
            <w:pPr>
              <w:pStyle w:val="AQAPText"/>
              <w:spacing w:before="120" w:after="120" w:line="276" w:lineRule="auto"/>
            </w:pPr>
            <w:r w:rsidRPr="00FA49BE">
              <w:rPr>
                <w:color w:val="000000"/>
              </w:rPr>
              <w:t>TL</w:t>
            </w:r>
          </w:p>
        </w:tc>
        <w:tc>
          <w:tcPr>
            <w:tcW w:w="7335" w:type="dxa"/>
          </w:tcPr>
          <w:p w14:paraId="2095C5AD" w14:textId="0237B2A3"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Taxi Licensing </w:t>
            </w:r>
          </w:p>
        </w:tc>
      </w:tr>
      <w:tr w:rsidR="00FA49BE" w14:paraId="5C9378BE"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29E353F0" w14:textId="2620E79D" w:rsidR="00FA49BE" w:rsidRPr="00FA49BE" w:rsidRDefault="00FA49BE" w:rsidP="00FA49BE">
            <w:pPr>
              <w:pStyle w:val="AQAPText"/>
              <w:spacing w:before="120" w:after="120" w:line="276" w:lineRule="auto"/>
            </w:pPr>
            <w:r w:rsidRPr="00FA49BE">
              <w:rPr>
                <w:color w:val="000000"/>
              </w:rPr>
              <w:t>TV</w:t>
            </w:r>
          </w:p>
        </w:tc>
        <w:tc>
          <w:tcPr>
            <w:tcW w:w="7335" w:type="dxa"/>
          </w:tcPr>
          <w:p w14:paraId="1117E406" w14:textId="6D316E25"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Transport Vision </w:t>
            </w:r>
          </w:p>
        </w:tc>
      </w:tr>
      <w:tr w:rsidR="00FA49BE" w14:paraId="61AE87C3" w14:textId="77777777" w:rsidTr="00AB4CD1">
        <w:tc>
          <w:tcPr>
            <w:cnfStyle w:val="001000000000" w:firstRow="0" w:lastRow="0" w:firstColumn="1" w:lastColumn="0" w:oddVBand="0" w:evenVBand="0" w:oddHBand="0" w:evenHBand="0" w:firstRowFirstColumn="0" w:firstRowLastColumn="0" w:lastRowFirstColumn="0" w:lastRowLastColumn="0"/>
            <w:tcW w:w="1951" w:type="dxa"/>
          </w:tcPr>
          <w:p w14:paraId="7C4FFDE3" w14:textId="7B58E1D4" w:rsidR="00FA49BE" w:rsidRPr="00FA49BE" w:rsidRDefault="00FA49BE" w:rsidP="00FA49BE">
            <w:pPr>
              <w:pStyle w:val="AQAPText"/>
              <w:spacing w:before="120" w:after="120" w:line="276" w:lineRule="auto"/>
            </w:pPr>
            <w:r w:rsidRPr="00FA49BE">
              <w:rPr>
                <w:color w:val="000000"/>
              </w:rPr>
              <w:t>WSSD</w:t>
            </w:r>
          </w:p>
        </w:tc>
        <w:tc>
          <w:tcPr>
            <w:tcW w:w="7335" w:type="dxa"/>
          </w:tcPr>
          <w:p w14:paraId="23CBEF78" w14:textId="751D946E" w:rsidR="00FA49BE" w:rsidRPr="00FA49BE" w:rsidRDefault="00FA49BE" w:rsidP="00FA49BE">
            <w:pPr>
              <w:pStyle w:val="AQAPText"/>
              <w:spacing w:before="120" w:after="120" w:line="276" w:lineRule="auto"/>
              <w:jc w:val="left"/>
              <w:cnfStyle w:val="000000000000" w:firstRow="0" w:lastRow="0" w:firstColumn="0" w:lastColumn="0" w:oddVBand="0" w:evenVBand="0" w:oddHBand="0" w:evenHBand="0" w:firstRowFirstColumn="0" w:firstRowLastColumn="0" w:lastRowFirstColumn="0" w:lastRowLastColumn="0"/>
            </w:pPr>
            <w:r w:rsidRPr="00FA49BE">
              <w:rPr>
                <w:color w:val="000000"/>
              </w:rPr>
              <w:t xml:space="preserve">Walking Supplementary Strategy Document </w:t>
            </w:r>
          </w:p>
        </w:tc>
      </w:tr>
    </w:tbl>
    <w:p w14:paraId="339B24DE" w14:textId="195EE386" w:rsidR="006E4CA8" w:rsidRDefault="006E4CA8">
      <w:pPr>
        <w:spacing w:before="0" w:after="0" w:line="240" w:lineRule="auto"/>
        <w:rPr>
          <w:b/>
          <w:bCs/>
          <w:color w:val="008938"/>
          <w:kern w:val="32"/>
          <w:sz w:val="40"/>
          <w:szCs w:val="32"/>
        </w:rPr>
      </w:pPr>
      <w:r>
        <w:br w:type="page"/>
      </w:r>
    </w:p>
    <w:bookmarkEnd w:id="461"/>
    <w:p w14:paraId="6CDECC76" w14:textId="27BB1E1C" w:rsidR="004947B1" w:rsidRPr="004947B1" w:rsidRDefault="004947B1" w:rsidP="00215C63">
      <w:pPr>
        <w:tabs>
          <w:tab w:val="left" w:pos="5563"/>
        </w:tabs>
        <w:sectPr w:rsidR="004947B1" w:rsidRPr="004947B1" w:rsidSect="00B150F5">
          <w:footerReference w:type="default" r:id="rId76"/>
          <w:pgSz w:w="11906" w:h="16838" w:code="9"/>
          <w:pgMar w:top="1474" w:right="1418" w:bottom="1134" w:left="1418" w:header="964" w:footer="454" w:gutter="0"/>
          <w:cols w:space="708"/>
          <w:docGrid w:linePitch="360"/>
        </w:sectPr>
      </w:pPr>
    </w:p>
    <w:p w14:paraId="3A56AC93" w14:textId="5FC905A9" w:rsidR="007944A9" w:rsidRDefault="007944A9" w:rsidP="00F77171">
      <w:pPr>
        <w:pStyle w:val="Heading1"/>
      </w:pPr>
      <w:bookmarkStart w:id="462" w:name="_Toc445216711"/>
      <w:bookmarkStart w:id="463" w:name="_Toc447717855"/>
      <w:bookmarkStart w:id="464" w:name="_Toc88486009"/>
      <w:bookmarkStart w:id="465" w:name="_Toc160129657"/>
      <w:r>
        <w:t>References</w:t>
      </w:r>
      <w:bookmarkEnd w:id="462"/>
      <w:bookmarkEnd w:id="463"/>
      <w:bookmarkEnd w:id="464"/>
      <w:bookmarkEnd w:id="465"/>
    </w:p>
    <w:p w14:paraId="34774F2E" w14:textId="77777777" w:rsidR="009F0379" w:rsidRPr="00B36027" w:rsidRDefault="009F0379" w:rsidP="009F0379">
      <w:pPr>
        <w:pStyle w:val="FootnoteText"/>
        <w:rPr>
          <w:rFonts w:cs="Arial"/>
          <w:sz w:val="24"/>
          <w:szCs w:val="24"/>
        </w:rPr>
      </w:pPr>
      <w:r w:rsidRPr="00B36027">
        <w:rPr>
          <w:rFonts w:cs="Arial"/>
          <w:sz w:val="24"/>
          <w:szCs w:val="24"/>
        </w:rPr>
        <w:t xml:space="preserve">Chief Medical Officer’s Annual Report, 2022 </w:t>
      </w:r>
    </w:p>
    <w:p w14:paraId="60256E54" w14:textId="77777777" w:rsidR="009F0379" w:rsidRPr="00B36027" w:rsidRDefault="009F0379" w:rsidP="009F0379">
      <w:pPr>
        <w:rPr>
          <w:rStyle w:val="Hyperlink"/>
          <w:rFonts w:cs="Arial"/>
          <w:color w:val="auto"/>
          <w:u w:val="none"/>
        </w:rPr>
      </w:pPr>
      <w:r w:rsidRPr="00B36027">
        <w:rPr>
          <w:rFonts w:cs="Arial"/>
        </w:rPr>
        <w:t>Courts and Tribunals Judiciary</w:t>
      </w:r>
      <w:r w:rsidRPr="00B36027">
        <w:rPr>
          <w:rStyle w:val="Hyperlink"/>
          <w:rFonts w:cs="Arial"/>
          <w:color w:val="auto"/>
          <w:u w:val="none"/>
        </w:rPr>
        <w:t xml:space="preserve"> - Ella Kissi-Debrah, April 2021</w:t>
      </w:r>
    </w:p>
    <w:p w14:paraId="17066575" w14:textId="77777777" w:rsidR="009F0379" w:rsidRPr="00B36027" w:rsidRDefault="009F0379" w:rsidP="009F0379">
      <w:pPr>
        <w:rPr>
          <w:rFonts w:cs="Arial"/>
        </w:rPr>
      </w:pPr>
      <w:r w:rsidRPr="00B36027">
        <w:rPr>
          <w:rFonts w:cs="Arial"/>
        </w:rPr>
        <w:t>Defra. Abatement cost guidance for valuing changes in air quality, May 2013</w:t>
      </w:r>
    </w:p>
    <w:p w14:paraId="6B6F0448" w14:textId="2A7558E7" w:rsidR="009F0379" w:rsidRPr="00B36027" w:rsidRDefault="009F0379" w:rsidP="009F0379">
      <w:pPr>
        <w:rPr>
          <w:rStyle w:val="Hyperlink"/>
          <w:rFonts w:cs="Arial"/>
          <w:color w:val="auto"/>
          <w:u w:val="none"/>
        </w:rPr>
      </w:pPr>
      <w:r w:rsidRPr="00B36027">
        <w:rPr>
          <w:rFonts w:cs="Arial"/>
        </w:rPr>
        <w:t>Defra. Air quality strategy: framework for local authority delivery</w:t>
      </w:r>
      <w:r>
        <w:rPr>
          <w:rFonts w:cs="Arial"/>
        </w:rPr>
        <w:t xml:space="preserve">, 2023 </w:t>
      </w:r>
    </w:p>
    <w:p w14:paraId="1D0422A3" w14:textId="77777777" w:rsidR="009F0379" w:rsidRPr="00B36027" w:rsidRDefault="009F0379" w:rsidP="009F0379">
      <w:pPr>
        <w:rPr>
          <w:rFonts w:cs="Arial"/>
        </w:rPr>
      </w:pPr>
      <w:r w:rsidRPr="009F0379">
        <w:rPr>
          <w:rStyle w:val="FootnoteReference"/>
          <w:rFonts w:cs="Arial"/>
          <w:vertAlign w:val="baseline"/>
        </w:rPr>
        <w:t>Defra.</w:t>
      </w:r>
      <w:r w:rsidRPr="009F0379">
        <w:rPr>
          <w:rFonts w:cs="Arial"/>
        </w:rPr>
        <w:t xml:space="preserve"> A</w:t>
      </w:r>
      <w:r w:rsidRPr="00B36027">
        <w:rPr>
          <w:rFonts w:cs="Arial"/>
        </w:rPr>
        <w:t xml:space="preserve">nnual </w:t>
      </w:r>
      <w:hyperlink w:history="1">
        <w:r w:rsidRPr="00B36027">
          <w:rPr>
            <w:rStyle w:val="Hyperlink"/>
            <w:rFonts w:cs="Arial"/>
            <w:color w:val="auto"/>
            <w:u w:val="none"/>
          </w:rPr>
          <w:t>nitrogen dioxide (NO</w:t>
        </w:r>
        <w:r w:rsidRPr="009F0379">
          <w:rPr>
            <w:rStyle w:val="Hyperlink"/>
            <w:rFonts w:cs="Arial"/>
            <w:color w:val="auto"/>
            <w:u w:val="none"/>
            <w:vertAlign w:val="subscript"/>
          </w:rPr>
          <w:t>2</w:t>
        </w:r>
        <w:r w:rsidRPr="00B36027">
          <w:rPr>
            <w:rStyle w:val="Hyperlink"/>
            <w:rFonts w:cs="Arial"/>
            <w:color w:val="auto"/>
            <w:u w:val="none"/>
          </w:rPr>
          <w:t xml:space="preserve">) summary, 2022 </w:t>
        </w:r>
      </w:hyperlink>
    </w:p>
    <w:p w14:paraId="42B19105" w14:textId="77777777" w:rsidR="009F0379" w:rsidRPr="00B36027" w:rsidRDefault="009F0379" w:rsidP="009F0379">
      <w:pPr>
        <w:rPr>
          <w:rFonts w:cs="Arial"/>
        </w:rPr>
      </w:pPr>
      <w:r w:rsidRPr="00B36027">
        <w:rPr>
          <w:rFonts w:cs="Arial"/>
        </w:rPr>
        <w:t xml:space="preserve">Defra. </w:t>
      </w:r>
      <w:hyperlink r:id="rId77" w:history="1">
        <w:r w:rsidRPr="00B36027">
          <w:rPr>
            <w:rStyle w:val="Hyperlink"/>
            <w:rFonts w:cs="Arial"/>
            <w:color w:val="auto"/>
            <w:u w:val="none"/>
          </w:rPr>
          <w:t>Background Maps,</w:t>
        </w:r>
      </w:hyperlink>
      <w:r w:rsidRPr="00B36027">
        <w:rPr>
          <w:rFonts w:cs="Arial"/>
        </w:rPr>
        <w:t xml:space="preserve"> 2022</w:t>
      </w:r>
    </w:p>
    <w:p w14:paraId="3115436F" w14:textId="17484FDF" w:rsidR="009F0379" w:rsidRPr="00B36027" w:rsidRDefault="009F0379" w:rsidP="009F0379">
      <w:pPr>
        <w:rPr>
          <w:rStyle w:val="Hyperlink"/>
          <w:rFonts w:cs="Arial"/>
          <w:color w:val="auto"/>
          <w:u w:val="none"/>
        </w:rPr>
      </w:pPr>
      <w:r w:rsidRPr="00B36027">
        <w:rPr>
          <w:rFonts w:cs="Arial"/>
        </w:rPr>
        <w:t xml:space="preserve">Defra. </w:t>
      </w:r>
      <w:hyperlink r:id="rId78" w:history="1">
        <w:r w:rsidRPr="00B36027">
          <w:rPr>
            <w:rStyle w:val="Hyperlink"/>
            <w:rFonts w:cs="Arial"/>
            <w:color w:val="auto"/>
            <w:u w:val="none"/>
          </w:rPr>
          <w:t>Daily Air Quality Index</w:t>
        </w:r>
      </w:hyperlink>
      <w:r>
        <w:rPr>
          <w:rStyle w:val="Hyperlink"/>
          <w:rFonts w:cs="Arial"/>
          <w:color w:val="auto"/>
          <w:u w:val="none"/>
        </w:rPr>
        <w:t>, 2024</w:t>
      </w:r>
    </w:p>
    <w:p w14:paraId="17C8D244" w14:textId="77777777" w:rsidR="009F0379" w:rsidRPr="00B36027" w:rsidRDefault="009F0379" w:rsidP="009F0379">
      <w:pPr>
        <w:rPr>
          <w:rFonts w:cs="Arial"/>
        </w:rPr>
      </w:pPr>
      <w:r w:rsidRPr="00B36027">
        <w:rPr>
          <w:rFonts w:cs="Arial"/>
        </w:rPr>
        <w:t xml:space="preserve">Defra. Technical Guidance </w:t>
      </w:r>
      <w:hyperlink r:id="rId79" w:history="1">
        <w:r w:rsidRPr="00B36027">
          <w:rPr>
            <w:rFonts w:cs="Arial"/>
          </w:rPr>
          <w:t xml:space="preserve">LAQM.TG(22), </w:t>
        </w:r>
      </w:hyperlink>
      <w:r w:rsidRPr="00B36027">
        <w:rPr>
          <w:rFonts w:cs="Arial"/>
        </w:rPr>
        <w:t>August 2022</w:t>
      </w:r>
    </w:p>
    <w:p w14:paraId="0E37457C" w14:textId="22B12CFF" w:rsidR="009F0379" w:rsidRPr="00B36027" w:rsidRDefault="009F0379" w:rsidP="009F0379">
      <w:pPr>
        <w:rPr>
          <w:rFonts w:cs="Arial"/>
        </w:rPr>
      </w:pPr>
      <w:r w:rsidRPr="00B36027">
        <w:rPr>
          <w:rFonts w:cs="Arial"/>
        </w:rPr>
        <w:t xml:space="preserve">Department for Levelling Up, Housing and Communities and Ministry of Housing, Communities &amp; Local Government. </w:t>
      </w:r>
      <w:r w:rsidRPr="009F0379">
        <w:rPr>
          <w:rFonts w:cs="Arial"/>
        </w:rPr>
        <w:t>Planning practice guidance, 2024</w:t>
      </w:r>
    </w:p>
    <w:p w14:paraId="79716429" w14:textId="77777777" w:rsidR="009F0379" w:rsidRPr="00B36027" w:rsidRDefault="009F0379" w:rsidP="009F0379">
      <w:pPr>
        <w:rPr>
          <w:rStyle w:val="Hyperlink"/>
          <w:rFonts w:cs="Arial"/>
          <w:color w:val="auto"/>
          <w:u w:val="none"/>
        </w:rPr>
      </w:pPr>
      <w:r w:rsidRPr="00B36027">
        <w:rPr>
          <w:rFonts w:cs="Arial"/>
        </w:rPr>
        <w:t xml:space="preserve">Department for Levelling Up, Housing and Communities. </w:t>
      </w:r>
      <w:hyperlink r:id="rId80" w:history="1">
        <w:r w:rsidRPr="00B36027">
          <w:rPr>
            <w:rStyle w:val="Hyperlink"/>
            <w:rFonts w:cs="Arial"/>
            <w:color w:val="auto"/>
            <w:u w:val="none"/>
          </w:rPr>
          <w:t xml:space="preserve">National Planning Policy Framework, 2023 </w:t>
        </w:r>
      </w:hyperlink>
    </w:p>
    <w:p w14:paraId="0E1C68FE" w14:textId="77777777" w:rsidR="009F0379" w:rsidRPr="00B36027" w:rsidRDefault="009F0379" w:rsidP="009F0379">
      <w:pPr>
        <w:spacing w:before="240"/>
        <w:rPr>
          <w:rFonts w:cs="Arial"/>
        </w:rPr>
      </w:pPr>
      <w:r w:rsidRPr="009F0379">
        <w:rPr>
          <w:rStyle w:val="FootnoteReference"/>
          <w:rFonts w:cs="Arial"/>
          <w:vertAlign w:val="baseline"/>
        </w:rPr>
        <w:t>Department for Transport (DfT).</w:t>
      </w:r>
      <w:r w:rsidRPr="00B36027">
        <w:rPr>
          <w:rFonts w:cs="Arial"/>
        </w:rPr>
        <w:t xml:space="preserve"> Cycle Infrastructure Design, July 2020</w:t>
      </w:r>
    </w:p>
    <w:p w14:paraId="72F4818E" w14:textId="77777777" w:rsidR="009F0379" w:rsidRPr="00B36027" w:rsidRDefault="009F0379" w:rsidP="009F0379">
      <w:pPr>
        <w:pStyle w:val="FootnoteText"/>
        <w:spacing w:before="0" w:after="0"/>
        <w:rPr>
          <w:rFonts w:cs="Arial"/>
          <w:sz w:val="24"/>
          <w:szCs w:val="24"/>
        </w:rPr>
      </w:pPr>
      <w:r w:rsidRPr="00B36027">
        <w:rPr>
          <w:rFonts w:cs="Arial"/>
          <w:sz w:val="24"/>
          <w:szCs w:val="24"/>
        </w:rPr>
        <w:t xml:space="preserve">Local Air Quality Management. Emission Factor Toolkit, </w:t>
      </w:r>
      <w:hyperlink r:id="rId81" w:history="1">
        <w:r w:rsidRPr="00B36027">
          <w:rPr>
            <w:rStyle w:val="Hyperlink"/>
            <w:rFonts w:cs="Arial"/>
            <w:color w:val="auto"/>
            <w:sz w:val="24"/>
            <w:szCs w:val="24"/>
            <w:u w:val="none"/>
          </w:rPr>
          <w:t>EFT V11.0, 2021</w:t>
        </w:r>
      </w:hyperlink>
    </w:p>
    <w:p w14:paraId="291B2803" w14:textId="77777777" w:rsidR="009F0379" w:rsidRPr="00B36027" w:rsidRDefault="009F0379" w:rsidP="009F0379">
      <w:pPr>
        <w:rPr>
          <w:rFonts w:cs="Arial"/>
        </w:rPr>
      </w:pPr>
      <w:r w:rsidRPr="00B36027">
        <w:rPr>
          <w:rFonts w:cs="Arial"/>
        </w:rPr>
        <w:t xml:space="preserve">Local Air Quality Management. </w:t>
      </w:r>
      <w:hyperlink r:id="rId82" w:history="1">
        <w:r w:rsidRPr="00B36027">
          <w:rPr>
            <w:rStyle w:val="Hyperlink"/>
            <w:rFonts w:cs="Arial"/>
            <w:color w:val="auto"/>
            <w:u w:val="none"/>
          </w:rPr>
          <w:t>NOx to NO</w:t>
        </w:r>
        <w:r w:rsidRPr="00B36027">
          <w:rPr>
            <w:rStyle w:val="Hyperlink"/>
            <w:rFonts w:cs="Arial"/>
            <w:color w:val="auto"/>
            <w:u w:val="none"/>
            <w:vertAlign w:val="subscript"/>
          </w:rPr>
          <w:t>2</w:t>
        </w:r>
        <w:r w:rsidRPr="00B36027">
          <w:rPr>
            <w:rStyle w:val="Hyperlink"/>
            <w:rFonts w:cs="Arial"/>
            <w:color w:val="auto"/>
            <w:u w:val="none"/>
          </w:rPr>
          <w:t xml:space="preserve"> calculator, 2020</w:t>
        </w:r>
      </w:hyperlink>
    </w:p>
    <w:p w14:paraId="11DAC5A6" w14:textId="77777777" w:rsidR="009F0379" w:rsidRPr="00B36027" w:rsidRDefault="009F0379" w:rsidP="009F0379">
      <w:pPr>
        <w:pStyle w:val="FootnoteText"/>
        <w:rPr>
          <w:rFonts w:cs="Arial"/>
          <w:sz w:val="24"/>
          <w:szCs w:val="24"/>
        </w:rPr>
      </w:pPr>
      <w:r w:rsidRPr="00B36027">
        <w:rPr>
          <w:rFonts w:cs="Arial"/>
          <w:sz w:val="24"/>
          <w:szCs w:val="24"/>
        </w:rPr>
        <w:t xml:space="preserve">London Assembly. 20mph Speed Limit and Air Pollution, July 2022  </w:t>
      </w:r>
    </w:p>
    <w:p w14:paraId="10DD1A85" w14:textId="77777777" w:rsidR="009F0379" w:rsidRPr="00B36027" w:rsidRDefault="009F0379" w:rsidP="009F0379">
      <w:pPr>
        <w:rPr>
          <w:rStyle w:val="Hyperlink"/>
          <w:rFonts w:cs="Arial"/>
          <w:color w:val="auto"/>
          <w:u w:val="none"/>
        </w:rPr>
      </w:pPr>
      <w:r w:rsidRPr="00B36027">
        <w:rPr>
          <w:rFonts w:cs="Arial"/>
        </w:rPr>
        <w:t>National Highways. Air quality speed limit trials,</w:t>
      </w:r>
      <w:r w:rsidRPr="00B36027">
        <w:rPr>
          <w:rStyle w:val="Hyperlink"/>
          <w:rFonts w:cs="Arial"/>
          <w:color w:val="auto"/>
          <w:u w:val="none"/>
        </w:rPr>
        <w:t xml:space="preserve"> 2023 </w:t>
      </w:r>
    </w:p>
    <w:p w14:paraId="0D4F100D" w14:textId="68E53E21" w:rsidR="009F0379" w:rsidRPr="00B36027" w:rsidRDefault="009F0379" w:rsidP="009F0379">
      <w:pPr>
        <w:rPr>
          <w:rFonts w:cs="Arial"/>
        </w:rPr>
      </w:pPr>
      <w:r w:rsidRPr="00B36027">
        <w:rPr>
          <w:rFonts w:cs="Arial"/>
        </w:rPr>
        <w:t>Office for National Statistics (ONS)</w:t>
      </w:r>
      <w:r>
        <w:rPr>
          <w:rFonts w:cs="Arial"/>
        </w:rPr>
        <w:t>.</w:t>
      </w:r>
      <w:r w:rsidRPr="00B36027">
        <w:rPr>
          <w:rFonts w:cs="Arial"/>
        </w:rPr>
        <w:t xml:space="preserve"> Census, 2011 and 2021</w:t>
      </w:r>
    </w:p>
    <w:p w14:paraId="2D276AE3" w14:textId="77777777" w:rsidR="009F0379" w:rsidRPr="00B36027" w:rsidRDefault="009F0379" w:rsidP="009F0379">
      <w:pPr>
        <w:rPr>
          <w:rFonts w:cs="Arial"/>
        </w:rPr>
      </w:pPr>
      <w:r w:rsidRPr="00B36027">
        <w:rPr>
          <w:rFonts w:cs="Arial"/>
        </w:rPr>
        <w:t>Pye, S., King, K., Sturman, J. Air quality and social deprivation in the UK: an environmental inequalities analysis, 2006</w:t>
      </w:r>
    </w:p>
    <w:p w14:paraId="5C3C47BA" w14:textId="77777777" w:rsidR="009F0379" w:rsidRPr="00B36027" w:rsidRDefault="009F0379" w:rsidP="009F0379">
      <w:pPr>
        <w:pStyle w:val="FootnoteText"/>
        <w:rPr>
          <w:rFonts w:cs="Arial"/>
          <w:sz w:val="24"/>
          <w:szCs w:val="24"/>
        </w:rPr>
      </w:pPr>
      <w:r w:rsidRPr="00B36027">
        <w:rPr>
          <w:rFonts w:cs="Arial"/>
          <w:sz w:val="24"/>
          <w:szCs w:val="24"/>
        </w:rPr>
        <w:t xml:space="preserve">Slough Borough Council. </w:t>
      </w:r>
      <w:hyperlink r:id="rId83" w:history="1">
        <w:r w:rsidRPr="00B36027">
          <w:rPr>
            <w:rStyle w:val="Hyperlink"/>
            <w:rFonts w:cs="Arial"/>
            <w:color w:val="auto"/>
            <w:sz w:val="24"/>
            <w:szCs w:val="24"/>
            <w:u w:val="none"/>
          </w:rPr>
          <w:t>Air quality annual status reports, 2018-2022</w:t>
        </w:r>
      </w:hyperlink>
    </w:p>
    <w:p w14:paraId="0F988C6E" w14:textId="77777777" w:rsidR="009F0379" w:rsidRPr="00B36027" w:rsidRDefault="009F0379" w:rsidP="009F0379">
      <w:pPr>
        <w:rPr>
          <w:rStyle w:val="Hyperlink"/>
          <w:rFonts w:cs="Arial"/>
          <w:color w:val="auto"/>
          <w:u w:val="none"/>
        </w:rPr>
      </w:pPr>
      <w:r w:rsidRPr="00B36027">
        <w:rPr>
          <w:rFonts w:cs="Arial"/>
        </w:rPr>
        <w:t xml:space="preserve">Slough Borough Council. </w:t>
      </w:r>
      <w:hyperlink r:id="rId84" w:history="1">
        <w:r w:rsidRPr="00B36027">
          <w:rPr>
            <w:rStyle w:val="Hyperlink"/>
            <w:rFonts w:cs="Arial"/>
            <w:color w:val="auto"/>
            <w:u w:val="none"/>
          </w:rPr>
          <w:t>Carbon Management Plan,</w:t>
        </w:r>
      </w:hyperlink>
      <w:r w:rsidRPr="00B36027">
        <w:rPr>
          <w:rStyle w:val="Hyperlink"/>
          <w:rFonts w:cs="Arial"/>
          <w:color w:val="auto"/>
          <w:u w:val="none"/>
        </w:rPr>
        <w:t xml:space="preserve"> 2020</w:t>
      </w:r>
    </w:p>
    <w:p w14:paraId="6A5013FA" w14:textId="77777777" w:rsidR="009F0379" w:rsidRPr="00B36027" w:rsidRDefault="009F0379" w:rsidP="009F0379">
      <w:pPr>
        <w:rPr>
          <w:rStyle w:val="Hyperlink"/>
          <w:rFonts w:cs="Arial"/>
          <w:color w:val="auto"/>
          <w:u w:val="none"/>
        </w:rPr>
      </w:pPr>
      <w:r w:rsidRPr="00B36027">
        <w:rPr>
          <w:rFonts w:cs="Arial"/>
        </w:rPr>
        <w:t xml:space="preserve">Slough Borough Council. </w:t>
      </w:r>
      <w:hyperlink r:id="rId85" w:history="1">
        <w:r w:rsidRPr="00B36027">
          <w:rPr>
            <w:rStyle w:val="Hyperlink"/>
            <w:rFonts w:cs="Arial"/>
            <w:color w:val="auto"/>
            <w:u w:val="none"/>
          </w:rPr>
          <w:t>Citizen Space, Corporate Plan Consultation,</w:t>
        </w:r>
      </w:hyperlink>
      <w:r w:rsidRPr="00B36027">
        <w:rPr>
          <w:rStyle w:val="Hyperlink"/>
          <w:rFonts w:cs="Arial"/>
          <w:color w:val="auto"/>
          <w:u w:val="none"/>
        </w:rPr>
        <w:t xml:space="preserve"> 2023</w:t>
      </w:r>
    </w:p>
    <w:p w14:paraId="1D1B4A9E" w14:textId="77777777" w:rsidR="009F0379" w:rsidRPr="00B36027" w:rsidRDefault="009F0379" w:rsidP="009F0379">
      <w:pPr>
        <w:rPr>
          <w:rFonts w:cs="Arial"/>
        </w:rPr>
      </w:pPr>
      <w:r w:rsidRPr="00B36027">
        <w:rPr>
          <w:rFonts w:cs="Arial"/>
        </w:rPr>
        <w:t xml:space="preserve">Slough Borough Council. Citizen Space, The Proposed Spatial Strategy, 2021 </w:t>
      </w:r>
    </w:p>
    <w:p w14:paraId="3B0A5F59" w14:textId="77777777" w:rsidR="009F0379" w:rsidRPr="00B36027" w:rsidRDefault="009F0379" w:rsidP="009F0379">
      <w:pPr>
        <w:rPr>
          <w:rStyle w:val="Hyperlink"/>
          <w:rFonts w:cs="Arial"/>
          <w:color w:val="auto"/>
          <w:u w:val="none"/>
        </w:rPr>
      </w:pPr>
      <w:r w:rsidRPr="00B36027">
        <w:rPr>
          <w:rFonts w:cs="Arial"/>
        </w:rPr>
        <w:t xml:space="preserve">Slough Borough Council. </w:t>
      </w:r>
      <w:hyperlink r:id="rId86" w:history="1">
        <w:r w:rsidRPr="00B36027">
          <w:rPr>
            <w:rStyle w:val="Hyperlink"/>
            <w:rFonts w:cs="Arial"/>
            <w:color w:val="auto"/>
            <w:u w:val="none"/>
          </w:rPr>
          <w:t>Climate Change Motion,</w:t>
        </w:r>
      </w:hyperlink>
      <w:r w:rsidRPr="00B36027">
        <w:rPr>
          <w:rStyle w:val="Hyperlink"/>
          <w:rFonts w:cs="Arial"/>
          <w:color w:val="auto"/>
          <w:u w:val="none"/>
        </w:rPr>
        <w:t xml:space="preserve"> 2019 </w:t>
      </w:r>
    </w:p>
    <w:p w14:paraId="17F8ABE8" w14:textId="77777777" w:rsidR="009F0379" w:rsidRPr="00B36027" w:rsidRDefault="009F0379" w:rsidP="009F0379">
      <w:pPr>
        <w:rPr>
          <w:rFonts w:cs="Arial"/>
        </w:rPr>
      </w:pPr>
      <w:r w:rsidRPr="00B36027">
        <w:rPr>
          <w:rFonts w:cs="Arial"/>
        </w:rPr>
        <w:t xml:space="preserve">Slough Borough Council. Developer guide Part 3 Transport and highways guidance, 2008 </w:t>
      </w:r>
    </w:p>
    <w:p w14:paraId="39E79D34" w14:textId="77777777" w:rsidR="009F0379" w:rsidRPr="00B36027" w:rsidRDefault="009F0379" w:rsidP="009F0379">
      <w:pPr>
        <w:rPr>
          <w:rStyle w:val="Hyperlink"/>
          <w:rFonts w:cs="Arial"/>
          <w:color w:val="auto"/>
          <w:u w:val="none"/>
        </w:rPr>
      </w:pPr>
      <w:r w:rsidRPr="00B36027">
        <w:rPr>
          <w:rStyle w:val="FootnoteReference"/>
          <w:rFonts w:cs="Arial"/>
          <w:vertAlign w:val="baseline"/>
        </w:rPr>
        <w:t>S</w:t>
      </w:r>
      <w:r w:rsidRPr="00B36027">
        <w:rPr>
          <w:rFonts w:cs="Arial"/>
        </w:rPr>
        <w:t xml:space="preserve">lough Borough Council. </w:t>
      </w:r>
      <w:hyperlink r:id="rId87" w:anchor=":~:text=This%20Strategy%20is%20targeting%20growth,afforded%20the%20opportunity%20to%20flourish." w:history="1">
        <w:r w:rsidRPr="00B36027">
          <w:rPr>
            <w:rStyle w:val="Hyperlink"/>
            <w:rFonts w:cs="Arial"/>
            <w:color w:val="auto"/>
            <w:u w:val="none"/>
          </w:rPr>
          <w:t>Inclusive Growth Strategy,</w:t>
        </w:r>
      </w:hyperlink>
      <w:r w:rsidRPr="00B36027">
        <w:rPr>
          <w:rStyle w:val="Hyperlink"/>
          <w:rFonts w:cs="Arial"/>
          <w:color w:val="auto"/>
          <w:u w:val="none"/>
        </w:rPr>
        <w:t xml:space="preserve"> 2020</w:t>
      </w:r>
    </w:p>
    <w:p w14:paraId="05869708" w14:textId="28504D9D" w:rsidR="009F0379" w:rsidRPr="00B36027" w:rsidRDefault="009F0379" w:rsidP="009F0379">
      <w:pPr>
        <w:rPr>
          <w:rStyle w:val="Hyperlink"/>
          <w:rFonts w:cs="Arial"/>
          <w:color w:val="auto"/>
          <w:u w:val="none"/>
        </w:rPr>
      </w:pPr>
      <w:r w:rsidRPr="00B36027">
        <w:rPr>
          <w:rFonts w:cs="Arial"/>
        </w:rPr>
        <w:t xml:space="preserve">Slough Borough Council. </w:t>
      </w:r>
      <w:hyperlink r:id="rId88" w:history="1">
        <w:r w:rsidRPr="00B36027">
          <w:rPr>
            <w:rStyle w:val="Hyperlink"/>
            <w:rFonts w:cs="Arial"/>
            <w:color w:val="auto"/>
            <w:u w:val="none"/>
          </w:rPr>
          <w:t xml:space="preserve">Local Cycling and Walking Infrastructure Plan, 2021 </w:t>
        </w:r>
      </w:hyperlink>
    </w:p>
    <w:p w14:paraId="175CB7CB" w14:textId="77777777" w:rsidR="009F0379" w:rsidRPr="00B36027" w:rsidRDefault="009F0379" w:rsidP="009F0379">
      <w:pPr>
        <w:rPr>
          <w:rStyle w:val="Hyperlink"/>
          <w:rFonts w:cs="Arial"/>
          <w:color w:val="auto"/>
          <w:u w:val="none"/>
        </w:rPr>
      </w:pPr>
      <w:r w:rsidRPr="00B36027">
        <w:rPr>
          <w:rFonts w:cs="Arial"/>
        </w:rPr>
        <w:t>Slough Borough Council.</w:t>
      </w:r>
      <w:r w:rsidRPr="00B36027">
        <w:rPr>
          <w:rStyle w:val="FootnoteReference"/>
          <w:rFonts w:cs="Arial"/>
        </w:rPr>
        <w:t xml:space="preserve"> </w:t>
      </w:r>
      <w:r w:rsidRPr="00B36027">
        <w:rPr>
          <w:rFonts w:cs="Arial"/>
        </w:rPr>
        <w:t>Local Transport Plan 2, Annex C,</w:t>
      </w:r>
      <w:r w:rsidRPr="00B36027">
        <w:rPr>
          <w:rStyle w:val="Hyperlink"/>
          <w:rFonts w:cs="Arial"/>
          <w:color w:val="auto"/>
          <w:u w:val="none"/>
        </w:rPr>
        <w:t xml:space="preserve"> 2005</w:t>
      </w:r>
    </w:p>
    <w:p w14:paraId="5B03AED3" w14:textId="77777777" w:rsidR="009F0379" w:rsidRPr="00B36027" w:rsidRDefault="009F0379" w:rsidP="009F0379">
      <w:pPr>
        <w:rPr>
          <w:rFonts w:cs="Arial"/>
        </w:rPr>
      </w:pPr>
      <w:r w:rsidRPr="00B36027">
        <w:rPr>
          <w:rFonts w:cs="Arial"/>
        </w:rPr>
        <w:t xml:space="preserve">Slough Borough Council. Low Emission Strategy Technical Report, 2018 </w:t>
      </w:r>
    </w:p>
    <w:p w14:paraId="3756CAD1" w14:textId="0FF186AD" w:rsidR="009F0379" w:rsidRPr="00B36027" w:rsidRDefault="009F0379" w:rsidP="009F0379">
      <w:pPr>
        <w:rPr>
          <w:rFonts w:cs="Arial"/>
        </w:rPr>
      </w:pPr>
      <w:r w:rsidRPr="00B36027">
        <w:rPr>
          <w:rFonts w:cs="Arial"/>
        </w:rPr>
        <w:t>Slough Borough Council. Bus Service Improvement Plan, 2021</w:t>
      </w:r>
    </w:p>
    <w:p w14:paraId="17AF7890" w14:textId="77777777" w:rsidR="009F0379" w:rsidRPr="00B36027" w:rsidRDefault="009F0379" w:rsidP="009F0379">
      <w:pPr>
        <w:pStyle w:val="FootnoteText"/>
        <w:rPr>
          <w:rFonts w:cs="Arial"/>
          <w:sz w:val="24"/>
          <w:szCs w:val="24"/>
        </w:rPr>
      </w:pPr>
      <w:r w:rsidRPr="00B36027">
        <w:rPr>
          <w:rFonts w:cs="Arial"/>
          <w:sz w:val="24"/>
          <w:szCs w:val="24"/>
        </w:rPr>
        <w:t xml:space="preserve">Slough Borough Council. </w:t>
      </w:r>
      <w:hyperlink r:id="rId89" w:history="1">
        <w:r w:rsidRPr="00B36027">
          <w:rPr>
            <w:rStyle w:val="Hyperlink"/>
            <w:rFonts w:cs="Arial"/>
            <w:color w:val="auto"/>
            <w:sz w:val="24"/>
            <w:szCs w:val="24"/>
            <w:u w:val="none"/>
          </w:rPr>
          <w:t>Slough 2040 Vision</w:t>
        </w:r>
      </w:hyperlink>
      <w:r w:rsidRPr="00B36027">
        <w:rPr>
          <w:rStyle w:val="Hyperlink"/>
          <w:rFonts w:cs="Arial"/>
          <w:color w:val="auto"/>
          <w:sz w:val="24"/>
          <w:szCs w:val="24"/>
          <w:u w:val="none"/>
        </w:rPr>
        <w:t xml:space="preserve">, 2020 </w:t>
      </w:r>
    </w:p>
    <w:p w14:paraId="41B0EE79" w14:textId="77777777" w:rsidR="009F0379" w:rsidRPr="00B36027" w:rsidRDefault="009F0379" w:rsidP="009F0379">
      <w:pPr>
        <w:rPr>
          <w:rStyle w:val="Hyperlink"/>
          <w:rFonts w:cs="Arial"/>
          <w:color w:val="auto"/>
          <w:u w:val="none"/>
        </w:rPr>
      </w:pPr>
      <w:r w:rsidRPr="00B36027">
        <w:rPr>
          <w:rFonts w:cs="Arial"/>
        </w:rPr>
        <w:t xml:space="preserve">Slough Borough Council. </w:t>
      </w:r>
      <w:hyperlink r:id="rId90" w:history="1">
        <w:r w:rsidRPr="00B36027">
          <w:rPr>
            <w:rStyle w:val="Hyperlink"/>
            <w:rFonts w:cs="Arial"/>
            <w:color w:val="auto"/>
            <w:u w:val="none"/>
          </w:rPr>
          <w:t>Slough Wellbeing Strategy,</w:t>
        </w:r>
      </w:hyperlink>
      <w:r w:rsidRPr="00B36027">
        <w:rPr>
          <w:rStyle w:val="Hyperlink"/>
          <w:rFonts w:cs="Arial"/>
          <w:color w:val="auto"/>
          <w:u w:val="none"/>
        </w:rPr>
        <w:t xml:space="preserve"> 2020</w:t>
      </w:r>
    </w:p>
    <w:p w14:paraId="3BB980B5" w14:textId="77777777" w:rsidR="009F0379" w:rsidRPr="00B36027" w:rsidRDefault="009F0379" w:rsidP="009F0379">
      <w:pPr>
        <w:rPr>
          <w:rFonts w:cs="Arial"/>
        </w:rPr>
      </w:pPr>
      <w:r w:rsidRPr="00B36027">
        <w:rPr>
          <w:rFonts w:cs="Arial"/>
        </w:rPr>
        <w:t>Slough Borough Council. Transport Vision, 2019</w:t>
      </w:r>
    </w:p>
    <w:p w14:paraId="568B770B" w14:textId="2BBE51A2" w:rsidR="009F0379" w:rsidRPr="00B36027" w:rsidRDefault="009F0379" w:rsidP="009F0379">
      <w:pPr>
        <w:rPr>
          <w:rFonts w:cs="Arial"/>
        </w:rPr>
      </w:pPr>
      <w:r w:rsidRPr="00B36027">
        <w:rPr>
          <w:rFonts w:cs="Arial"/>
        </w:rPr>
        <w:t xml:space="preserve">Slough Borough Council. The local development plan for Slough, 2006 </w:t>
      </w:r>
    </w:p>
    <w:p w14:paraId="3F62D24A" w14:textId="4281FDC7" w:rsidR="009F0379" w:rsidRPr="00B36027" w:rsidRDefault="009F0379" w:rsidP="009F0379">
      <w:pPr>
        <w:rPr>
          <w:rStyle w:val="Hyperlink"/>
          <w:rFonts w:cs="Arial"/>
          <w:color w:val="auto"/>
          <w:u w:val="none"/>
        </w:rPr>
      </w:pPr>
      <w:r w:rsidRPr="00B36027">
        <w:rPr>
          <w:rFonts w:cs="Arial"/>
        </w:rPr>
        <w:t xml:space="preserve">Slough Borough Council. </w:t>
      </w:r>
      <w:hyperlink r:id="rId91" w:history="1">
        <w:r w:rsidRPr="00B36027">
          <w:rPr>
            <w:rStyle w:val="Hyperlink"/>
            <w:rFonts w:cs="Arial"/>
            <w:color w:val="auto"/>
            <w:u w:val="none"/>
          </w:rPr>
          <w:t>Taxi Licensing Policy Renewal,</w:t>
        </w:r>
      </w:hyperlink>
      <w:r w:rsidRPr="00B36027">
        <w:rPr>
          <w:rStyle w:val="Hyperlink"/>
          <w:rFonts w:cs="Arial"/>
          <w:color w:val="auto"/>
          <w:u w:val="none"/>
        </w:rPr>
        <w:t xml:space="preserve"> 2023 </w:t>
      </w:r>
    </w:p>
    <w:p w14:paraId="4D2A2CEF" w14:textId="77777777" w:rsidR="009F0379" w:rsidRPr="00B36027" w:rsidRDefault="009F0379" w:rsidP="009F0379">
      <w:pPr>
        <w:pStyle w:val="FootnoteText"/>
        <w:rPr>
          <w:rFonts w:cs="Arial"/>
          <w:sz w:val="24"/>
          <w:szCs w:val="24"/>
        </w:rPr>
      </w:pPr>
      <w:r w:rsidRPr="00B36027">
        <w:rPr>
          <w:rFonts w:cs="Arial"/>
          <w:sz w:val="24"/>
          <w:szCs w:val="24"/>
        </w:rPr>
        <w:t>University of Birmingham</w:t>
      </w:r>
      <w:r w:rsidRPr="00B36027">
        <w:rPr>
          <w:rStyle w:val="FootnoteReference"/>
          <w:rFonts w:cs="Arial"/>
          <w:sz w:val="24"/>
          <w:szCs w:val="24"/>
        </w:rPr>
        <w:t>.</w:t>
      </w:r>
      <w:r w:rsidRPr="00B36027">
        <w:rPr>
          <w:rFonts w:cs="Arial"/>
          <w:sz w:val="24"/>
          <w:szCs w:val="24"/>
        </w:rPr>
        <w:t xml:space="preserve"> Reducing motorway speed may improve air quality</w:t>
      </w:r>
      <w:r w:rsidRPr="00B36027">
        <w:rPr>
          <w:rStyle w:val="Hyperlink"/>
          <w:rFonts w:cs="Arial"/>
          <w:color w:val="auto"/>
          <w:sz w:val="24"/>
          <w:szCs w:val="24"/>
          <w:u w:val="none"/>
        </w:rPr>
        <w:t xml:space="preserve">, June 2023 </w:t>
      </w:r>
    </w:p>
    <w:p w14:paraId="660AB4AC" w14:textId="77777777" w:rsidR="009F0379" w:rsidRPr="00B36027" w:rsidRDefault="009F0379" w:rsidP="009F0379">
      <w:pPr>
        <w:rPr>
          <w:rFonts w:cs="Arial"/>
        </w:rPr>
      </w:pPr>
      <w:r w:rsidRPr="00B36027">
        <w:rPr>
          <w:rFonts w:cs="Arial"/>
        </w:rPr>
        <w:t>Wheeler, B., Ben-Shlomo, Y. Environmental equity, air quality, socioeconomic status and respiratory health, 2010</w:t>
      </w:r>
    </w:p>
    <w:p w14:paraId="43C2213F" w14:textId="3FC843FC" w:rsidR="009F0379" w:rsidRPr="00B36027" w:rsidRDefault="009F0379" w:rsidP="009F0379">
      <w:pPr>
        <w:rPr>
          <w:rFonts w:cs="Arial"/>
        </w:rPr>
      </w:pPr>
      <w:r w:rsidRPr="00B36027">
        <w:rPr>
          <w:rFonts w:cs="Arial"/>
        </w:rPr>
        <w:t xml:space="preserve">World Health Organisation (WHO) </w:t>
      </w:r>
      <w:hyperlink r:id="rId92" w:history="1">
        <w:r w:rsidRPr="00B36027">
          <w:rPr>
            <w:rStyle w:val="Hyperlink"/>
            <w:rFonts w:cs="Arial"/>
            <w:color w:val="auto"/>
            <w:u w:val="none"/>
          </w:rPr>
          <w:t>Air Quality Guidelines, 2021</w:t>
        </w:r>
      </w:hyperlink>
    </w:p>
    <w:p w14:paraId="098243E8" w14:textId="77777777" w:rsidR="009F0379" w:rsidRPr="00B36027" w:rsidRDefault="009F0379" w:rsidP="009F0379">
      <w:pPr>
        <w:rPr>
          <w:rFonts w:cs="Arial"/>
        </w:rPr>
      </w:pPr>
    </w:p>
    <w:p w14:paraId="6573E2D6" w14:textId="77777777" w:rsidR="009F0379" w:rsidRPr="00B36027" w:rsidRDefault="009F0379" w:rsidP="009F0379">
      <w:pPr>
        <w:rPr>
          <w:rStyle w:val="Hyperlink"/>
          <w:rFonts w:cs="Arial"/>
          <w:color w:val="auto"/>
          <w:u w:val="none"/>
        </w:rPr>
      </w:pPr>
    </w:p>
    <w:p w14:paraId="29D2177E" w14:textId="77777777" w:rsidR="009F0379" w:rsidRPr="00B36027" w:rsidRDefault="009F0379" w:rsidP="009F0379">
      <w:pPr>
        <w:rPr>
          <w:rFonts w:cs="Arial"/>
        </w:rPr>
      </w:pPr>
    </w:p>
    <w:p w14:paraId="7BDBF7E3" w14:textId="77777777" w:rsidR="009F0379" w:rsidRDefault="009F0379" w:rsidP="009F0379"/>
    <w:p w14:paraId="6129318D" w14:textId="045ECBAA" w:rsidR="005C49AE" w:rsidRPr="005C49AE" w:rsidRDefault="005C49AE"/>
    <w:p w14:paraId="43B7D947" w14:textId="7F174C2F" w:rsidR="005C49AE" w:rsidRPr="005C49AE" w:rsidRDefault="005C49AE"/>
    <w:p w14:paraId="3BD2ADA5" w14:textId="1C5C757A" w:rsidR="005C49AE" w:rsidRPr="005C49AE" w:rsidRDefault="005C49AE"/>
    <w:p w14:paraId="7206D97A" w14:textId="0BD21595" w:rsidR="005C49AE" w:rsidRPr="005C49AE" w:rsidRDefault="005C49AE" w:rsidP="003577E7">
      <w:pPr>
        <w:tabs>
          <w:tab w:val="left" w:pos="3970"/>
        </w:tabs>
      </w:pPr>
      <w:r>
        <w:tab/>
      </w:r>
    </w:p>
    <w:sectPr w:rsidR="005C49AE" w:rsidRPr="005C49AE" w:rsidSect="002B4B5B">
      <w:pgSz w:w="11906" w:h="16838" w:code="9"/>
      <w:pgMar w:top="1474" w:right="1418" w:bottom="1134" w:left="1418" w:header="96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1E750A" w14:textId="77777777" w:rsidR="00592D9C" w:rsidRDefault="00592D9C">
      <w:r>
        <w:separator/>
      </w:r>
    </w:p>
    <w:p w14:paraId="167CF825" w14:textId="77777777" w:rsidR="00592D9C" w:rsidRDefault="00592D9C"/>
  </w:endnote>
  <w:endnote w:type="continuationSeparator" w:id="0">
    <w:p w14:paraId="1D5A3795" w14:textId="77777777" w:rsidR="00592D9C" w:rsidRDefault="00592D9C">
      <w:r>
        <w:continuationSeparator/>
      </w:r>
    </w:p>
    <w:p w14:paraId="29131843" w14:textId="77777777" w:rsidR="00592D9C" w:rsidRDefault="00592D9C"/>
  </w:endnote>
  <w:endnote w:type="continuationNotice" w:id="1">
    <w:p w14:paraId="14D091FA" w14:textId="77777777" w:rsidR="00592D9C" w:rsidRDefault="00592D9C"/>
    <w:p w14:paraId="207CEB3B" w14:textId="77777777" w:rsidR="00592D9C" w:rsidRDefault="00592D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voBQ-Light">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55 Roman">
    <w:altName w:val="Century Gothic"/>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Light">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71E6B" w14:textId="7C6F1C7A" w:rsidR="00B34D0A" w:rsidRDefault="0007651D" w:rsidP="00C52768">
    <w:pPr>
      <w:pStyle w:val="Footer"/>
      <w:tabs>
        <w:tab w:val="clear" w:pos="8306"/>
        <w:tab w:val="right" w:pos="9072"/>
      </w:tabs>
    </w:pPr>
    <w:r>
      <w:t>Slough Borough Council</w:t>
    </w:r>
    <w:r w:rsidR="00B34D0A">
      <w:t xml:space="preserve"> Air Quality Action</w:t>
    </w:r>
    <w:r w:rsidR="00B34D0A" w:rsidRPr="00B258FA">
      <w:t xml:space="preserve"> Plan </w:t>
    </w:r>
    <w:r w:rsidRPr="00B258FA">
      <w:t>–</w:t>
    </w:r>
    <w:r w:rsidR="00B34D0A" w:rsidRPr="00B258FA">
      <w:t xml:space="preserve"> </w:t>
    </w:r>
    <w:r w:rsidRPr="00B258FA">
      <w:t>2024-2028</w:t>
    </w:r>
    <w:r w:rsidR="00B34D0A">
      <w:tab/>
    </w:r>
    <w:r w:rsidR="00B34D0A">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8390" w14:textId="4B0CC490" w:rsidR="00B34D0A" w:rsidRPr="00412F35" w:rsidRDefault="00A31A33" w:rsidP="00C52768">
    <w:pPr>
      <w:pStyle w:val="Footer"/>
      <w:tabs>
        <w:tab w:val="clear" w:pos="8306"/>
        <w:tab w:val="right" w:pos="9072"/>
      </w:tabs>
    </w:pPr>
    <w:r w:rsidRPr="00412F35">
      <w:t>Slough Borough Council</w:t>
    </w:r>
    <w:r w:rsidR="005C49AE" w:rsidRPr="00412F35">
      <w:t xml:space="preserve"> Air Quality Action Plan </w:t>
    </w:r>
    <w:r w:rsidR="00151B4F" w:rsidRPr="00412F35">
      <w:t>–</w:t>
    </w:r>
    <w:r w:rsidRPr="00412F35">
      <w:t xml:space="preserve"> 2024</w:t>
    </w:r>
    <w:r w:rsidR="00151B4F" w:rsidRPr="00412F35">
      <w:t xml:space="preserve"> - 2028</w:t>
    </w:r>
    <w:r w:rsidR="00B34D0A" w:rsidRPr="00412F35">
      <w:tab/>
    </w:r>
    <w:r w:rsidR="00B34D0A" w:rsidRPr="00412F35">
      <w:fldChar w:fldCharType="begin"/>
    </w:r>
    <w:r w:rsidR="00B34D0A" w:rsidRPr="00412F35">
      <w:instrText xml:space="preserve"> PAGE   \* MERGEFORMAT </w:instrText>
    </w:r>
    <w:r w:rsidR="00B34D0A" w:rsidRPr="00412F35">
      <w:fldChar w:fldCharType="separate"/>
    </w:r>
    <w:r w:rsidR="00B34D0A" w:rsidRPr="00412F35">
      <w:rPr>
        <w:noProof/>
      </w:rPr>
      <w:t>7</w:t>
    </w:r>
    <w:r w:rsidR="00B34D0A" w:rsidRPr="00412F35">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8514" w14:textId="795520CE" w:rsidR="00B34D0A" w:rsidRPr="000373FA" w:rsidRDefault="000373FA" w:rsidP="00C52768">
    <w:pPr>
      <w:pStyle w:val="Footer"/>
      <w:tabs>
        <w:tab w:val="clear" w:pos="8306"/>
        <w:tab w:val="right" w:pos="9072"/>
      </w:tabs>
    </w:pPr>
    <w:r w:rsidRPr="000373FA">
      <w:t>Slough Borough Council</w:t>
    </w:r>
    <w:r w:rsidR="00B05F43" w:rsidRPr="000373FA">
      <w:t xml:space="preserve"> Air Quality Action Plan </w:t>
    </w:r>
    <w:r w:rsidRPr="000373FA">
      <w:t>–</w:t>
    </w:r>
    <w:r w:rsidR="00B05F43" w:rsidRPr="000373FA">
      <w:t xml:space="preserve"> </w:t>
    </w:r>
    <w:r w:rsidRPr="000373FA">
      <w:t xml:space="preserve">2024 – 2028 </w:t>
    </w:r>
    <w:r w:rsidR="00B05F43" w:rsidRPr="000373FA">
      <w:tab/>
    </w:r>
    <w:r w:rsidR="00B05F43" w:rsidRPr="000373FA">
      <w:tab/>
    </w:r>
    <w:r w:rsidR="00B05F43" w:rsidRPr="000373FA">
      <w:fldChar w:fldCharType="begin"/>
    </w:r>
    <w:r w:rsidR="00B05F43" w:rsidRPr="000373FA">
      <w:instrText xml:space="preserve"> PAGE   \* MERGEFORMAT </w:instrText>
    </w:r>
    <w:r w:rsidR="00B05F43" w:rsidRPr="000373FA">
      <w:fldChar w:fldCharType="separate"/>
    </w:r>
    <w:r w:rsidR="00B05F43" w:rsidRPr="000373FA">
      <w:t>76</w:t>
    </w:r>
    <w:r w:rsidR="00B05F43" w:rsidRPr="000373FA">
      <w:rPr>
        <w:noProof/>
      </w:rPr>
      <w:fldChar w:fldCharType="end"/>
    </w:r>
    <w:r w:rsidR="00B34D0A" w:rsidRPr="000373FA">
      <w:tab/>
    </w:r>
    <w:r w:rsidR="00B34D0A" w:rsidRPr="000373FA">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C49F3" w14:textId="6D308872" w:rsidR="001529CE" w:rsidRDefault="000373FA" w:rsidP="00C52768">
    <w:pPr>
      <w:pStyle w:val="Footer"/>
      <w:tabs>
        <w:tab w:val="clear" w:pos="8306"/>
        <w:tab w:val="right" w:pos="9072"/>
      </w:tabs>
    </w:pPr>
    <w:r w:rsidRPr="000373FA">
      <w:t xml:space="preserve">Slough Borough Council </w:t>
    </w:r>
    <w:r w:rsidR="001529CE" w:rsidRPr="000373FA">
      <w:t xml:space="preserve">Air Quality Action Plan </w:t>
    </w:r>
    <w:r w:rsidRPr="000373FA">
      <w:t>–</w:t>
    </w:r>
    <w:r w:rsidR="001529CE" w:rsidRPr="000373FA">
      <w:t xml:space="preserve"> </w:t>
    </w:r>
    <w:r w:rsidRPr="000373FA">
      <w:t>2028-2028</w:t>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tab/>
    </w:r>
    <w:r w:rsidR="001529CE">
      <w:fldChar w:fldCharType="begin"/>
    </w:r>
    <w:r w:rsidR="001529CE">
      <w:instrText xml:space="preserve"> PAGE   \* MERGEFORMAT </w:instrText>
    </w:r>
    <w:r w:rsidR="001529CE">
      <w:fldChar w:fldCharType="separate"/>
    </w:r>
    <w:r w:rsidR="001529CE">
      <w:rPr>
        <w:noProof/>
      </w:rPr>
      <w:t>14</w:t>
    </w:r>
    <w:r w:rsidR="001529CE">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8C463" w14:textId="551A2ED3" w:rsidR="001529CE" w:rsidRDefault="000373FA" w:rsidP="00C52768">
    <w:pPr>
      <w:pStyle w:val="Footer"/>
      <w:tabs>
        <w:tab w:val="clear" w:pos="8306"/>
        <w:tab w:val="right" w:pos="9072"/>
      </w:tabs>
    </w:pPr>
    <w:r w:rsidRPr="000373FA">
      <w:t>Slough Borough Council</w:t>
    </w:r>
    <w:r w:rsidR="001529CE" w:rsidRPr="000373FA">
      <w:t xml:space="preserve"> Air Quality Action Plan </w:t>
    </w:r>
    <w:r w:rsidRPr="000373FA">
      <w:t>–</w:t>
    </w:r>
    <w:r w:rsidR="001529CE" w:rsidRPr="000373FA">
      <w:t xml:space="preserve"> </w:t>
    </w:r>
    <w:r w:rsidRPr="000373FA">
      <w:t>2024-2028</w:t>
    </w:r>
    <w:r w:rsidR="001529CE">
      <w:tab/>
    </w:r>
    <w:r w:rsidR="001529CE">
      <w:tab/>
    </w:r>
    <w:r w:rsidR="001529CE">
      <w:fldChar w:fldCharType="begin"/>
    </w:r>
    <w:r w:rsidR="001529CE">
      <w:instrText xml:space="preserve"> PAGE   \* MERGEFORMAT </w:instrText>
    </w:r>
    <w:r w:rsidR="001529CE">
      <w:fldChar w:fldCharType="separate"/>
    </w:r>
    <w:r w:rsidR="001529CE">
      <w:rPr>
        <w:noProof/>
      </w:rPr>
      <w:t>14</w:t>
    </w:r>
    <w:r w:rsidR="001529CE">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22FC9" w14:textId="262D6920" w:rsidR="001529CE" w:rsidRPr="007D5CC7" w:rsidRDefault="00215C63" w:rsidP="00C52768">
    <w:pPr>
      <w:pStyle w:val="Footer"/>
      <w:tabs>
        <w:tab w:val="clear" w:pos="8306"/>
        <w:tab w:val="right" w:pos="9072"/>
      </w:tabs>
    </w:pPr>
    <w:r w:rsidRPr="007D5CC7">
      <w:t xml:space="preserve">Slough Borough Council </w:t>
    </w:r>
    <w:r w:rsidR="001529CE" w:rsidRPr="007D5CC7">
      <w:t xml:space="preserve">Air Quality Action Plan </w:t>
    </w:r>
    <w:r w:rsidRPr="007D5CC7">
      <w:t>–</w:t>
    </w:r>
    <w:r w:rsidR="001529CE" w:rsidRPr="007D5CC7">
      <w:t xml:space="preserve"> </w:t>
    </w:r>
    <w:r w:rsidRPr="007D5CC7">
      <w:t>2024-2028</w:t>
    </w:r>
    <w:r w:rsidR="001529CE" w:rsidRPr="007D5CC7">
      <w:tab/>
    </w:r>
    <w:r w:rsidR="001529CE" w:rsidRPr="007D5CC7">
      <w:fldChar w:fldCharType="begin"/>
    </w:r>
    <w:r w:rsidR="001529CE" w:rsidRPr="007D5CC7">
      <w:instrText xml:space="preserve"> PAGE   \* MERGEFORMAT </w:instrText>
    </w:r>
    <w:r w:rsidR="001529CE" w:rsidRPr="007D5CC7">
      <w:fldChar w:fldCharType="separate"/>
    </w:r>
    <w:r w:rsidR="001529CE" w:rsidRPr="007D5CC7">
      <w:rPr>
        <w:noProof/>
      </w:rPr>
      <w:t>14</w:t>
    </w:r>
    <w:r w:rsidR="001529CE" w:rsidRPr="007D5CC7">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6067627"/>
      <w:docPartObj>
        <w:docPartGallery w:val="Page Numbers (Bottom of Page)"/>
        <w:docPartUnique/>
      </w:docPartObj>
    </w:sdtPr>
    <w:sdtEndPr>
      <w:rPr>
        <w:noProof/>
      </w:rPr>
    </w:sdtEndPr>
    <w:sdtContent>
      <w:p w14:paraId="434B3344" w14:textId="77777777" w:rsidR="00EF0C21" w:rsidRDefault="00EF0C21">
        <w:pPr>
          <w:pStyle w:val="Footer"/>
          <w:jc w:val="right"/>
        </w:pPr>
        <w:r>
          <w:fldChar w:fldCharType="begin"/>
        </w:r>
        <w:r>
          <w:instrText xml:space="preserve"> PAGE   \* MERGEFORMAT </w:instrText>
        </w:r>
        <w:r>
          <w:fldChar w:fldCharType="separate"/>
        </w:r>
        <w:r>
          <w:rPr>
            <w:noProof/>
          </w:rPr>
          <w:t>19</w:t>
        </w:r>
        <w:r>
          <w:rPr>
            <w:noProof/>
          </w:rPr>
          <w:fldChar w:fldCharType="end"/>
        </w:r>
      </w:p>
    </w:sdtContent>
  </w:sdt>
  <w:p w14:paraId="36FA7F56" w14:textId="77777777" w:rsidR="00EF0C21" w:rsidRDefault="00EF0C2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F7145" w14:textId="057F8B9E" w:rsidR="00B34D0A" w:rsidRDefault="004947B1" w:rsidP="00C52768">
    <w:pPr>
      <w:pStyle w:val="Footer"/>
      <w:tabs>
        <w:tab w:val="clear" w:pos="8306"/>
        <w:tab w:val="right" w:pos="9072"/>
      </w:tabs>
    </w:pPr>
    <w:r w:rsidRPr="00215C63">
      <w:t>Slough Borough Council</w:t>
    </w:r>
    <w:r w:rsidR="00B34D0A" w:rsidRPr="00215C63">
      <w:t xml:space="preserve"> Air Quality Action Plan </w:t>
    </w:r>
    <w:r w:rsidRPr="00215C63">
      <w:t>–</w:t>
    </w:r>
    <w:r w:rsidR="00B34D0A" w:rsidRPr="00215C63">
      <w:t xml:space="preserve"> </w:t>
    </w:r>
    <w:r w:rsidRPr="00215C63">
      <w:t>2024-2028</w:t>
    </w:r>
    <w:r w:rsidR="00B34D0A">
      <w:tab/>
    </w:r>
    <w:r w:rsidR="00B34D0A">
      <w:tab/>
    </w:r>
    <w:r w:rsidR="00B34D0A">
      <w:fldChar w:fldCharType="begin"/>
    </w:r>
    <w:r w:rsidR="00B34D0A">
      <w:instrText xml:space="preserve"> PAGE   \* MERGEFORMAT </w:instrText>
    </w:r>
    <w:r w:rsidR="00B34D0A">
      <w:fldChar w:fldCharType="separate"/>
    </w:r>
    <w:r w:rsidR="00B34D0A">
      <w:rPr>
        <w:noProof/>
      </w:rPr>
      <w:t>15</w:t>
    </w:r>
    <w:r w:rsidR="00B34D0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3306CD" w14:textId="77777777" w:rsidR="00592D9C" w:rsidRDefault="00592D9C">
      <w:r>
        <w:separator/>
      </w:r>
    </w:p>
    <w:p w14:paraId="6E989C45" w14:textId="77777777" w:rsidR="00592D9C" w:rsidRDefault="00592D9C"/>
  </w:footnote>
  <w:footnote w:type="continuationSeparator" w:id="0">
    <w:p w14:paraId="4B21A65A" w14:textId="77777777" w:rsidR="00592D9C" w:rsidRDefault="00592D9C">
      <w:r>
        <w:continuationSeparator/>
      </w:r>
    </w:p>
    <w:p w14:paraId="64F7AB93" w14:textId="77777777" w:rsidR="00592D9C" w:rsidRDefault="00592D9C"/>
  </w:footnote>
  <w:footnote w:type="continuationNotice" w:id="1">
    <w:p w14:paraId="5DCFC329" w14:textId="77777777" w:rsidR="00592D9C" w:rsidRDefault="00592D9C"/>
    <w:p w14:paraId="067EED57" w14:textId="77777777" w:rsidR="00592D9C" w:rsidRDefault="00592D9C"/>
  </w:footnote>
  <w:footnote w:id="2">
    <w:p w14:paraId="5A1C0CEC" w14:textId="77777777" w:rsidR="001B1A56" w:rsidRPr="00DE0837" w:rsidRDefault="001B1A56" w:rsidP="001B1A56">
      <w:pPr>
        <w:pStyle w:val="FootnoteText"/>
        <w:rPr>
          <w:sz w:val="18"/>
          <w:szCs w:val="18"/>
        </w:rPr>
      </w:pPr>
      <w:r w:rsidRPr="00DE0837">
        <w:rPr>
          <w:rStyle w:val="FootnoteReference"/>
          <w:sz w:val="18"/>
          <w:szCs w:val="18"/>
        </w:rPr>
        <w:footnoteRef/>
      </w:r>
      <w:r w:rsidRPr="00DE0837">
        <w:rPr>
          <w:sz w:val="18"/>
          <w:szCs w:val="18"/>
        </w:rPr>
        <w:t xml:space="preserve"> Rural emissions accounts for NO</w:t>
      </w:r>
      <w:r w:rsidRPr="00DE0837">
        <w:rPr>
          <w:sz w:val="18"/>
          <w:szCs w:val="18"/>
          <w:vertAlign w:val="subscript"/>
        </w:rPr>
        <w:t>X</w:t>
      </w:r>
      <w:r w:rsidRPr="00DE0837">
        <w:rPr>
          <w:sz w:val="18"/>
          <w:szCs w:val="18"/>
        </w:rPr>
        <w:t xml:space="preserve"> occurring naturally and from agricultural sources.</w:t>
      </w:r>
    </w:p>
  </w:footnote>
  <w:footnote w:id="3">
    <w:p w14:paraId="67A71FA4" w14:textId="2E2D644A" w:rsidR="0042592E" w:rsidRPr="0042592E" w:rsidRDefault="0042592E">
      <w:pPr>
        <w:pStyle w:val="FootnoteText"/>
        <w:rPr>
          <w:sz w:val="18"/>
          <w:szCs w:val="18"/>
        </w:rPr>
      </w:pPr>
      <w:r w:rsidRPr="0042592E">
        <w:rPr>
          <w:rStyle w:val="FootnoteReference"/>
          <w:sz w:val="18"/>
          <w:szCs w:val="18"/>
        </w:rPr>
        <w:footnoteRef/>
      </w:r>
      <w:r w:rsidRPr="0042592E">
        <w:rPr>
          <w:sz w:val="18"/>
          <w:szCs w:val="18"/>
        </w:rPr>
        <w:t xml:space="preserve"> Due to limitations of the 1km x 1km resolution Defra background maps, the contributions from Industry are not accurately reflected at Industrial monitoring sites considered in our source apportionment study</w:t>
      </w:r>
    </w:p>
  </w:footnote>
  <w:footnote w:id="4">
    <w:p w14:paraId="0128AB54" w14:textId="27D9A58A" w:rsidR="001B1A56" w:rsidRPr="00AC7A3A" w:rsidRDefault="001B1A56" w:rsidP="001B1A56">
      <w:pPr>
        <w:pStyle w:val="FootnoteText"/>
        <w:rPr>
          <w:sz w:val="18"/>
          <w:szCs w:val="18"/>
        </w:rPr>
      </w:pPr>
      <w:bookmarkStart w:id="7" w:name="_Hlk161346434"/>
      <w:r w:rsidRPr="00AC7A3A">
        <w:rPr>
          <w:rFonts w:cs="Segoe UI Light"/>
          <w:color w:val="231F20"/>
          <w:sz w:val="18"/>
          <w:szCs w:val="18"/>
          <w:vertAlign w:val="superscript"/>
        </w:rPr>
        <w:footnoteRef/>
      </w:r>
      <w:r w:rsidRPr="00AC7A3A">
        <w:rPr>
          <w:rFonts w:cs="Segoe UI Light"/>
          <w:color w:val="231F20"/>
          <w:sz w:val="18"/>
          <w:szCs w:val="18"/>
        </w:rPr>
        <w:t xml:space="preserve"> </w:t>
      </w:r>
      <w:r w:rsidR="008C57F6" w:rsidRPr="00AC7A3A">
        <w:rPr>
          <w:rFonts w:cs="Segoe UI Light"/>
          <w:color w:val="231F20"/>
          <w:sz w:val="18"/>
          <w:szCs w:val="18"/>
        </w:rPr>
        <w:t xml:space="preserve">Technical Guidance </w:t>
      </w:r>
      <w:hyperlink r:id="rId1" w:history="1">
        <w:r w:rsidR="00F37296" w:rsidRPr="00AC7A3A">
          <w:rPr>
            <w:rFonts w:cs="Segoe UI Light"/>
            <w:color w:val="231F20"/>
            <w:sz w:val="18"/>
            <w:szCs w:val="18"/>
          </w:rPr>
          <w:t xml:space="preserve">LAQM.TG(22) </w:t>
        </w:r>
      </w:hyperlink>
      <w:r w:rsidR="00F37296" w:rsidRPr="00AC7A3A">
        <w:rPr>
          <w:rFonts w:cs="Segoe UI Light"/>
          <w:color w:val="231F20"/>
          <w:sz w:val="18"/>
          <w:szCs w:val="18"/>
        </w:rPr>
        <w:t>– August 2022</w:t>
      </w:r>
      <w:bookmarkEnd w:id="7"/>
    </w:p>
  </w:footnote>
  <w:footnote w:id="5">
    <w:p w14:paraId="10417715" w14:textId="77777777" w:rsidR="001B1A56" w:rsidRPr="00AC7A3A" w:rsidRDefault="001B1A56" w:rsidP="001B1A56">
      <w:pPr>
        <w:pStyle w:val="FootnoteText"/>
        <w:tabs>
          <w:tab w:val="right" w:pos="9070"/>
        </w:tabs>
        <w:rPr>
          <w:sz w:val="18"/>
          <w:szCs w:val="18"/>
        </w:rPr>
      </w:pPr>
      <w:bookmarkStart w:id="10" w:name="_Hlk161346448"/>
      <w:r w:rsidRPr="00AC7A3A">
        <w:rPr>
          <w:rStyle w:val="FootnoteReference"/>
          <w:sz w:val="18"/>
          <w:szCs w:val="18"/>
        </w:rPr>
        <w:footnoteRef/>
      </w:r>
      <w:r w:rsidRPr="00AC7A3A">
        <w:rPr>
          <w:sz w:val="18"/>
          <w:szCs w:val="18"/>
        </w:rPr>
        <w:t xml:space="preserve"> </w:t>
      </w:r>
      <w:r w:rsidRPr="00AC7A3A">
        <w:rPr>
          <w:rFonts w:cs="Segoe UI Light"/>
          <w:color w:val="231F20"/>
          <w:sz w:val="18"/>
          <w:szCs w:val="18"/>
        </w:rPr>
        <w:t>Environmental equity, air quality, socioeconomic status and respiratory health, 2010</w:t>
      </w:r>
      <w:bookmarkEnd w:id="10"/>
    </w:p>
  </w:footnote>
  <w:footnote w:id="6">
    <w:p w14:paraId="3A8211A2" w14:textId="77777777" w:rsidR="001B1A56" w:rsidRPr="00AC7A3A" w:rsidRDefault="001B1A56" w:rsidP="001B1A56">
      <w:pPr>
        <w:rPr>
          <w:sz w:val="18"/>
          <w:szCs w:val="18"/>
        </w:rPr>
      </w:pPr>
      <w:r w:rsidRPr="00AC7A3A">
        <w:rPr>
          <w:rStyle w:val="FootnoteReference"/>
          <w:sz w:val="18"/>
          <w:szCs w:val="18"/>
        </w:rPr>
        <w:footnoteRef/>
      </w:r>
      <w:r w:rsidRPr="00AC7A3A">
        <w:rPr>
          <w:sz w:val="18"/>
          <w:szCs w:val="18"/>
        </w:rPr>
        <w:t xml:space="preserve"> </w:t>
      </w:r>
      <w:r w:rsidRPr="00AC7A3A">
        <w:rPr>
          <w:rFonts w:cs="Segoe UI Light"/>
          <w:color w:val="231F20"/>
          <w:sz w:val="18"/>
          <w:szCs w:val="18"/>
        </w:rPr>
        <w:t>Air quality and social deprivation in the UK: an environmental inequalities analysis, 2006</w:t>
      </w:r>
    </w:p>
  </w:footnote>
  <w:footnote w:id="7">
    <w:p w14:paraId="2AEB5140" w14:textId="77777777" w:rsidR="001B1A56" w:rsidRDefault="001B1A56" w:rsidP="001B1A56">
      <w:pPr>
        <w:pStyle w:val="FootnoteText"/>
        <w:tabs>
          <w:tab w:val="left" w:pos="2835"/>
        </w:tabs>
      </w:pPr>
      <w:r w:rsidRPr="00AC7A3A">
        <w:rPr>
          <w:rStyle w:val="FootnoteReference"/>
          <w:sz w:val="18"/>
          <w:szCs w:val="18"/>
        </w:rPr>
        <w:footnoteRef/>
      </w:r>
      <w:r w:rsidRPr="00AC7A3A">
        <w:rPr>
          <w:sz w:val="18"/>
          <w:szCs w:val="18"/>
        </w:rPr>
        <w:t xml:space="preserve"> Defra. Abatement cost guidance for valuing changes in air quality, May 2013</w:t>
      </w:r>
    </w:p>
  </w:footnote>
  <w:footnote w:id="8">
    <w:p w14:paraId="4A28B9C4" w14:textId="1DA1FE16" w:rsidR="007E2EEF" w:rsidRPr="00AC7A3A" w:rsidRDefault="007E2EEF">
      <w:pPr>
        <w:pStyle w:val="FootnoteText"/>
        <w:rPr>
          <w:sz w:val="18"/>
          <w:szCs w:val="18"/>
        </w:rPr>
      </w:pPr>
      <w:r w:rsidRPr="00AC7A3A">
        <w:rPr>
          <w:rStyle w:val="FootnoteReference"/>
          <w:sz w:val="18"/>
          <w:szCs w:val="18"/>
        </w:rPr>
        <w:footnoteRef/>
      </w:r>
      <w:r w:rsidRPr="00AC7A3A">
        <w:rPr>
          <w:sz w:val="18"/>
          <w:szCs w:val="18"/>
        </w:rPr>
        <w:t xml:space="preserve"> </w:t>
      </w:r>
      <w:hyperlink r:id="rId2" w:history="1">
        <w:r w:rsidRPr="00AC7A3A">
          <w:rPr>
            <w:rStyle w:val="Hyperlink"/>
            <w:color w:val="auto"/>
            <w:sz w:val="18"/>
            <w:szCs w:val="18"/>
            <w:u w:val="none"/>
          </w:rPr>
          <w:t>Air quality reports annual status reports – Slough Borough Council</w:t>
        </w:r>
      </w:hyperlink>
    </w:p>
  </w:footnote>
  <w:footnote w:id="9">
    <w:p w14:paraId="312475C4" w14:textId="255117E2" w:rsidR="002B1E43" w:rsidRDefault="002B1E43">
      <w:pPr>
        <w:pStyle w:val="FootnoteText"/>
      </w:pPr>
      <w:bookmarkStart w:id="21" w:name="_Hlk161346858"/>
      <w:r w:rsidRPr="00AC7A3A">
        <w:rPr>
          <w:rStyle w:val="FootnoteReference"/>
          <w:sz w:val="18"/>
          <w:szCs w:val="18"/>
        </w:rPr>
        <w:footnoteRef/>
      </w:r>
      <w:r w:rsidRPr="00AC7A3A">
        <w:rPr>
          <w:sz w:val="18"/>
          <w:szCs w:val="18"/>
        </w:rPr>
        <w:t xml:space="preserve"> </w:t>
      </w:r>
      <w:hyperlink r:id="rId3" w:history="1">
        <w:r w:rsidR="00DE0837">
          <w:rPr>
            <w:rStyle w:val="Hyperlink"/>
            <w:color w:val="auto"/>
            <w:sz w:val="18"/>
            <w:szCs w:val="18"/>
            <w:u w:val="none"/>
          </w:rPr>
          <w:t>WHO Air Quality Guidelines (2021)</w:t>
        </w:r>
      </w:hyperlink>
      <w:bookmarkEnd w:id="21"/>
    </w:p>
  </w:footnote>
  <w:footnote w:id="10">
    <w:p w14:paraId="4A512B3F" w14:textId="7028B31A" w:rsidR="00C54124" w:rsidRPr="00AC7A3A" w:rsidRDefault="00C54124">
      <w:pPr>
        <w:pStyle w:val="FootnoteText"/>
        <w:rPr>
          <w:sz w:val="18"/>
          <w:szCs w:val="18"/>
        </w:rPr>
      </w:pPr>
      <w:bookmarkStart w:id="28" w:name="_Hlk161346871"/>
      <w:r w:rsidRPr="00AC7A3A">
        <w:rPr>
          <w:rStyle w:val="FootnoteReference"/>
          <w:sz w:val="18"/>
          <w:szCs w:val="18"/>
        </w:rPr>
        <w:footnoteRef/>
      </w:r>
      <w:r w:rsidRPr="00AC7A3A">
        <w:rPr>
          <w:sz w:val="18"/>
          <w:szCs w:val="18"/>
        </w:rPr>
        <w:t xml:space="preserve"> </w:t>
      </w:r>
      <w:hyperlink r:id="rId4" w:history="1">
        <w:r w:rsidRPr="00AC7A3A">
          <w:rPr>
            <w:rStyle w:val="Hyperlink"/>
            <w:color w:val="auto"/>
            <w:sz w:val="18"/>
            <w:szCs w:val="18"/>
            <w:u w:val="none"/>
          </w:rPr>
          <w:t>Daily Air Quality Index - Defra, UK</w:t>
        </w:r>
      </w:hyperlink>
      <w:bookmarkEnd w:id="28"/>
    </w:p>
  </w:footnote>
  <w:footnote w:id="11">
    <w:p w14:paraId="4215D2B7" w14:textId="1AAC5464" w:rsidR="002F05CA" w:rsidRPr="002F05CA" w:rsidRDefault="00F81EE9" w:rsidP="00F81EE9">
      <w:pPr>
        <w:pStyle w:val="FootnoteText"/>
        <w:rPr>
          <w:sz w:val="18"/>
          <w:szCs w:val="18"/>
        </w:rPr>
      </w:pPr>
      <w:bookmarkStart w:id="29" w:name="_Hlk161346879"/>
      <w:r w:rsidRPr="002F05CA">
        <w:rPr>
          <w:rStyle w:val="FootnoteReference"/>
          <w:sz w:val="18"/>
          <w:szCs w:val="18"/>
        </w:rPr>
        <w:footnoteRef/>
      </w:r>
      <w:r w:rsidRPr="002F05CA">
        <w:rPr>
          <w:sz w:val="18"/>
          <w:szCs w:val="18"/>
        </w:rPr>
        <w:t xml:space="preserve"> </w:t>
      </w:r>
      <w:hyperlink r:id="rId5" w:history="1">
        <w:r w:rsidR="002F05CA" w:rsidRPr="002F05CA">
          <w:rPr>
            <w:rStyle w:val="Hyperlink"/>
            <w:color w:val="auto"/>
            <w:sz w:val="18"/>
            <w:szCs w:val="18"/>
            <w:u w:val="none"/>
          </w:rPr>
          <w:t>Nitrogen dioxide (NO2) - GOV.UK (www.gov.uk)</w:t>
        </w:r>
      </w:hyperlink>
      <w:bookmarkEnd w:id="29"/>
    </w:p>
  </w:footnote>
  <w:footnote w:id="12">
    <w:p w14:paraId="71B76D15" w14:textId="4D731D3D" w:rsidR="00E60598" w:rsidRPr="002F05CA" w:rsidRDefault="00E60598">
      <w:pPr>
        <w:pStyle w:val="FootnoteText"/>
        <w:rPr>
          <w:sz w:val="18"/>
          <w:szCs w:val="18"/>
        </w:rPr>
      </w:pPr>
      <w:r w:rsidRPr="002F05CA">
        <w:rPr>
          <w:rStyle w:val="FootnoteReference"/>
          <w:sz w:val="18"/>
          <w:szCs w:val="18"/>
        </w:rPr>
        <w:footnoteRef/>
      </w:r>
      <w:r w:rsidRPr="002F05CA">
        <w:rPr>
          <w:sz w:val="18"/>
          <w:szCs w:val="18"/>
        </w:rPr>
        <w:t xml:space="preserve"> </w:t>
      </w:r>
      <w:hyperlink r:id="rId6" w:history="1">
        <w:r w:rsidRPr="002F05CA">
          <w:rPr>
            <w:rStyle w:val="Hyperlink"/>
            <w:color w:val="auto"/>
            <w:sz w:val="18"/>
            <w:szCs w:val="18"/>
            <w:u w:val="none"/>
          </w:rPr>
          <w:t>Chief Medical Officer’s Annual Report 2022 (publishing.service.gov.uk)</w:t>
        </w:r>
      </w:hyperlink>
    </w:p>
  </w:footnote>
  <w:footnote w:id="13">
    <w:p w14:paraId="2F53D08E" w14:textId="2A267740" w:rsidR="00C54124" w:rsidRPr="00C54124" w:rsidRDefault="00C54124">
      <w:pPr>
        <w:pStyle w:val="FootnoteText"/>
        <w:rPr>
          <w:sz w:val="20"/>
        </w:rPr>
      </w:pPr>
      <w:r w:rsidRPr="002F05CA">
        <w:rPr>
          <w:rStyle w:val="FootnoteReference"/>
          <w:sz w:val="18"/>
          <w:szCs w:val="18"/>
        </w:rPr>
        <w:footnoteRef/>
      </w:r>
      <w:r w:rsidRPr="002F05CA">
        <w:rPr>
          <w:sz w:val="18"/>
          <w:szCs w:val="18"/>
        </w:rPr>
        <w:t xml:space="preserve"> </w:t>
      </w:r>
      <w:hyperlink r:id="rId7" w:history="1">
        <w:r w:rsidRPr="002F05CA">
          <w:rPr>
            <w:rStyle w:val="Hyperlink"/>
            <w:color w:val="auto"/>
            <w:sz w:val="18"/>
            <w:szCs w:val="18"/>
            <w:u w:val="none"/>
          </w:rPr>
          <w:t>Ella Kissi-Debrah - Courts and Tribunals Judiciary</w:t>
        </w:r>
      </w:hyperlink>
    </w:p>
  </w:footnote>
  <w:footnote w:id="14">
    <w:p w14:paraId="6212A560" w14:textId="7C777E9F" w:rsidR="001157EA" w:rsidRPr="002F05CA" w:rsidRDefault="001157EA">
      <w:pPr>
        <w:pStyle w:val="FootnoteText"/>
        <w:rPr>
          <w:sz w:val="18"/>
          <w:szCs w:val="18"/>
        </w:rPr>
      </w:pPr>
      <w:bookmarkStart w:id="91" w:name="_Hlk161346935"/>
      <w:r w:rsidRPr="002F05CA">
        <w:rPr>
          <w:rStyle w:val="FootnoteReference"/>
          <w:sz w:val="18"/>
          <w:szCs w:val="18"/>
        </w:rPr>
        <w:footnoteRef/>
      </w:r>
      <w:r w:rsidRPr="002F05CA">
        <w:rPr>
          <w:sz w:val="18"/>
          <w:szCs w:val="18"/>
        </w:rPr>
        <w:t xml:space="preserve"> </w:t>
      </w:r>
      <w:hyperlink r:id="rId8" w:anchor=":~:text=1.1%20About%20the%20Air%20Quality,5%20)." w:history="1">
        <w:r w:rsidRPr="002F05CA">
          <w:rPr>
            <w:rStyle w:val="Hyperlink"/>
            <w:color w:val="auto"/>
            <w:sz w:val="18"/>
            <w:szCs w:val="18"/>
            <w:u w:val="none"/>
          </w:rPr>
          <w:t>Air quality strategy: framework for local authority delivery - GOV.UK (www.gov.uk)</w:t>
        </w:r>
      </w:hyperlink>
      <w:bookmarkEnd w:id="91"/>
    </w:p>
  </w:footnote>
  <w:footnote w:id="15">
    <w:p w14:paraId="14EABCAB" w14:textId="0CFFCEF1" w:rsidR="00A972FD" w:rsidRPr="002F05CA" w:rsidRDefault="00A972FD" w:rsidP="00A972FD">
      <w:pPr>
        <w:pStyle w:val="FootnoteText"/>
        <w:tabs>
          <w:tab w:val="left" w:pos="810"/>
        </w:tabs>
        <w:rPr>
          <w:sz w:val="18"/>
          <w:szCs w:val="18"/>
        </w:rPr>
      </w:pPr>
      <w:bookmarkStart w:id="92" w:name="_Hlk161346943"/>
      <w:r w:rsidRPr="002F05CA">
        <w:rPr>
          <w:rStyle w:val="FootnoteReference"/>
          <w:sz w:val="18"/>
          <w:szCs w:val="18"/>
        </w:rPr>
        <w:footnoteRef/>
      </w:r>
      <w:r w:rsidRPr="002F05CA">
        <w:rPr>
          <w:sz w:val="18"/>
          <w:szCs w:val="18"/>
        </w:rPr>
        <w:t xml:space="preserve"> NPPF (20</w:t>
      </w:r>
      <w:r w:rsidR="002B4B79" w:rsidRPr="002F05CA">
        <w:rPr>
          <w:sz w:val="18"/>
          <w:szCs w:val="18"/>
        </w:rPr>
        <w:t xml:space="preserve">23): </w:t>
      </w:r>
      <w:hyperlink r:id="rId9" w:history="1">
        <w:r w:rsidR="002B4B79" w:rsidRPr="002F05CA">
          <w:rPr>
            <w:rStyle w:val="Hyperlink"/>
            <w:color w:val="auto"/>
            <w:sz w:val="18"/>
            <w:szCs w:val="18"/>
            <w:u w:val="none"/>
          </w:rPr>
          <w:t>National Planning Policy Framework (publishing.service.gov.uk)</w:t>
        </w:r>
      </w:hyperlink>
      <w:bookmarkEnd w:id="92"/>
    </w:p>
  </w:footnote>
  <w:footnote w:id="16">
    <w:p w14:paraId="78A3F5E3" w14:textId="466E4C2D" w:rsidR="002F05CA" w:rsidRPr="002F05CA" w:rsidRDefault="00A972FD" w:rsidP="00A972FD">
      <w:pPr>
        <w:pStyle w:val="FootnoteText"/>
        <w:rPr>
          <w:sz w:val="18"/>
          <w:szCs w:val="18"/>
        </w:rPr>
      </w:pPr>
      <w:bookmarkStart w:id="93" w:name="_Hlk161346952"/>
      <w:r w:rsidRPr="002F05CA">
        <w:rPr>
          <w:rStyle w:val="FootnoteReference"/>
          <w:sz w:val="18"/>
          <w:szCs w:val="18"/>
        </w:rPr>
        <w:footnoteRef/>
      </w:r>
      <w:r w:rsidRPr="002F05CA">
        <w:rPr>
          <w:sz w:val="18"/>
          <w:szCs w:val="18"/>
        </w:rPr>
        <w:t xml:space="preserve"> </w:t>
      </w:r>
      <w:hyperlink r:id="rId10" w:history="1">
        <w:r w:rsidR="002F05CA" w:rsidRPr="002F05CA">
          <w:rPr>
            <w:rStyle w:val="Hyperlink"/>
            <w:color w:val="auto"/>
            <w:sz w:val="18"/>
            <w:szCs w:val="18"/>
            <w:u w:val="none"/>
          </w:rPr>
          <w:t>Planning practice guidance - GOV.UK (www.gov.uk)</w:t>
        </w:r>
      </w:hyperlink>
      <w:bookmarkEnd w:id="93"/>
    </w:p>
  </w:footnote>
  <w:footnote w:id="17">
    <w:p w14:paraId="01093BB5" w14:textId="6960BC65" w:rsidR="002F05CA" w:rsidRPr="002F05CA" w:rsidRDefault="00A16B7D" w:rsidP="00A16B7D">
      <w:pPr>
        <w:pStyle w:val="FootnoteText"/>
        <w:rPr>
          <w:sz w:val="18"/>
          <w:szCs w:val="18"/>
        </w:rPr>
      </w:pPr>
      <w:bookmarkStart w:id="98" w:name="_Hlk161346963"/>
      <w:r w:rsidRPr="002F05CA">
        <w:rPr>
          <w:rStyle w:val="FootnoteReference"/>
          <w:sz w:val="18"/>
          <w:szCs w:val="18"/>
        </w:rPr>
        <w:footnoteRef/>
      </w:r>
      <w:r w:rsidR="002F05CA">
        <w:rPr>
          <w:sz w:val="18"/>
          <w:szCs w:val="18"/>
        </w:rPr>
        <w:t xml:space="preserve"> </w:t>
      </w:r>
      <w:hyperlink r:id="rId11" w:history="1">
        <w:r w:rsidR="002F05CA" w:rsidRPr="002F05CA">
          <w:rPr>
            <w:rStyle w:val="Hyperlink"/>
            <w:color w:val="auto"/>
            <w:sz w:val="18"/>
            <w:szCs w:val="18"/>
            <w:u w:val="none"/>
          </w:rPr>
          <w:t>Background Maps | LAQM (defra.gov.uk)</w:t>
        </w:r>
      </w:hyperlink>
      <w:bookmarkEnd w:id="98"/>
    </w:p>
  </w:footnote>
  <w:footnote w:id="18">
    <w:p w14:paraId="198B4A9A" w14:textId="77777777" w:rsidR="00A16B7D" w:rsidRPr="002F05CA" w:rsidRDefault="00A16B7D" w:rsidP="00A16B7D">
      <w:pPr>
        <w:pStyle w:val="FootnoteText"/>
        <w:jc w:val="both"/>
        <w:rPr>
          <w:sz w:val="18"/>
          <w:szCs w:val="18"/>
        </w:rPr>
      </w:pPr>
      <w:r w:rsidRPr="002F05CA">
        <w:rPr>
          <w:rStyle w:val="FootnoteReference"/>
          <w:sz w:val="18"/>
          <w:szCs w:val="18"/>
        </w:rPr>
        <w:footnoteRef/>
      </w:r>
      <w:r w:rsidRPr="002F05CA">
        <w:rPr>
          <w:sz w:val="18"/>
          <w:szCs w:val="18"/>
        </w:rPr>
        <w:t xml:space="preserve"> Background concentrations are defined by Defra as “The total concentration of a pollutant comprises those from explicit local emission sources such as, roads, chimney-stacks, etc., and those that are transported into an area </w:t>
      </w:r>
      <w:r w:rsidRPr="00DE1CD0">
        <w:rPr>
          <w:sz w:val="20"/>
        </w:rPr>
        <w:t xml:space="preserve">by </w:t>
      </w:r>
      <w:r w:rsidRPr="002F05CA">
        <w:rPr>
          <w:sz w:val="18"/>
          <w:szCs w:val="18"/>
        </w:rPr>
        <w:t>the wind from further away. If all the local sources were removed, all that would remain is that which comes in from further away; it is this component that is called ‘background’.</w:t>
      </w:r>
      <w:r w:rsidRPr="002F05CA">
        <w:rPr>
          <w:sz w:val="18"/>
          <w:szCs w:val="18"/>
        </w:rPr>
        <w:cr/>
        <w:t>In many situations the background contribution may represent a significant or dominant proportion of the total pollutant concentration, so it is important that authorities give this careful consideration.”</w:t>
      </w:r>
    </w:p>
  </w:footnote>
  <w:footnote w:id="19">
    <w:p w14:paraId="5B41E2B1" w14:textId="77777777" w:rsidR="00A16B7D" w:rsidRPr="002F05CA" w:rsidRDefault="00A16B7D" w:rsidP="00A16B7D">
      <w:pPr>
        <w:pStyle w:val="FootnoteText"/>
        <w:rPr>
          <w:sz w:val="18"/>
          <w:szCs w:val="18"/>
        </w:rPr>
      </w:pPr>
      <w:r w:rsidRPr="002F05CA">
        <w:rPr>
          <w:rStyle w:val="FootnoteReference"/>
          <w:sz w:val="18"/>
          <w:szCs w:val="18"/>
        </w:rPr>
        <w:footnoteRef/>
      </w:r>
      <w:r w:rsidRPr="002F05CA">
        <w:rPr>
          <w:sz w:val="18"/>
          <w:szCs w:val="18"/>
        </w:rPr>
        <w:t xml:space="preserve"> Defra background maps provide emissions split for background sources for NO</w:t>
      </w:r>
      <w:r w:rsidRPr="002F05CA">
        <w:rPr>
          <w:sz w:val="18"/>
          <w:szCs w:val="18"/>
          <w:vertAlign w:val="subscript"/>
        </w:rPr>
        <w:t>X</w:t>
      </w:r>
      <w:r w:rsidRPr="002F05CA">
        <w:rPr>
          <w:sz w:val="18"/>
          <w:szCs w:val="18"/>
        </w:rPr>
        <w:t xml:space="preserve"> only. The percentage contributions from road and background sources for NO</w:t>
      </w:r>
      <w:r w:rsidRPr="002F05CA">
        <w:rPr>
          <w:sz w:val="18"/>
          <w:szCs w:val="18"/>
          <w:vertAlign w:val="subscript"/>
        </w:rPr>
        <w:t xml:space="preserve">X </w:t>
      </w:r>
      <w:r w:rsidRPr="002F05CA">
        <w:rPr>
          <w:sz w:val="18"/>
          <w:szCs w:val="18"/>
        </w:rPr>
        <w:t>are analogous to NO</w:t>
      </w:r>
      <w:r w:rsidRPr="002F05CA">
        <w:rPr>
          <w:sz w:val="18"/>
          <w:szCs w:val="18"/>
          <w:vertAlign w:val="subscript"/>
        </w:rPr>
        <w:t>2</w:t>
      </w:r>
    </w:p>
  </w:footnote>
  <w:footnote w:id="20">
    <w:p w14:paraId="09A28C20" w14:textId="77777777" w:rsidR="00A16B7D" w:rsidRDefault="00A16B7D" w:rsidP="00A16B7D">
      <w:pPr>
        <w:pStyle w:val="FootnoteText"/>
      </w:pPr>
      <w:r w:rsidRPr="002F05CA">
        <w:rPr>
          <w:rStyle w:val="FootnoteReference"/>
          <w:sz w:val="18"/>
          <w:szCs w:val="18"/>
        </w:rPr>
        <w:footnoteRef/>
      </w:r>
      <w:r w:rsidRPr="002F05CA">
        <w:rPr>
          <w:sz w:val="18"/>
          <w:szCs w:val="18"/>
        </w:rPr>
        <w:t xml:space="preserve"> Rural emissions accounts for NO</w:t>
      </w:r>
      <w:r w:rsidRPr="002F05CA">
        <w:rPr>
          <w:sz w:val="18"/>
          <w:szCs w:val="18"/>
          <w:vertAlign w:val="subscript"/>
        </w:rPr>
        <w:t>X</w:t>
      </w:r>
      <w:r w:rsidRPr="002F05CA">
        <w:rPr>
          <w:sz w:val="18"/>
          <w:szCs w:val="18"/>
        </w:rPr>
        <w:t xml:space="preserve"> occurring naturally and from agricultural sources.</w:t>
      </w:r>
    </w:p>
  </w:footnote>
  <w:footnote w:id="21">
    <w:p w14:paraId="0C34229D" w14:textId="632AE42D" w:rsidR="00784479" w:rsidRPr="002F05CA" w:rsidRDefault="00784479" w:rsidP="00784479">
      <w:pPr>
        <w:spacing w:before="240"/>
        <w:rPr>
          <w:rFonts w:cs="Arial"/>
          <w:color w:val="1F497D"/>
          <w:sz w:val="18"/>
          <w:szCs w:val="18"/>
        </w:rPr>
      </w:pPr>
      <w:bookmarkStart w:id="145" w:name="_Hlk161347036"/>
      <w:r w:rsidRPr="002F05CA">
        <w:rPr>
          <w:rStyle w:val="FootnoteReference"/>
          <w:sz w:val="18"/>
          <w:szCs w:val="18"/>
        </w:rPr>
        <w:footnoteRef/>
      </w:r>
      <w:r w:rsidRPr="002F05CA">
        <w:rPr>
          <w:sz w:val="18"/>
          <w:szCs w:val="18"/>
        </w:rPr>
        <w:t xml:space="preserve"> </w:t>
      </w:r>
      <w:hyperlink r:id="rId12" w:history="1">
        <w:r w:rsidRPr="002F05CA">
          <w:rPr>
            <w:rStyle w:val="Hyperlink"/>
            <w:color w:val="auto"/>
            <w:sz w:val="18"/>
            <w:szCs w:val="18"/>
            <w:u w:val="none"/>
          </w:rPr>
          <w:t>Cycle Infrastructure Design (publishing.service.gov.uk)</w:t>
        </w:r>
      </w:hyperlink>
    </w:p>
    <w:bookmarkEnd w:id="145"/>
    <w:p w14:paraId="6E579F86" w14:textId="47209C87" w:rsidR="00784479" w:rsidRDefault="00784479">
      <w:pPr>
        <w:pStyle w:val="FootnoteText"/>
      </w:pPr>
    </w:p>
  </w:footnote>
  <w:footnote w:id="22">
    <w:p w14:paraId="6FCC7FD6" w14:textId="77777777" w:rsidR="00B25525" w:rsidRPr="002F05CA" w:rsidRDefault="00B25525" w:rsidP="00B25525">
      <w:pPr>
        <w:pStyle w:val="FootnoteText"/>
        <w:rPr>
          <w:sz w:val="18"/>
          <w:szCs w:val="18"/>
        </w:rPr>
      </w:pPr>
      <w:r w:rsidRPr="002F05CA">
        <w:rPr>
          <w:rStyle w:val="FootnoteReference"/>
          <w:sz w:val="18"/>
          <w:szCs w:val="18"/>
        </w:rPr>
        <w:footnoteRef/>
      </w:r>
      <w:r w:rsidRPr="002F05CA">
        <w:rPr>
          <w:sz w:val="18"/>
          <w:szCs w:val="18"/>
        </w:rPr>
        <w:t xml:space="preserve"> </w:t>
      </w:r>
      <w:hyperlink r:id="rId13" w:history="1">
        <w:r w:rsidRPr="002F05CA">
          <w:rPr>
            <w:rStyle w:val="Hyperlink"/>
            <w:color w:val="auto"/>
            <w:sz w:val="18"/>
            <w:szCs w:val="18"/>
            <w:u w:val="none"/>
          </w:rPr>
          <w:t>20mph Speed Limit and Air Pollution | London City Hall</w:t>
        </w:r>
      </w:hyperlink>
    </w:p>
  </w:footnote>
  <w:footnote w:id="23">
    <w:p w14:paraId="13513147" w14:textId="77777777" w:rsidR="00B25525" w:rsidRPr="002F05CA" w:rsidRDefault="00B25525" w:rsidP="00B25525">
      <w:pPr>
        <w:pStyle w:val="FootnoteText"/>
        <w:rPr>
          <w:sz w:val="18"/>
          <w:szCs w:val="18"/>
        </w:rPr>
      </w:pPr>
      <w:r w:rsidRPr="002F05CA">
        <w:rPr>
          <w:rStyle w:val="FootnoteReference"/>
          <w:sz w:val="18"/>
          <w:szCs w:val="18"/>
        </w:rPr>
        <w:footnoteRef/>
      </w:r>
      <w:r w:rsidRPr="002F05CA">
        <w:rPr>
          <w:sz w:val="18"/>
          <w:szCs w:val="18"/>
        </w:rPr>
        <w:t xml:space="preserve"> </w:t>
      </w:r>
      <w:hyperlink r:id="rId14" w:anchor=":~:text=Modelling%20studies%20show%20promise%20that,to%20improvements%20in%20NO2%20levels." w:history="1">
        <w:r w:rsidRPr="002F05CA">
          <w:rPr>
            <w:rStyle w:val="Hyperlink"/>
            <w:color w:val="auto"/>
            <w:sz w:val="18"/>
            <w:szCs w:val="18"/>
            <w:u w:val="none"/>
          </w:rPr>
          <w:t>Reducing motorway speed may improve air quality – but more real-world studies are needed - University of Birmingham</w:t>
        </w:r>
      </w:hyperlink>
    </w:p>
  </w:footnote>
  <w:footnote w:id="24">
    <w:p w14:paraId="2CDC2013" w14:textId="77777777" w:rsidR="00B25525" w:rsidRDefault="00B25525" w:rsidP="00B25525">
      <w:pPr>
        <w:pStyle w:val="FootnoteText"/>
      </w:pPr>
      <w:r w:rsidRPr="002F05CA">
        <w:rPr>
          <w:rStyle w:val="FootnoteReference"/>
          <w:sz w:val="18"/>
          <w:szCs w:val="18"/>
        </w:rPr>
        <w:footnoteRef/>
      </w:r>
      <w:r w:rsidRPr="002F05CA">
        <w:rPr>
          <w:sz w:val="18"/>
          <w:szCs w:val="18"/>
        </w:rPr>
        <w:t xml:space="preserve"> </w:t>
      </w:r>
      <w:hyperlink r:id="rId15" w:history="1">
        <w:r w:rsidRPr="002F05CA">
          <w:rPr>
            <w:rStyle w:val="Hyperlink"/>
            <w:color w:val="auto"/>
            <w:sz w:val="18"/>
            <w:szCs w:val="18"/>
            <w:u w:val="none"/>
          </w:rPr>
          <w:t>Air quality speed limit trials - National Highways</w:t>
        </w:r>
      </w:hyperlink>
    </w:p>
  </w:footnote>
  <w:footnote w:id="25">
    <w:p w14:paraId="77E8ACF5" w14:textId="09DB6D6C" w:rsidR="001529CE" w:rsidRPr="002F05CA" w:rsidRDefault="001529CE" w:rsidP="002F05CA">
      <w:pPr>
        <w:pStyle w:val="FootnoteText"/>
        <w:spacing w:before="0" w:after="0"/>
        <w:rPr>
          <w:sz w:val="18"/>
          <w:szCs w:val="18"/>
        </w:rPr>
      </w:pPr>
      <w:r w:rsidRPr="002F05CA">
        <w:rPr>
          <w:rStyle w:val="FootnoteReference"/>
          <w:sz w:val="18"/>
          <w:szCs w:val="18"/>
        </w:rPr>
        <w:footnoteRef/>
      </w:r>
      <w:r w:rsidRPr="002F05CA">
        <w:rPr>
          <w:sz w:val="18"/>
          <w:szCs w:val="18"/>
        </w:rPr>
        <w:t xml:space="preserve"> </w:t>
      </w:r>
      <w:hyperlink r:id="rId16" w:history="1">
        <w:r w:rsidRPr="002F05CA">
          <w:rPr>
            <w:rStyle w:val="Hyperlink"/>
            <w:color w:val="auto"/>
            <w:sz w:val="18"/>
            <w:szCs w:val="18"/>
            <w:u w:val="none"/>
          </w:rPr>
          <w:t>EFT V11.0 was used</w:t>
        </w:r>
        <w:r w:rsidR="002F05CA">
          <w:rPr>
            <w:rStyle w:val="Hyperlink"/>
            <w:color w:val="auto"/>
            <w:sz w:val="18"/>
            <w:szCs w:val="18"/>
            <w:u w:val="none"/>
          </w:rPr>
          <w:t xml:space="preserve">, </w:t>
        </w:r>
        <w:r w:rsidRPr="002F05CA">
          <w:rPr>
            <w:rStyle w:val="Hyperlink"/>
            <w:color w:val="auto"/>
            <w:sz w:val="18"/>
            <w:szCs w:val="18"/>
            <w:u w:val="none"/>
          </w:rPr>
          <w:t>as study commenced prior to the release of EFT V12.0 (Dec 2023). EFT V11.0, LAQM – 2021</w:t>
        </w:r>
      </w:hyperlink>
    </w:p>
  </w:footnote>
  <w:footnote w:id="26">
    <w:p w14:paraId="34401D2E" w14:textId="35C66B9E" w:rsidR="001529CE" w:rsidRPr="002F05CA" w:rsidRDefault="001529CE" w:rsidP="002F05CA">
      <w:pPr>
        <w:pStyle w:val="FootnoteText"/>
        <w:spacing w:before="0" w:after="0"/>
        <w:rPr>
          <w:sz w:val="18"/>
          <w:szCs w:val="18"/>
        </w:rPr>
      </w:pPr>
      <w:r w:rsidRPr="002F05CA">
        <w:rPr>
          <w:rStyle w:val="FootnoteReference"/>
          <w:sz w:val="18"/>
          <w:szCs w:val="18"/>
        </w:rPr>
        <w:footnoteRef/>
      </w:r>
      <w:r w:rsidRPr="002F05CA">
        <w:rPr>
          <w:sz w:val="18"/>
          <w:szCs w:val="18"/>
        </w:rPr>
        <w:t xml:space="preserve"> </w:t>
      </w:r>
      <w:hyperlink r:id="rId17" w:history="1">
        <w:r w:rsidRPr="002F05CA">
          <w:rPr>
            <w:rStyle w:val="Hyperlink"/>
            <w:color w:val="auto"/>
            <w:sz w:val="18"/>
            <w:szCs w:val="18"/>
            <w:u w:val="none"/>
          </w:rPr>
          <w:t>NO</w:t>
        </w:r>
        <w:r w:rsidR="002F05CA" w:rsidRPr="002F05CA">
          <w:rPr>
            <w:rStyle w:val="Hyperlink"/>
            <w:color w:val="auto"/>
            <w:sz w:val="18"/>
            <w:szCs w:val="18"/>
            <w:u w:val="none"/>
          </w:rPr>
          <w:t>x</w:t>
        </w:r>
        <w:r w:rsidRPr="002F05CA">
          <w:rPr>
            <w:rStyle w:val="Hyperlink"/>
            <w:color w:val="auto"/>
            <w:sz w:val="18"/>
            <w:szCs w:val="18"/>
            <w:u w:val="none"/>
          </w:rPr>
          <w:t xml:space="preserve"> to NO</w:t>
        </w:r>
        <w:r w:rsidR="002F05CA" w:rsidRPr="002F05CA">
          <w:rPr>
            <w:rStyle w:val="Hyperlink"/>
            <w:color w:val="auto"/>
            <w:sz w:val="18"/>
            <w:szCs w:val="18"/>
            <w:u w:val="none"/>
            <w:vertAlign w:val="subscript"/>
          </w:rPr>
          <w:t>2</w:t>
        </w:r>
        <w:r w:rsidRPr="002F05CA">
          <w:rPr>
            <w:rStyle w:val="Hyperlink"/>
            <w:color w:val="auto"/>
            <w:sz w:val="18"/>
            <w:szCs w:val="18"/>
            <w:u w:val="none"/>
          </w:rPr>
          <w:t xml:space="preserve"> calculator, LAQM – 2020</w:t>
        </w:r>
      </w:hyperlink>
    </w:p>
  </w:footnote>
  <w:footnote w:id="27">
    <w:p w14:paraId="5ABB2680" w14:textId="77777777" w:rsidR="001529CE" w:rsidRPr="002F05CA" w:rsidRDefault="001529CE" w:rsidP="002F05CA">
      <w:pPr>
        <w:pStyle w:val="FootnoteText"/>
        <w:spacing w:before="0" w:after="0"/>
        <w:rPr>
          <w:sz w:val="18"/>
          <w:szCs w:val="18"/>
        </w:rPr>
      </w:pPr>
      <w:r w:rsidRPr="002F05CA">
        <w:rPr>
          <w:rStyle w:val="FootnoteReference"/>
          <w:sz w:val="18"/>
          <w:szCs w:val="18"/>
        </w:rPr>
        <w:footnoteRef/>
      </w:r>
      <w:r w:rsidRPr="002F05CA">
        <w:rPr>
          <w:sz w:val="18"/>
          <w:szCs w:val="18"/>
        </w:rPr>
        <w:t xml:space="preserve"> Results from the modelling in Section 2.12 onwards show results for 78 monitoring sites. 12 sites were not included in model verification due to not being within close proximity of a modelled road.</w:t>
      </w:r>
    </w:p>
  </w:footnote>
  <w:footnote w:id="28">
    <w:p w14:paraId="58C0F1E9" w14:textId="77777777" w:rsidR="001529CE" w:rsidRPr="002F05CA" w:rsidRDefault="001529CE" w:rsidP="002F05CA">
      <w:pPr>
        <w:pStyle w:val="RBodyText"/>
        <w:spacing w:before="0" w:after="0"/>
        <w:rPr>
          <w:sz w:val="18"/>
          <w:szCs w:val="18"/>
        </w:rPr>
      </w:pPr>
      <w:r w:rsidRPr="002F05CA">
        <w:rPr>
          <w:rStyle w:val="FootnoteReference"/>
          <w:sz w:val="18"/>
          <w:szCs w:val="18"/>
        </w:rPr>
        <w:footnoteRef/>
      </w:r>
      <w:r w:rsidRPr="002F05CA">
        <w:rPr>
          <w:sz w:val="18"/>
          <w:szCs w:val="18"/>
        </w:rPr>
        <w:t xml:space="preserve"> For the purposes of assessing the projected impact of measures on air quality concentrations at the sites with highest concentrations, this study also considers local NO</w:t>
      </w:r>
      <w:r w:rsidRPr="002F05CA">
        <w:rPr>
          <w:sz w:val="18"/>
          <w:szCs w:val="18"/>
          <w:vertAlign w:val="subscript"/>
        </w:rPr>
        <w:t>X</w:t>
      </w:r>
      <w:r w:rsidRPr="002F05CA">
        <w:rPr>
          <w:sz w:val="18"/>
          <w:szCs w:val="18"/>
        </w:rPr>
        <w:t xml:space="preserve"> adjustment factors in Section 4 of this report.</w:t>
      </w:r>
    </w:p>
  </w:footnote>
  <w:footnote w:id="29">
    <w:p w14:paraId="2732767F" w14:textId="77777777" w:rsidR="00BB19E2" w:rsidRPr="002F05CA" w:rsidRDefault="00BB19E2" w:rsidP="002F05CA">
      <w:pPr>
        <w:pStyle w:val="FootnoteText"/>
        <w:spacing w:before="0" w:after="0"/>
        <w:rPr>
          <w:sz w:val="18"/>
          <w:szCs w:val="18"/>
        </w:rPr>
      </w:pPr>
      <w:bookmarkStart w:id="358" w:name="_Hlk161347166"/>
      <w:r w:rsidRPr="002F05CA">
        <w:rPr>
          <w:rStyle w:val="FootnoteReference"/>
          <w:sz w:val="18"/>
          <w:szCs w:val="18"/>
        </w:rPr>
        <w:footnoteRef/>
      </w:r>
      <w:r w:rsidRPr="002F05CA">
        <w:rPr>
          <w:sz w:val="18"/>
          <w:szCs w:val="18"/>
        </w:rPr>
        <w:t xml:space="preserve"> </w:t>
      </w:r>
      <w:hyperlink r:id="rId18" w:history="1">
        <w:r w:rsidRPr="002F05CA">
          <w:rPr>
            <w:rStyle w:val="Hyperlink"/>
            <w:color w:val="auto"/>
            <w:sz w:val="18"/>
            <w:szCs w:val="18"/>
            <w:u w:val="none"/>
          </w:rPr>
          <w:t>SBC Corporate Plan Consultation - Slough Borough Council - Citizen Space</w:t>
        </w:r>
      </w:hyperlink>
      <w:bookmarkEnd w:id="358"/>
    </w:p>
  </w:footnote>
  <w:footnote w:id="30">
    <w:p w14:paraId="55F8BBA1" w14:textId="77777777" w:rsidR="00BB19E2" w:rsidRPr="002F05CA" w:rsidRDefault="00BB19E2" w:rsidP="002F05CA">
      <w:pPr>
        <w:pStyle w:val="FootnoteText"/>
        <w:spacing w:before="0" w:after="0"/>
        <w:rPr>
          <w:sz w:val="18"/>
          <w:szCs w:val="18"/>
        </w:rPr>
      </w:pPr>
      <w:bookmarkStart w:id="361" w:name="_Hlk161347173"/>
      <w:r w:rsidRPr="002F05CA">
        <w:rPr>
          <w:rStyle w:val="FootnoteReference"/>
          <w:sz w:val="18"/>
          <w:szCs w:val="18"/>
        </w:rPr>
        <w:footnoteRef/>
      </w:r>
      <w:r w:rsidRPr="002F05CA">
        <w:rPr>
          <w:sz w:val="18"/>
          <w:szCs w:val="18"/>
        </w:rPr>
        <w:t xml:space="preserve"> </w:t>
      </w:r>
      <w:hyperlink r:id="rId19" w:anchor=":~:text=This%20Strategy%20is%20targeting%20growth,afforded%20the%20opportunity%20to%20flourish." w:history="1">
        <w:r w:rsidRPr="002F05CA">
          <w:rPr>
            <w:rStyle w:val="Hyperlink"/>
            <w:color w:val="auto"/>
            <w:sz w:val="18"/>
            <w:szCs w:val="18"/>
            <w:u w:val="none"/>
          </w:rPr>
          <w:t>Slough Inclusive Growth Strategy - 2020-25</w:t>
        </w:r>
      </w:hyperlink>
      <w:bookmarkEnd w:id="361"/>
    </w:p>
  </w:footnote>
  <w:footnote w:id="31">
    <w:p w14:paraId="4242F2FE" w14:textId="6E0C6A6C" w:rsidR="00BB19E2" w:rsidRPr="002F05CA" w:rsidRDefault="00BB19E2" w:rsidP="00BB19E2">
      <w:pPr>
        <w:pStyle w:val="FootnoteText"/>
        <w:rPr>
          <w:sz w:val="18"/>
          <w:szCs w:val="18"/>
        </w:rPr>
      </w:pPr>
      <w:r w:rsidRPr="002F05CA">
        <w:rPr>
          <w:rStyle w:val="FootnoteReference"/>
          <w:sz w:val="18"/>
          <w:szCs w:val="18"/>
        </w:rPr>
        <w:footnoteRef/>
      </w:r>
      <w:r w:rsidRPr="002F05CA">
        <w:rPr>
          <w:sz w:val="18"/>
          <w:szCs w:val="18"/>
        </w:rPr>
        <w:t xml:space="preserve"> </w:t>
      </w:r>
      <w:hyperlink r:id="rId20" w:history="1">
        <w:r w:rsidR="00DC7B5A" w:rsidRPr="002F05CA">
          <w:rPr>
            <w:rStyle w:val="Hyperlink"/>
            <w:color w:val="auto"/>
            <w:sz w:val="18"/>
            <w:szCs w:val="18"/>
            <w:u w:val="none"/>
          </w:rPr>
          <w:t>Appendix B - Slough 2040 Vision</w:t>
        </w:r>
      </w:hyperlink>
    </w:p>
  </w:footnote>
  <w:footnote w:id="32">
    <w:p w14:paraId="1D70DC82" w14:textId="77777777" w:rsidR="00BB19E2" w:rsidRDefault="00BB19E2" w:rsidP="00BB19E2">
      <w:pPr>
        <w:pStyle w:val="FootnoteText"/>
      </w:pPr>
      <w:r w:rsidRPr="002F05CA">
        <w:rPr>
          <w:rStyle w:val="FootnoteReference"/>
          <w:sz w:val="18"/>
          <w:szCs w:val="18"/>
        </w:rPr>
        <w:footnoteRef/>
      </w:r>
      <w:r w:rsidRPr="002F05CA">
        <w:rPr>
          <w:sz w:val="18"/>
          <w:szCs w:val="18"/>
        </w:rPr>
        <w:t xml:space="preserve"> </w:t>
      </w:r>
      <w:hyperlink r:id="rId21" w:history="1">
        <w:r w:rsidRPr="002F05CA">
          <w:rPr>
            <w:rStyle w:val="Hyperlink"/>
            <w:color w:val="auto"/>
            <w:sz w:val="18"/>
            <w:szCs w:val="18"/>
            <w:u w:val="none"/>
          </w:rPr>
          <w:t>Slough LTP2_AnnexC.indd (defra.gov.uk)</w:t>
        </w:r>
      </w:hyperlink>
    </w:p>
  </w:footnote>
  <w:footnote w:id="33">
    <w:p w14:paraId="0DC81FBA" w14:textId="043383A6" w:rsidR="00BB19E2" w:rsidRPr="002F05CA" w:rsidRDefault="00BB19E2" w:rsidP="00BB19E2">
      <w:pPr>
        <w:pStyle w:val="FootnoteText"/>
        <w:rPr>
          <w:sz w:val="18"/>
          <w:szCs w:val="18"/>
        </w:rPr>
      </w:pPr>
      <w:bookmarkStart w:id="368" w:name="_Hlk161347192"/>
      <w:r w:rsidRPr="002F05CA">
        <w:rPr>
          <w:rStyle w:val="FootnoteReference"/>
          <w:sz w:val="18"/>
          <w:szCs w:val="18"/>
        </w:rPr>
        <w:footnoteRef/>
      </w:r>
      <w:r w:rsidRPr="002F05CA">
        <w:rPr>
          <w:sz w:val="18"/>
          <w:szCs w:val="18"/>
        </w:rPr>
        <w:t xml:space="preserve"> </w:t>
      </w:r>
      <w:hyperlink r:id="rId22" w:history="1">
        <w:r w:rsidR="002F05CA">
          <w:rPr>
            <w:rStyle w:val="Hyperlink"/>
            <w:color w:val="auto"/>
            <w:sz w:val="18"/>
            <w:szCs w:val="18"/>
            <w:u w:val="none"/>
          </w:rPr>
          <w:t>Appendix 1 - Summary LES final draft (slough.gov.uk)</w:t>
        </w:r>
      </w:hyperlink>
      <w:bookmarkEnd w:id="368"/>
    </w:p>
  </w:footnote>
  <w:footnote w:id="34">
    <w:p w14:paraId="5175D466" w14:textId="77777777" w:rsidR="00BB19E2" w:rsidRPr="002F05CA" w:rsidRDefault="00BB19E2" w:rsidP="00BB19E2">
      <w:pPr>
        <w:pStyle w:val="FootnoteText"/>
        <w:rPr>
          <w:sz w:val="18"/>
          <w:szCs w:val="18"/>
        </w:rPr>
      </w:pPr>
      <w:bookmarkStart w:id="371" w:name="_Hlk161347200"/>
      <w:r w:rsidRPr="002F05CA">
        <w:rPr>
          <w:rStyle w:val="FootnoteReference"/>
          <w:sz w:val="18"/>
          <w:szCs w:val="18"/>
        </w:rPr>
        <w:footnoteRef/>
      </w:r>
      <w:r w:rsidRPr="002F05CA">
        <w:rPr>
          <w:sz w:val="18"/>
          <w:szCs w:val="18"/>
        </w:rPr>
        <w:t xml:space="preserve"> </w:t>
      </w:r>
      <w:hyperlink r:id="rId23" w:history="1">
        <w:r w:rsidRPr="002F05CA">
          <w:rPr>
            <w:rStyle w:val="Hyperlink"/>
            <w:color w:val="auto"/>
            <w:sz w:val="18"/>
            <w:szCs w:val="18"/>
            <w:u w:val="none"/>
          </w:rPr>
          <w:t>Slough Wellbeing Strategy 2020-2025 (slough.gov.uk)</w:t>
        </w:r>
      </w:hyperlink>
      <w:bookmarkEnd w:id="371"/>
    </w:p>
  </w:footnote>
  <w:footnote w:id="35">
    <w:p w14:paraId="30621EE1" w14:textId="77777777" w:rsidR="00BB19E2" w:rsidRPr="002F05CA" w:rsidRDefault="00BB19E2" w:rsidP="00BB19E2">
      <w:pPr>
        <w:pStyle w:val="FootnoteText"/>
        <w:rPr>
          <w:sz w:val="18"/>
          <w:szCs w:val="18"/>
        </w:rPr>
      </w:pPr>
      <w:bookmarkStart w:id="374" w:name="_Hlk161347210"/>
      <w:r w:rsidRPr="002F05CA">
        <w:rPr>
          <w:rStyle w:val="FootnoteReference"/>
          <w:sz w:val="18"/>
          <w:szCs w:val="18"/>
        </w:rPr>
        <w:footnoteRef/>
      </w:r>
      <w:r w:rsidRPr="002F05CA">
        <w:rPr>
          <w:sz w:val="18"/>
          <w:szCs w:val="18"/>
        </w:rPr>
        <w:t xml:space="preserve"> </w:t>
      </w:r>
      <w:hyperlink r:id="rId24" w:history="1">
        <w:r w:rsidRPr="002F05CA">
          <w:rPr>
            <w:rStyle w:val="Hyperlink"/>
            <w:color w:val="auto"/>
            <w:sz w:val="18"/>
            <w:szCs w:val="18"/>
            <w:u w:val="none"/>
          </w:rPr>
          <w:t>Taxi Licensing Policy Renewal 2023 (slough.gov.uk)</w:t>
        </w:r>
      </w:hyperlink>
      <w:bookmarkEnd w:id="374"/>
    </w:p>
  </w:footnote>
  <w:footnote w:id="36">
    <w:p w14:paraId="3F475EB4" w14:textId="77777777" w:rsidR="00BB19E2" w:rsidRPr="002F05CA" w:rsidRDefault="00BB19E2" w:rsidP="00BB19E2">
      <w:pPr>
        <w:pStyle w:val="FootnoteText"/>
        <w:rPr>
          <w:sz w:val="18"/>
          <w:szCs w:val="18"/>
        </w:rPr>
      </w:pPr>
      <w:bookmarkStart w:id="377" w:name="_Hlk161347217"/>
      <w:r w:rsidRPr="002F05CA">
        <w:rPr>
          <w:rStyle w:val="FootnoteReference"/>
          <w:sz w:val="18"/>
          <w:szCs w:val="18"/>
        </w:rPr>
        <w:footnoteRef/>
      </w:r>
      <w:r w:rsidRPr="002F05CA">
        <w:rPr>
          <w:sz w:val="18"/>
          <w:szCs w:val="18"/>
        </w:rPr>
        <w:t xml:space="preserve"> </w:t>
      </w:r>
      <w:hyperlink r:id="rId25" w:history="1">
        <w:r w:rsidRPr="002F05CA">
          <w:rPr>
            <w:rStyle w:val="Hyperlink"/>
            <w:color w:val="auto"/>
            <w:sz w:val="18"/>
            <w:szCs w:val="18"/>
            <w:u w:val="none"/>
          </w:rPr>
          <w:t>Local Cycling and Walking Infrastructure Plan – Slough Borough Council</w:t>
        </w:r>
      </w:hyperlink>
      <w:bookmarkEnd w:id="377"/>
    </w:p>
  </w:footnote>
  <w:footnote w:id="37">
    <w:p w14:paraId="3008E560" w14:textId="1E5A5256" w:rsidR="00BB19E2" w:rsidRPr="002F05CA" w:rsidRDefault="00BB19E2" w:rsidP="00BB19E2">
      <w:pPr>
        <w:pStyle w:val="FootnoteText"/>
        <w:rPr>
          <w:sz w:val="18"/>
          <w:szCs w:val="18"/>
        </w:rPr>
      </w:pPr>
      <w:bookmarkStart w:id="379" w:name="_Hlk161347224"/>
      <w:r w:rsidRPr="002F05CA">
        <w:rPr>
          <w:rStyle w:val="FootnoteReference"/>
          <w:sz w:val="18"/>
          <w:szCs w:val="18"/>
        </w:rPr>
        <w:footnoteRef/>
      </w:r>
      <w:r w:rsidRPr="002F05CA">
        <w:rPr>
          <w:sz w:val="18"/>
          <w:szCs w:val="18"/>
        </w:rPr>
        <w:t xml:space="preserve"> </w:t>
      </w:r>
      <w:hyperlink r:id="rId26" w:history="1">
        <w:r w:rsidR="00C87B57" w:rsidRPr="002F05CA">
          <w:rPr>
            <w:rStyle w:val="Hyperlink"/>
            <w:color w:val="auto"/>
            <w:sz w:val="18"/>
            <w:szCs w:val="18"/>
            <w:u w:val="none"/>
          </w:rPr>
          <w:t>Climate Change Motion 2019 (slough.gov.uk)</w:t>
        </w:r>
      </w:hyperlink>
      <w:bookmarkEnd w:id="379"/>
    </w:p>
  </w:footnote>
  <w:footnote w:id="38">
    <w:p w14:paraId="60546060" w14:textId="77777777" w:rsidR="00BB19E2" w:rsidRPr="002F05CA" w:rsidRDefault="00BB19E2" w:rsidP="00BB19E2">
      <w:pPr>
        <w:pStyle w:val="FootnoteText"/>
        <w:rPr>
          <w:sz w:val="18"/>
          <w:szCs w:val="18"/>
        </w:rPr>
      </w:pPr>
      <w:bookmarkStart w:id="380" w:name="_Hlk161347231"/>
      <w:r w:rsidRPr="002F05CA">
        <w:rPr>
          <w:rStyle w:val="FootnoteReference"/>
          <w:sz w:val="18"/>
          <w:szCs w:val="18"/>
        </w:rPr>
        <w:footnoteRef/>
      </w:r>
      <w:r w:rsidRPr="002F05CA">
        <w:rPr>
          <w:sz w:val="18"/>
          <w:szCs w:val="18"/>
        </w:rPr>
        <w:t xml:space="preserve"> </w:t>
      </w:r>
      <w:hyperlink r:id="rId27" w:history="1">
        <w:r w:rsidRPr="002F05CA">
          <w:rPr>
            <w:rStyle w:val="Hyperlink"/>
            <w:color w:val="auto"/>
            <w:sz w:val="18"/>
            <w:szCs w:val="18"/>
            <w:u w:val="none"/>
          </w:rPr>
          <w:t>Carbon Management Plan (slough.gov.uk)</w:t>
        </w:r>
      </w:hyperlink>
      <w:bookmarkEnd w:id="380"/>
    </w:p>
  </w:footnote>
  <w:footnote w:id="39">
    <w:p w14:paraId="78F9A48E" w14:textId="6F9069E5" w:rsidR="0062377C" w:rsidRPr="0062377C" w:rsidRDefault="0062377C">
      <w:pPr>
        <w:pStyle w:val="FootnoteText"/>
        <w:rPr>
          <w:sz w:val="20"/>
        </w:rPr>
      </w:pPr>
      <w:bookmarkStart w:id="383" w:name="_Hlk161347449"/>
      <w:r w:rsidRPr="0062377C">
        <w:rPr>
          <w:rStyle w:val="FootnoteReference"/>
          <w:sz w:val="20"/>
        </w:rPr>
        <w:footnoteRef/>
      </w:r>
      <w:r w:rsidRPr="0062377C">
        <w:rPr>
          <w:sz w:val="20"/>
        </w:rPr>
        <w:t xml:space="preserve"> </w:t>
      </w:r>
      <w:hyperlink r:id="rId28" w:history="1">
        <w:r w:rsidRPr="0062377C">
          <w:rPr>
            <w:rStyle w:val="Hyperlink"/>
            <w:color w:val="auto"/>
            <w:sz w:val="20"/>
            <w:u w:val="none"/>
          </w:rPr>
          <w:t>Appendix A - Transport Vision Supplementary.pdf (slough.gov.uk)</w:t>
        </w:r>
      </w:hyperlink>
      <w:bookmarkEnd w:id="383"/>
    </w:p>
  </w:footnote>
  <w:footnote w:id="40">
    <w:p w14:paraId="4507E836" w14:textId="5C82F3FF" w:rsidR="0062377C" w:rsidRPr="0062377C" w:rsidRDefault="0062377C">
      <w:pPr>
        <w:pStyle w:val="FootnoteText"/>
        <w:rPr>
          <w:sz w:val="20"/>
        </w:rPr>
      </w:pPr>
      <w:r w:rsidRPr="0062377C">
        <w:rPr>
          <w:rStyle w:val="FootnoteReference"/>
          <w:sz w:val="20"/>
        </w:rPr>
        <w:footnoteRef/>
      </w:r>
      <w:r w:rsidRPr="0062377C">
        <w:rPr>
          <w:sz w:val="20"/>
        </w:rPr>
        <w:t xml:space="preserve"> </w:t>
      </w:r>
      <w:hyperlink r:id="rId29" w:history="1">
        <w:r w:rsidRPr="0062377C">
          <w:rPr>
            <w:rStyle w:val="Hyperlink"/>
            <w:color w:val="auto"/>
            <w:sz w:val="20"/>
            <w:u w:val="none"/>
          </w:rPr>
          <w:t>National Bus Strategy - Bus Back Better – Slough Borough Council</w:t>
        </w:r>
      </w:hyperlink>
    </w:p>
  </w:footnote>
  <w:footnote w:id="41">
    <w:p w14:paraId="2154A9C9" w14:textId="0DB4BCFA" w:rsidR="0062377C" w:rsidRPr="0062377C" w:rsidRDefault="0062377C">
      <w:pPr>
        <w:pStyle w:val="FootnoteText"/>
        <w:rPr>
          <w:sz w:val="20"/>
        </w:rPr>
      </w:pPr>
      <w:r w:rsidRPr="0062377C">
        <w:rPr>
          <w:rStyle w:val="FootnoteReference"/>
          <w:sz w:val="20"/>
        </w:rPr>
        <w:footnoteRef/>
      </w:r>
      <w:r w:rsidRPr="0062377C">
        <w:rPr>
          <w:sz w:val="20"/>
        </w:rPr>
        <w:t xml:space="preserve"> </w:t>
      </w:r>
      <w:hyperlink r:id="rId30" w:history="1">
        <w:r w:rsidRPr="0062377C">
          <w:rPr>
            <w:rStyle w:val="Hyperlink"/>
            <w:color w:val="auto"/>
            <w:sz w:val="20"/>
            <w:u w:val="none"/>
          </w:rPr>
          <w:t>The local development plan for Slough – Slough Borough Council</w:t>
        </w:r>
      </w:hyperlink>
    </w:p>
  </w:footnote>
  <w:footnote w:id="42">
    <w:p w14:paraId="417FA31F" w14:textId="1F0569BD" w:rsidR="0062377C" w:rsidRPr="0062377C" w:rsidRDefault="0062377C">
      <w:pPr>
        <w:pStyle w:val="FootnoteText"/>
        <w:rPr>
          <w:sz w:val="20"/>
        </w:rPr>
      </w:pPr>
      <w:r w:rsidRPr="0062377C">
        <w:rPr>
          <w:rStyle w:val="FootnoteReference"/>
          <w:sz w:val="20"/>
        </w:rPr>
        <w:footnoteRef/>
      </w:r>
      <w:r w:rsidRPr="0062377C">
        <w:rPr>
          <w:sz w:val="20"/>
        </w:rPr>
        <w:t xml:space="preserve"> </w:t>
      </w:r>
      <w:hyperlink r:id="rId31" w:history="1">
        <w:r w:rsidRPr="0062377C">
          <w:rPr>
            <w:rStyle w:val="Hyperlink"/>
            <w:color w:val="auto"/>
            <w:sz w:val="20"/>
            <w:u w:val="none"/>
          </w:rPr>
          <w:t>The Proposed Spatial Strategy - Slough Borough Council - Citizen Space</w:t>
        </w:r>
      </w:hyperlink>
    </w:p>
  </w:footnote>
  <w:footnote w:id="43">
    <w:p w14:paraId="67A15453" w14:textId="40599FB3" w:rsidR="0062377C" w:rsidRPr="0062377C" w:rsidRDefault="0062377C">
      <w:pPr>
        <w:pStyle w:val="FootnoteText"/>
        <w:rPr>
          <w:sz w:val="20"/>
        </w:rPr>
      </w:pPr>
      <w:bookmarkStart w:id="391" w:name="_Hlk161347607"/>
      <w:r w:rsidRPr="0062377C">
        <w:rPr>
          <w:rStyle w:val="FootnoteReference"/>
          <w:sz w:val="20"/>
        </w:rPr>
        <w:footnoteRef/>
      </w:r>
      <w:r w:rsidRPr="0062377C">
        <w:rPr>
          <w:sz w:val="20"/>
        </w:rPr>
        <w:t xml:space="preserve"> </w:t>
      </w:r>
      <w:hyperlink r:id="rId32" w:history="1">
        <w:r w:rsidRPr="0062377C">
          <w:rPr>
            <w:rStyle w:val="Hyperlink"/>
            <w:color w:val="auto"/>
            <w:sz w:val="20"/>
            <w:u w:val="none"/>
          </w:rPr>
          <w:t>Developer guide - Part 3 Transport and highways guidance – Slough Borough Council</w:t>
        </w:r>
      </w:hyperlink>
      <w:bookmarkEnd w:id="391"/>
    </w:p>
  </w:footnote>
  <w:footnote w:id="44">
    <w:p w14:paraId="3770DEDC" w14:textId="3FF333F8" w:rsidR="00BB051E" w:rsidRPr="00BB051E" w:rsidRDefault="00BB051E">
      <w:pPr>
        <w:pStyle w:val="FootnoteText"/>
        <w:rPr>
          <w:sz w:val="20"/>
        </w:rPr>
      </w:pPr>
      <w:r w:rsidRPr="00BB051E">
        <w:rPr>
          <w:rStyle w:val="FootnoteReference"/>
          <w:sz w:val="20"/>
        </w:rPr>
        <w:footnoteRef/>
      </w:r>
      <w:r w:rsidRPr="00BB051E">
        <w:rPr>
          <w:sz w:val="20"/>
        </w:rPr>
        <w:t xml:space="preserve"> This map is provided by ONS (2021) and includes the home working portion of residents, which results in different proportions to the graphs outlined in this section.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20746" w14:textId="7F8C9671" w:rsidR="00B34D0A" w:rsidRPr="00412F35" w:rsidRDefault="000F4CA1" w:rsidP="00C52768">
    <w:pPr>
      <w:pStyle w:val="Header"/>
      <w:jc w:val="right"/>
      <w:rPr>
        <w:b/>
      </w:rPr>
    </w:pPr>
    <w:sdt>
      <w:sdtPr>
        <w:rPr>
          <w:b/>
        </w:rPr>
        <w:id w:val="-1628930364"/>
        <w:docPartObj>
          <w:docPartGallery w:val="Watermarks"/>
          <w:docPartUnique/>
        </w:docPartObj>
      </w:sdtPr>
      <w:sdtEndPr/>
      <w:sdtContent>
        <w:r>
          <w:rPr>
            <w:b/>
            <w:noProof/>
          </w:rPr>
          <w:pict w14:anchorId="0F923A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1A33" w:rsidRPr="00412F35">
      <w:rPr>
        <w:b/>
      </w:rPr>
      <w:t>Slough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F6101"/>
    <w:multiLevelType w:val="hybridMultilevel"/>
    <w:tmpl w:val="566AAC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6539AF"/>
    <w:multiLevelType w:val="hybridMultilevel"/>
    <w:tmpl w:val="44C4A0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43B73F3"/>
    <w:multiLevelType w:val="hybridMultilevel"/>
    <w:tmpl w:val="E08A902C"/>
    <w:lvl w:ilvl="0" w:tplc="FD204EC0">
      <w:numFmt w:val="bullet"/>
      <w:lvlText w:val="-"/>
      <w:lvlJc w:val="left"/>
      <w:pPr>
        <w:ind w:left="360" w:hanging="360"/>
      </w:pPr>
      <w:rPr>
        <w:rFonts w:ascii="EvoBQ-Light" w:eastAsiaTheme="minorHAnsi" w:hAnsi="EvoBQ-Light" w:cs="EvoBQ-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52248C"/>
    <w:multiLevelType w:val="multilevel"/>
    <w:tmpl w:val="723A93AE"/>
    <w:lvl w:ilvl="0">
      <w:start w:val="3"/>
      <w:numFmt w:val="decimal"/>
      <w:lvlText w:val="%1"/>
      <w:lvlJc w:val="left"/>
      <w:pPr>
        <w:ind w:left="525" w:hanging="525"/>
      </w:pPr>
      <w:rPr>
        <w:rFonts w:hint="default"/>
      </w:rPr>
    </w:lvl>
    <w:lvl w:ilvl="1">
      <w:start w:val="2"/>
      <w:numFmt w:val="decimal"/>
      <w:lvlText w:val="%1.%2"/>
      <w:lvlJc w:val="left"/>
      <w:pPr>
        <w:ind w:left="526" w:hanging="525"/>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108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445" w:hanging="1440"/>
      </w:pPr>
      <w:rPr>
        <w:rFonts w:hint="default"/>
      </w:rPr>
    </w:lvl>
    <w:lvl w:ilvl="6">
      <w:start w:val="1"/>
      <w:numFmt w:val="decimal"/>
      <w:lvlText w:val="%1.%2.%3.%4.%5.%6.%7"/>
      <w:lvlJc w:val="left"/>
      <w:pPr>
        <w:ind w:left="1446" w:hanging="1440"/>
      </w:pPr>
      <w:rPr>
        <w:rFonts w:hint="default"/>
      </w:rPr>
    </w:lvl>
    <w:lvl w:ilvl="7">
      <w:start w:val="1"/>
      <w:numFmt w:val="decimal"/>
      <w:lvlText w:val="%1.%2.%3.%4.%5.%6.%7.%8"/>
      <w:lvlJc w:val="left"/>
      <w:pPr>
        <w:ind w:left="1807" w:hanging="1800"/>
      </w:pPr>
      <w:rPr>
        <w:rFonts w:hint="default"/>
      </w:rPr>
    </w:lvl>
    <w:lvl w:ilvl="8">
      <w:start w:val="1"/>
      <w:numFmt w:val="decimal"/>
      <w:lvlText w:val="%1.%2.%3.%4.%5.%6.%7.%8.%9"/>
      <w:lvlJc w:val="left"/>
      <w:pPr>
        <w:ind w:left="1808" w:hanging="1800"/>
      </w:pPr>
      <w:rPr>
        <w:rFonts w:hint="default"/>
      </w:rPr>
    </w:lvl>
  </w:abstractNum>
  <w:abstractNum w:abstractNumId="4" w15:restartNumberingAfterBreak="0">
    <w:nsid w:val="072417E3"/>
    <w:multiLevelType w:val="hybridMultilevel"/>
    <w:tmpl w:val="1946D7A0"/>
    <w:lvl w:ilvl="0" w:tplc="BEC07FBE">
      <w:start w:val="1"/>
      <w:numFmt w:val="bullet"/>
      <w:lvlText w:val="•"/>
      <w:lvlJc w:val="left"/>
      <w:pPr>
        <w:tabs>
          <w:tab w:val="num" w:pos="720"/>
        </w:tabs>
        <w:ind w:left="720" w:hanging="360"/>
      </w:pPr>
      <w:rPr>
        <w:rFonts w:ascii="Arial" w:hAnsi="Arial" w:hint="default"/>
      </w:rPr>
    </w:lvl>
    <w:lvl w:ilvl="1" w:tplc="3AB220A4" w:tentative="1">
      <w:start w:val="1"/>
      <w:numFmt w:val="bullet"/>
      <w:lvlText w:val="•"/>
      <w:lvlJc w:val="left"/>
      <w:pPr>
        <w:tabs>
          <w:tab w:val="num" w:pos="1440"/>
        </w:tabs>
        <w:ind w:left="1440" w:hanging="360"/>
      </w:pPr>
      <w:rPr>
        <w:rFonts w:ascii="Arial" w:hAnsi="Arial" w:hint="default"/>
      </w:rPr>
    </w:lvl>
    <w:lvl w:ilvl="2" w:tplc="A752673A" w:tentative="1">
      <w:start w:val="1"/>
      <w:numFmt w:val="bullet"/>
      <w:lvlText w:val="•"/>
      <w:lvlJc w:val="left"/>
      <w:pPr>
        <w:tabs>
          <w:tab w:val="num" w:pos="2160"/>
        </w:tabs>
        <w:ind w:left="2160" w:hanging="360"/>
      </w:pPr>
      <w:rPr>
        <w:rFonts w:ascii="Arial" w:hAnsi="Arial" w:hint="default"/>
      </w:rPr>
    </w:lvl>
    <w:lvl w:ilvl="3" w:tplc="7AA235D0" w:tentative="1">
      <w:start w:val="1"/>
      <w:numFmt w:val="bullet"/>
      <w:lvlText w:val="•"/>
      <w:lvlJc w:val="left"/>
      <w:pPr>
        <w:tabs>
          <w:tab w:val="num" w:pos="2880"/>
        </w:tabs>
        <w:ind w:left="2880" w:hanging="360"/>
      </w:pPr>
      <w:rPr>
        <w:rFonts w:ascii="Arial" w:hAnsi="Arial" w:hint="default"/>
      </w:rPr>
    </w:lvl>
    <w:lvl w:ilvl="4" w:tplc="C892367E" w:tentative="1">
      <w:start w:val="1"/>
      <w:numFmt w:val="bullet"/>
      <w:lvlText w:val="•"/>
      <w:lvlJc w:val="left"/>
      <w:pPr>
        <w:tabs>
          <w:tab w:val="num" w:pos="3600"/>
        </w:tabs>
        <w:ind w:left="3600" w:hanging="360"/>
      </w:pPr>
      <w:rPr>
        <w:rFonts w:ascii="Arial" w:hAnsi="Arial" w:hint="default"/>
      </w:rPr>
    </w:lvl>
    <w:lvl w:ilvl="5" w:tplc="CADE31EA" w:tentative="1">
      <w:start w:val="1"/>
      <w:numFmt w:val="bullet"/>
      <w:lvlText w:val="•"/>
      <w:lvlJc w:val="left"/>
      <w:pPr>
        <w:tabs>
          <w:tab w:val="num" w:pos="4320"/>
        </w:tabs>
        <w:ind w:left="4320" w:hanging="360"/>
      </w:pPr>
      <w:rPr>
        <w:rFonts w:ascii="Arial" w:hAnsi="Arial" w:hint="default"/>
      </w:rPr>
    </w:lvl>
    <w:lvl w:ilvl="6" w:tplc="400A0CBA" w:tentative="1">
      <w:start w:val="1"/>
      <w:numFmt w:val="bullet"/>
      <w:lvlText w:val="•"/>
      <w:lvlJc w:val="left"/>
      <w:pPr>
        <w:tabs>
          <w:tab w:val="num" w:pos="5040"/>
        </w:tabs>
        <w:ind w:left="5040" w:hanging="360"/>
      </w:pPr>
      <w:rPr>
        <w:rFonts w:ascii="Arial" w:hAnsi="Arial" w:hint="default"/>
      </w:rPr>
    </w:lvl>
    <w:lvl w:ilvl="7" w:tplc="80EEB9F6" w:tentative="1">
      <w:start w:val="1"/>
      <w:numFmt w:val="bullet"/>
      <w:lvlText w:val="•"/>
      <w:lvlJc w:val="left"/>
      <w:pPr>
        <w:tabs>
          <w:tab w:val="num" w:pos="5760"/>
        </w:tabs>
        <w:ind w:left="5760" w:hanging="360"/>
      </w:pPr>
      <w:rPr>
        <w:rFonts w:ascii="Arial" w:hAnsi="Arial" w:hint="default"/>
      </w:rPr>
    </w:lvl>
    <w:lvl w:ilvl="8" w:tplc="8A48610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893038"/>
    <w:multiLevelType w:val="multilevel"/>
    <w:tmpl w:val="FD08DDE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79E6CC9"/>
    <w:multiLevelType w:val="hybridMultilevel"/>
    <w:tmpl w:val="6F5231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EB3B5E"/>
    <w:multiLevelType w:val="hybridMultilevel"/>
    <w:tmpl w:val="A192C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C845219"/>
    <w:multiLevelType w:val="hybridMultilevel"/>
    <w:tmpl w:val="776CD4EA"/>
    <w:lvl w:ilvl="0" w:tplc="23D63534">
      <w:start w:val="5"/>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1F6389"/>
    <w:multiLevelType w:val="hybridMultilevel"/>
    <w:tmpl w:val="FC166A2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3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EE46A2"/>
    <w:multiLevelType w:val="multilevel"/>
    <w:tmpl w:val="2C587122"/>
    <w:lvl w:ilvl="0">
      <w:start w:val="1"/>
      <w:numFmt w:val="decimal"/>
      <w:lvlText w:val="%1"/>
      <w:lvlJc w:val="left"/>
      <w:pPr>
        <w:tabs>
          <w:tab w:val="num" w:pos="0"/>
        </w:tabs>
        <w:ind w:left="1134" w:hanging="1131"/>
      </w:pPr>
      <w:rPr>
        <w:rFonts w:hint="default"/>
      </w:rPr>
    </w:lvl>
    <w:lvl w:ilvl="1">
      <w:start w:val="1"/>
      <w:numFmt w:val="decimal"/>
      <w:pStyle w:val="Heading2"/>
      <w:lvlText w:val="%1.%2"/>
      <w:lvlJc w:val="left"/>
      <w:pPr>
        <w:tabs>
          <w:tab w:val="num" w:pos="0"/>
        </w:tabs>
        <w:ind w:left="570" w:hanging="567"/>
      </w:pPr>
      <w:rPr>
        <w:rFonts w:hint="default"/>
      </w:rPr>
    </w:lvl>
    <w:lvl w:ilvl="2">
      <w:start w:val="1"/>
      <w:numFmt w:val="decimal"/>
      <w:pStyle w:val="Heading3"/>
      <w:lvlText w:val="%1.%2.%3"/>
      <w:lvlJc w:val="left"/>
      <w:pPr>
        <w:tabs>
          <w:tab w:val="num" w:pos="0"/>
        </w:tabs>
        <w:ind w:left="570" w:hanging="567"/>
      </w:pPr>
      <w:rPr>
        <w:rFonts w:hint="default"/>
        <w:vertAlign w:val="baseline"/>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11" w15:restartNumberingAfterBreak="0">
    <w:nsid w:val="1793206D"/>
    <w:multiLevelType w:val="hybridMultilevel"/>
    <w:tmpl w:val="3F66B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C04D47"/>
    <w:multiLevelType w:val="multilevel"/>
    <w:tmpl w:val="EA5A0078"/>
    <w:lvl w:ilvl="0">
      <w:start w:val="4"/>
      <w:numFmt w:val="decimal"/>
      <w:lvlText w:val="%1"/>
      <w:lvlJc w:val="left"/>
      <w:pPr>
        <w:ind w:left="405" w:hanging="405"/>
      </w:pPr>
      <w:rPr>
        <w:rFonts w:hint="default"/>
      </w:rPr>
    </w:lvl>
    <w:lvl w:ilvl="1">
      <w:start w:val="1"/>
      <w:numFmt w:val="decimal"/>
      <w:lvlText w:val="%1.%2"/>
      <w:lvlJc w:val="left"/>
      <w:pPr>
        <w:ind w:left="721" w:hanging="720"/>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1083" w:hanging="1080"/>
      </w:pPr>
      <w:rPr>
        <w:rFonts w:hint="default"/>
      </w:rPr>
    </w:lvl>
    <w:lvl w:ilvl="4">
      <w:start w:val="1"/>
      <w:numFmt w:val="decimal"/>
      <w:lvlText w:val="%1.%2.%3.%4.%5"/>
      <w:lvlJc w:val="left"/>
      <w:pPr>
        <w:ind w:left="1444" w:hanging="1440"/>
      </w:pPr>
      <w:rPr>
        <w:rFonts w:hint="default"/>
      </w:rPr>
    </w:lvl>
    <w:lvl w:ilvl="5">
      <w:start w:val="1"/>
      <w:numFmt w:val="decimal"/>
      <w:lvlText w:val="%1.%2.%3.%4.%5.%6"/>
      <w:lvlJc w:val="left"/>
      <w:pPr>
        <w:ind w:left="1445" w:hanging="1440"/>
      </w:pPr>
      <w:rPr>
        <w:rFonts w:hint="default"/>
      </w:rPr>
    </w:lvl>
    <w:lvl w:ilvl="6">
      <w:start w:val="1"/>
      <w:numFmt w:val="decimal"/>
      <w:lvlText w:val="%1.%2.%3.%4.%5.%6.%7"/>
      <w:lvlJc w:val="left"/>
      <w:pPr>
        <w:ind w:left="1806" w:hanging="1800"/>
      </w:pPr>
      <w:rPr>
        <w:rFonts w:hint="default"/>
      </w:rPr>
    </w:lvl>
    <w:lvl w:ilvl="7">
      <w:start w:val="1"/>
      <w:numFmt w:val="decimal"/>
      <w:lvlText w:val="%1.%2.%3.%4.%5.%6.%7.%8"/>
      <w:lvlJc w:val="left"/>
      <w:pPr>
        <w:ind w:left="1807" w:hanging="1800"/>
      </w:pPr>
      <w:rPr>
        <w:rFonts w:hint="default"/>
      </w:rPr>
    </w:lvl>
    <w:lvl w:ilvl="8">
      <w:start w:val="1"/>
      <w:numFmt w:val="decimal"/>
      <w:lvlText w:val="%1.%2.%3.%4.%5.%6.%7.%8.%9"/>
      <w:lvlJc w:val="left"/>
      <w:pPr>
        <w:ind w:left="2168" w:hanging="2160"/>
      </w:pPr>
      <w:rPr>
        <w:rFonts w:hint="default"/>
      </w:rPr>
    </w:lvl>
  </w:abstractNum>
  <w:abstractNum w:abstractNumId="13" w15:restartNumberingAfterBreak="0">
    <w:nsid w:val="18A53994"/>
    <w:multiLevelType w:val="hybridMultilevel"/>
    <w:tmpl w:val="50BE1A3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B361064"/>
    <w:multiLevelType w:val="multilevel"/>
    <w:tmpl w:val="E17E187E"/>
    <w:lvl w:ilvl="0">
      <w:start w:val="1"/>
      <w:numFmt w:val="decimal"/>
      <w:lvlText w:val="%1."/>
      <w:lvlJc w:val="left"/>
      <w:pPr>
        <w:ind w:left="360" w:hanging="360"/>
      </w:pPr>
      <w:rPr>
        <w:rFonts w:hint="default"/>
      </w:rPr>
    </w:lvl>
    <w:lvl w:ilvl="1">
      <w:start w:val="1"/>
      <w:numFmt w:val="decimal"/>
      <w:isLgl/>
      <w:lvlText w:val="%1.%2"/>
      <w:lvlJc w:val="left"/>
      <w:pPr>
        <w:ind w:left="723" w:hanging="720"/>
      </w:pPr>
      <w:rPr>
        <w:rFonts w:hint="default"/>
      </w:rPr>
    </w:lvl>
    <w:lvl w:ilvl="2">
      <w:start w:val="1"/>
      <w:numFmt w:val="decimal"/>
      <w:isLgl/>
      <w:lvlText w:val="%1.%2.%3"/>
      <w:lvlJc w:val="left"/>
      <w:pPr>
        <w:ind w:left="726" w:hanging="720"/>
      </w:pPr>
      <w:rPr>
        <w:rFonts w:hint="default"/>
      </w:rPr>
    </w:lvl>
    <w:lvl w:ilvl="3">
      <w:start w:val="1"/>
      <w:numFmt w:val="decimal"/>
      <w:isLgl/>
      <w:lvlText w:val="%1.%2.%3.%4"/>
      <w:lvlJc w:val="left"/>
      <w:pPr>
        <w:ind w:left="1089" w:hanging="1080"/>
      </w:pPr>
      <w:rPr>
        <w:rFonts w:hint="default"/>
      </w:rPr>
    </w:lvl>
    <w:lvl w:ilvl="4">
      <w:start w:val="1"/>
      <w:numFmt w:val="decimal"/>
      <w:isLgl/>
      <w:lvlText w:val="%1.%2.%3.%4.%5"/>
      <w:lvlJc w:val="left"/>
      <w:pPr>
        <w:ind w:left="1452" w:hanging="1440"/>
      </w:pPr>
      <w:rPr>
        <w:rFonts w:hint="default"/>
      </w:rPr>
    </w:lvl>
    <w:lvl w:ilvl="5">
      <w:start w:val="1"/>
      <w:numFmt w:val="decimal"/>
      <w:isLgl/>
      <w:lvlText w:val="%1.%2.%3.%4.%5.%6"/>
      <w:lvlJc w:val="left"/>
      <w:pPr>
        <w:ind w:left="1455" w:hanging="1440"/>
      </w:pPr>
      <w:rPr>
        <w:rFonts w:hint="default"/>
      </w:rPr>
    </w:lvl>
    <w:lvl w:ilvl="6">
      <w:start w:val="1"/>
      <w:numFmt w:val="decimal"/>
      <w:isLgl/>
      <w:lvlText w:val="%1.%2.%3.%4.%5.%6.%7"/>
      <w:lvlJc w:val="left"/>
      <w:pPr>
        <w:ind w:left="1818" w:hanging="1800"/>
      </w:pPr>
      <w:rPr>
        <w:rFonts w:hint="default"/>
      </w:rPr>
    </w:lvl>
    <w:lvl w:ilvl="7">
      <w:start w:val="1"/>
      <w:numFmt w:val="decimal"/>
      <w:isLgl/>
      <w:lvlText w:val="%1.%2.%3.%4.%5.%6.%7.%8"/>
      <w:lvlJc w:val="left"/>
      <w:pPr>
        <w:ind w:left="1821" w:hanging="1800"/>
      </w:pPr>
      <w:rPr>
        <w:rFonts w:hint="default"/>
      </w:rPr>
    </w:lvl>
    <w:lvl w:ilvl="8">
      <w:start w:val="1"/>
      <w:numFmt w:val="decimal"/>
      <w:isLgl/>
      <w:lvlText w:val="%1.%2.%3.%4.%5.%6.%7.%8.%9"/>
      <w:lvlJc w:val="left"/>
      <w:pPr>
        <w:ind w:left="2184" w:hanging="2160"/>
      </w:pPr>
      <w:rPr>
        <w:rFonts w:hint="default"/>
      </w:rPr>
    </w:lvl>
  </w:abstractNum>
  <w:abstractNum w:abstractNumId="15" w15:restartNumberingAfterBreak="0">
    <w:nsid w:val="1D190C23"/>
    <w:multiLevelType w:val="hybridMultilevel"/>
    <w:tmpl w:val="A27E5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1A10F7"/>
    <w:multiLevelType w:val="multilevel"/>
    <w:tmpl w:val="09CA0174"/>
    <w:lvl w:ilvl="0">
      <w:start w:val="3"/>
      <w:numFmt w:val="decimal"/>
      <w:lvlText w:val="%1"/>
      <w:lvlJc w:val="left"/>
      <w:pPr>
        <w:ind w:left="525" w:hanging="525"/>
      </w:pPr>
      <w:rPr>
        <w:rFonts w:hint="default"/>
      </w:rPr>
    </w:lvl>
    <w:lvl w:ilvl="1">
      <w:start w:val="1"/>
      <w:numFmt w:val="decimal"/>
      <w:lvlText w:val="%1.%2"/>
      <w:lvlJc w:val="left"/>
      <w:pPr>
        <w:ind w:left="526" w:hanging="525"/>
      </w:pPr>
      <w:rPr>
        <w:rFonts w:hint="default"/>
      </w:rPr>
    </w:lvl>
    <w:lvl w:ilvl="2">
      <w:start w:val="2"/>
      <w:numFmt w:val="decimal"/>
      <w:lvlText w:val="%1.%2.%3"/>
      <w:lvlJc w:val="left"/>
      <w:pPr>
        <w:ind w:left="722" w:hanging="720"/>
      </w:pPr>
      <w:rPr>
        <w:rFonts w:hint="default"/>
      </w:rPr>
    </w:lvl>
    <w:lvl w:ilvl="3">
      <w:start w:val="1"/>
      <w:numFmt w:val="decimal"/>
      <w:lvlText w:val="%1.%2.%3.%4"/>
      <w:lvlJc w:val="left"/>
      <w:pPr>
        <w:ind w:left="108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445" w:hanging="1440"/>
      </w:pPr>
      <w:rPr>
        <w:rFonts w:hint="default"/>
      </w:rPr>
    </w:lvl>
    <w:lvl w:ilvl="6">
      <w:start w:val="1"/>
      <w:numFmt w:val="decimal"/>
      <w:lvlText w:val="%1.%2.%3.%4.%5.%6.%7"/>
      <w:lvlJc w:val="left"/>
      <w:pPr>
        <w:ind w:left="1446" w:hanging="1440"/>
      </w:pPr>
      <w:rPr>
        <w:rFonts w:hint="default"/>
      </w:rPr>
    </w:lvl>
    <w:lvl w:ilvl="7">
      <w:start w:val="1"/>
      <w:numFmt w:val="decimal"/>
      <w:lvlText w:val="%1.%2.%3.%4.%5.%6.%7.%8"/>
      <w:lvlJc w:val="left"/>
      <w:pPr>
        <w:ind w:left="1807" w:hanging="1800"/>
      </w:pPr>
      <w:rPr>
        <w:rFonts w:hint="default"/>
      </w:rPr>
    </w:lvl>
    <w:lvl w:ilvl="8">
      <w:start w:val="1"/>
      <w:numFmt w:val="decimal"/>
      <w:lvlText w:val="%1.%2.%3.%4.%5.%6.%7.%8.%9"/>
      <w:lvlJc w:val="left"/>
      <w:pPr>
        <w:ind w:left="1808" w:hanging="1800"/>
      </w:pPr>
      <w:rPr>
        <w:rFonts w:hint="default"/>
      </w:rPr>
    </w:lvl>
  </w:abstractNum>
  <w:abstractNum w:abstractNumId="17" w15:restartNumberingAfterBreak="0">
    <w:nsid w:val="205C324D"/>
    <w:multiLevelType w:val="multilevel"/>
    <w:tmpl w:val="44E0DBF6"/>
    <w:lvl w:ilvl="0">
      <w:start w:val="1"/>
      <w:numFmt w:val="decimal"/>
      <w:lvlRestart w:val="0"/>
      <w:pStyle w:val="RReferences"/>
      <w:lvlText w:val="[%1]"/>
      <w:lvlJc w:val="left"/>
      <w:pPr>
        <w:tabs>
          <w:tab w:val="num" w:pos="2977"/>
        </w:tabs>
        <w:ind w:left="2977" w:hanging="425"/>
      </w:pPr>
      <w:rPr>
        <w:rFonts w:ascii="Arial" w:hAnsi="Arial" w:cs="Arial"/>
      </w:rPr>
    </w:lvl>
    <w:lvl w:ilvl="1">
      <w:start w:val="1"/>
      <w:numFmt w:val="none"/>
      <w:suff w:val="nothing"/>
      <w:lvlText w:val=""/>
      <w:lvlJc w:val="left"/>
      <w:pPr>
        <w:ind w:left="425" w:firstLine="0"/>
      </w:pPr>
      <w:rPr>
        <w:rFonts w:ascii="Arial" w:hAnsi="Arial" w:cs="Arial"/>
      </w:rPr>
    </w:lvl>
    <w:lvl w:ilvl="2">
      <w:start w:val="1"/>
      <w:numFmt w:val="none"/>
      <w:suff w:val="nothing"/>
      <w:lvlText w:val=""/>
      <w:lvlJc w:val="left"/>
      <w:pPr>
        <w:ind w:left="425" w:firstLine="0"/>
      </w:pPr>
      <w:rPr>
        <w:rFonts w:ascii="Arial" w:hAnsi="Arial" w:cs="Arial"/>
      </w:rPr>
    </w:lvl>
    <w:lvl w:ilvl="3">
      <w:start w:val="1"/>
      <w:numFmt w:val="none"/>
      <w:suff w:val="nothing"/>
      <w:lvlText w:val=""/>
      <w:lvlJc w:val="left"/>
      <w:pPr>
        <w:ind w:left="425" w:firstLine="0"/>
      </w:pPr>
      <w:rPr>
        <w:rFonts w:ascii="Arial" w:hAnsi="Arial" w:cs="Arial"/>
      </w:rPr>
    </w:lvl>
    <w:lvl w:ilvl="4">
      <w:start w:val="1"/>
      <w:numFmt w:val="none"/>
      <w:suff w:val="nothing"/>
      <w:lvlText w:val=""/>
      <w:lvlJc w:val="left"/>
      <w:pPr>
        <w:ind w:left="425" w:firstLine="0"/>
      </w:pPr>
      <w:rPr>
        <w:rFonts w:ascii="Arial" w:hAnsi="Arial" w:cs="Arial"/>
      </w:rPr>
    </w:lvl>
    <w:lvl w:ilvl="5">
      <w:start w:val="1"/>
      <w:numFmt w:val="none"/>
      <w:suff w:val="nothing"/>
      <w:lvlText w:val=""/>
      <w:lvlJc w:val="left"/>
      <w:pPr>
        <w:ind w:left="425" w:firstLine="0"/>
      </w:pPr>
      <w:rPr>
        <w:rFonts w:ascii="Arial" w:hAnsi="Arial" w:cs="Arial"/>
      </w:rPr>
    </w:lvl>
    <w:lvl w:ilvl="6">
      <w:start w:val="1"/>
      <w:numFmt w:val="none"/>
      <w:suff w:val="nothing"/>
      <w:lvlText w:val=""/>
      <w:lvlJc w:val="left"/>
      <w:pPr>
        <w:ind w:left="425" w:firstLine="0"/>
      </w:pPr>
      <w:rPr>
        <w:rFonts w:ascii="Arial" w:hAnsi="Arial" w:cs="Arial"/>
      </w:rPr>
    </w:lvl>
    <w:lvl w:ilvl="7">
      <w:start w:val="1"/>
      <w:numFmt w:val="none"/>
      <w:suff w:val="nothing"/>
      <w:lvlText w:val=""/>
      <w:lvlJc w:val="left"/>
      <w:pPr>
        <w:ind w:left="425" w:firstLine="0"/>
      </w:pPr>
      <w:rPr>
        <w:rFonts w:ascii="Arial" w:hAnsi="Arial" w:cs="Arial"/>
      </w:rPr>
    </w:lvl>
    <w:lvl w:ilvl="8">
      <w:start w:val="1"/>
      <w:numFmt w:val="none"/>
      <w:suff w:val="nothing"/>
      <w:lvlText w:val=""/>
      <w:lvlJc w:val="left"/>
      <w:pPr>
        <w:ind w:left="425" w:firstLine="0"/>
      </w:pPr>
      <w:rPr>
        <w:rFonts w:ascii="Arial" w:hAnsi="Arial" w:cs="Arial"/>
      </w:rPr>
    </w:lvl>
  </w:abstractNum>
  <w:abstractNum w:abstractNumId="18" w15:restartNumberingAfterBreak="0">
    <w:nsid w:val="210A3D99"/>
    <w:multiLevelType w:val="hybridMultilevel"/>
    <w:tmpl w:val="89A64D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25A19A7"/>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2857A72"/>
    <w:multiLevelType w:val="hybridMultilevel"/>
    <w:tmpl w:val="93966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4F03FBB"/>
    <w:multiLevelType w:val="hybridMultilevel"/>
    <w:tmpl w:val="5AA001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60828BA"/>
    <w:multiLevelType w:val="hybridMultilevel"/>
    <w:tmpl w:val="4516BB3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27552DB1"/>
    <w:multiLevelType w:val="hybridMultilevel"/>
    <w:tmpl w:val="05B2E544"/>
    <w:lvl w:ilvl="0" w:tplc="02561F6E">
      <w:numFmt w:val="bullet"/>
      <w:lvlText w:val=""/>
      <w:lvlJc w:val="left"/>
      <w:pPr>
        <w:ind w:left="360" w:hanging="360"/>
      </w:pPr>
      <w:rPr>
        <w:rFonts w:ascii="Symbol" w:eastAsiaTheme="minorHAnsi" w:hAnsi="Symbol"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7C03109"/>
    <w:multiLevelType w:val="multilevel"/>
    <w:tmpl w:val="E18AF110"/>
    <w:lvl w:ilvl="0">
      <w:start w:val="3"/>
      <w:numFmt w:val="decimal"/>
      <w:lvlText w:val="%1"/>
      <w:lvlJc w:val="left"/>
      <w:pPr>
        <w:ind w:left="405" w:hanging="405"/>
      </w:pPr>
      <w:rPr>
        <w:rFonts w:hint="default"/>
      </w:rPr>
    </w:lvl>
    <w:lvl w:ilvl="1">
      <w:start w:val="1"/>
      <w:numFmt w:val="decimal"/>
      <w:lvlText w:val="%1.%2"/>
      <w:lvlJc w:val="left"/>
      <w:pPr>
        <w:ind w:left="723" w:hanging="72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25" w15:restartNumberingAfterBreak="0">
    <w:nsid w:val="2E51222D"/>
    <w:multiLevelType w:val="multilevel"/>
    <w:tmpl w:val="C7FC83B8"/>
    <w:lvl w:ilvl="0">
      <w:start w:val="1"/>
      <w:numFmt w:val="decimal"/>
      <w:lvlText w:val="%1"/>
      <w:lvlJc w:val="left"/>
      <w:pPr>
        <w:ind w:left="360" w:hanging="360"/>
      </w:pPr>
      <w:rPr>
        <w:rFonts w:hint="default"/>
        <w:b w:val="0"/>
      </w:rPr>
    </w:lvl>
    <w:lvl w:ilvl="1">
      <w:start w:val="1"/>
      <w:numFmt w:val="decimal"/>
      <w:lvlText w:val="%1.%2"/>
      <w:lvlJc w:val="left"/>
      <w:pPr>
        <w:ind w:left="363" w:hanging="360"/>
      </w:pPr>
      <w:rPr>
        <w:rFonts w:hint="default"/>
        <w:b/>
        <w:bCs w:val="0"/>
      </w:rPr>
    </w:lvl>
    <w:lvl w:ilvl="2">
      <w:start w:val="1"/>
      <w:numFmt w:val="decimal"/>
      <w:lvlText w:val="%1.%2.%3"/>
      <w:lvlJc w:val="left"/>
      <w:pPr>
        <w:ind w:left="726" w:hanging="720"/>
      </w:pPr>
      <w:rPr>
        <w:rFonts w:hint="default"/>
        <w:b w:val="0"/>
      </w:rPr>
    </w:lvl>
    <w:lvl w:ilvl="3">
      <w:start w:val="1"/>
      <w:numFmt w:val="decimal"/>
      <w:lvlText w:val="%1.%2.%3.%4"/>
      <w:lvlJc w:val="left"/>
      <w:pPr>
        <w:ind w:left="1089" w:hanging="1080"/>
      </w:pPr>
      <w:rPr>
        <w:rFonts w:hint="default"/>
        <w:b w:val="0"/>
      </w:rPr>
    </w:lvl>
    <w:lvl w:ilvl="4">
      <w:start w:val="1"/>
      <w:numFmt w:val="decimal"/>
      <w:lvlText w:val="%1.%2.%3.%4.%5"/>
      <w:lvlJc w:val="left"/>
      <w:pPr>
        <w:ind w:left="1092" w:hanging="1080"/>
      </w:pPr>
      <w:rPr>
        <w:rFonts w:hint="default"/>
        <w:b w:val="0"/>
      </w:rPr>
    </w:lvl>
    <w:lvl w:ilvl="5">
      <w:start w:val="1"/>
      <w:numFmt w:val="decimal"/>
      <w:lvlText w:val="%1.%2.%3.%4.%5.%6"/>
      <w:lvlJc w:val="left"/>
      <w:pPr>
        <w:ind w:left="1455" w:hanging="1440"/>
      </w:pPr>
      <w:rPr>
        <w:rFonts w:hint="default"/>
        <w:b w:val="0"/>
      </w:rPr>
    </w:lvl>
    <w:lvl w:ilvl="6">
      <w:start w:val="1"/>
      <w:numFmt w:val="decimal"/>
      <w:lvlText w:val="%1.%2.%3.%4.%5.%6.%7"/>
      <w:lvlJc w:val="left"/>
      <w:pPr>
        <w:ind w:left="1458" w:hanging="1440"/>
      </w:pPr>
      <w:rPr>
        <w:rFonts w:hint="default"/>
        <w:b w:val="0"/>
      </w:rPr>
    </w:lvl>
    <w:lvl w:ilvl="7">
      <w:start w:val="1"/>
      <w:numFmt w:val="decimal"/>
      <w:lvlText w:val="%1.%2.%3.%4.%5.%6.%7.%8"/>
      <w:lvlJc w:val="left"/>
      <w:pPr>
        <w:ind w:left="1821" w:hanging="1800"/>
      </w:pPr>
      <w:rPr>
        <w:rFonts w:hint="default"/>
        <w:b w:val="0"/>
      </w:rPr>
    </w:lvl>
    <w:lvl w:ilvl="8">
      <w:start w:val="1"/>
      <w:numFmt w:val="decimal"/>
      <w:lvlText w:val="%1.%2.%3.%4.%5.%6.%7.%8.%9"/>
      <w:lvlJc w:val="left"/>
      <w:pPr>
        <w:ind w:left="1824" w:hanging="1800"/>
      </w:pPr>
      <w:rPr>
        <w:rFonts w:hint="default"/>
        <w:b w:val="0"/>
      </w:rPr>
    </w:lvl>
  </w:abstractNum>
  <w:abstractNum w:abstractNumId="26" w15:restartNumberingAfterBreak="0">
    <w:nsid w:val="32F05DD6"/>
    <w:multiLevelType w:val="multilevel"/>
    <w:tmpl w:val="342A7C52"/>
    <w:lvl w:ilvl="0">
      <w:start w:val="2"/>
      <w:numFmt w:val="decimal"/>
      <w:lvlText w:val="%1"/>
      <w:lvlJc w:val="left"/>
      <w:pPr>
        <w:ind w:left="405" w:hanging="405"/>
      </w:pPr>
      <w:rPr>
        <w:rFonts w:hint="default"/>
      </w:rPr>
    </w:lvl>
    <w:lvl w:ilvl="1">
      <w:start w:val="1"/>
      <w:numFmt w:val="decimal"/>
      <w:lvlText w:val="%1.%2"/>
      <w:lvlJc w:val="left"/>
      <w:pPr>
        <w:ind w:left="723" w:hanging="720"/>
      </w:pPr>
      <w:rPr>
        <w:rFonts w:hint="default"/>
      </w:rPr>
    </w:lvl>
    <w:lvl w:ilvl="2">
      <w:start w:val="1"/>
      <w:numFmt w:val="decimal"/>
      <w:lvlText w:val="%1.%2.%3"/>
      <w:lvlJc w:val="left"/>
      <w:pPr>
        <w:ind w:left="726" w:hanging="720"/>
      </w:pPr>
      <w:rPr>
        <w:rFonts w:hint="default"/>
        <w:vertAlign w:val="baseline"/>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27" w15:restartNumberingAfterBreak="0">
    <w:nsid w:val="34851F49"/>
    <w:multiLevelType w:val="multilevel"/>
    <w:tmpl w:val="ED24195E"/>
    <w:lvl w:ilvl="0">
      <w:start w:val="3"/>
      <w:numFmt w:val="decimal"/>
      <w:lvlText w:val="%1"/>
      <w:lvlJc w:val="left"/>
      <w:pPr>
        <w:ind w:left="405" w:hanging="405"/>
      </w:pPr>
      <w:rPr>
        <w:rFonts w:hint="default"/>
      </w:rPr>
    </w:lvl>
    <w:lvl w:ilvl="1">
      <w:start w:val="1"/>
      <w:numFmt w:val="decimal"/>
      <w:lvlText w:val="%1.%2"/>
      <w:lvlJc w:val="left"/>
      <w:pPr>
        <w:ind w:left="723" w:hanging="72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28" w15:restartNumberingAfterBreak="0">
    <w:nsid w:val="34D2186E"/>
    <w:multiLevelType w:val="hybridMultilevel"/>
    <w:tmpl w:val="D87827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359A0365"/>
    <w:multiLevelType w:val="hybridMultilevel"/>
    <w:tmpl w:val="D0B68D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6BD3A1A"/>
    <w:multiLevelType w:val="multilevel"/>
    <w:tmpl w:val="4DC4D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E817D4"/>
    <w:multiLevelType w:val="multilevel"/>
    <w:tmpl w:val="48CC3D2C"/>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2" w15:restartNumberingAfterBreak="0">
    <w:nsid w:val="385835FE"/>
    <w:multiLevelType w:val="hybridMultilevel"/>
    <w:tmpl w:val="3244B2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95E0215"/>
    <w:multiLevelType w:val="hybridMultilevel"/>
    <w:tmpl w:val="29FAE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96F09A6"/>
    <w:multiLevelType w:val="hybridMultilevel"/>
    <w:tmpl w:val="8EA4CE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B4633D5"/>
    <w:multiLevelType w:val="hybridMultilevel"/>
    <w:tmpl w:val="4DD0B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B9F7D26"/>
    <w:multiLevelType w:val="hybridMultilevel"/>
    <w:tmpl w:val="BA562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BCF3FF8"/>
    <w:multiLevelType w:val="hybridMultilevel"/>
    <w:tmpl w:val="ADC6FF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DBA417E"/>
    <w:multiLevelType w:val="multilevel"/>
    <w:tmpl w:val="F2B0FD42"/>
    <w:lvl w:ilvl="0">
      <w:start w:val="1"/>
      <w:numFmt w:val="decimal"/>
      <w:lvlText w:val="%1."/>
      <w:lvlJc w:val="left"/>
      <w:pPr>
        <w:ind w:left="360" w:hanging="360"/>
      </w:pPr>
      <w:rPr>
        <w:rFonts w:hint="default"/>
      </w:rPr>
    </w:lvl>
    <w:lvl w:ilvl="1">
      <w:start w:val="1"/>
      <w:numFmt w:val="decimal"/>
      <w:isLgl/>
      <w:lvlText w:val="%1.%2"/>
      <w:lvlJc w:val="left"/>
      <w:pPr>
        <w:ind w:left="363" w:hanging="360"/>
      </w:pPr>
      <w:rPr>
        <w:rFonts w:hint="default"/>
      </w:rPr>
    </w:lvl>
    <w:lvl w:ilvl="2">
      <w:start w:val="1"/>
      <w:numFmt w:val="decimal"/>
      <w:isLgl/>
      <w:lvlText w:val="%1.%2.%3"/>
      <w:lvlJc w:val="left"/>
      <w:pPr>
        <w:ind w:left="726" w:hanging="720"/>
      </w:pPr>
      <w:rPr>
        <w:rFonts w:hint="default"/>
      </w:rPr>
    </w:lvl>
    <w:lvl w:ilvl="3">
      <w:start w:val="1"/>
      <w:numFmt w:val="decimal"/>
      <w:isLgl/>
      <w:lvlText w:val="%1.%2.%3.%4"/>
      <w:lvlJc w:val="left"/>
      <w:pPr>
        <w:ind w:left="1089" w:hanging="1080"/>
      </w:pPr>
      <w:rPr>
        <w:rFonts w:hint="default"/>
      </w:rPr>
    </w:lvl>
    <w:lvl w:ilvl="4">
      <w:start w:val="1"/>
      <w:numFmt w:val="decimal"/>
      <w:isLgl/>
      <w:lvlText w:val="%1.%2.%3.%4.%5"/>
      <w:lvlJc w:val="left"/>
      <w:pPr>
        <w:ind w:left="1092" w:hanging="1080"/>
      </w:pPr>
      <w:rPr>
        <w:rFonts w:hint="default"/>
      </w:rPr>
    </w:lvl>
    <w:lvl w:ilvl="5">
      <w:start w:val="1"/>
      <w:numFmt w:val="decimal"/>
      <w:isLgl/>
      <w:lvlText w:val="%1.%2.%3.%4.%5.%6"/>
      <w:lvlJc w:val="left"/>
      <w:pPr>
        <w:ind w:left="1455" w:hanging="1440"/>
      </w:pPr>
      <w:rPr>
        <w:rFonts w:hint="default"/>
      </w:rPr>
    </w:lvl>
    <w:lvl w:ilvl="6">
      <w:start w:val="1"/>
      <w:numFmt w:val="decimal"/>
      <w:isLgl/>
      <w:lvlText w:val="%1.%2.%3.%4.%5.%6.%7"/>
      <w:lvlJc w:val="left"/>
      <w:pPr>
        <w:ind w:left="1458" w:hanging="1440"/>
      </w:pPr>
      <w:rPr>
        <w:rFonts w:hint="default"/>
      </w:rPr>
    </w:lvl>
    <w:lvl w:ilvl="7">
      <w:start w:val="1"/>
      <w:numFmt w:val="decimal"/>
      <w:isLgl/>
      <w:lvlText w:val="%1.%2.%3.%4.%5.%6.%7.%8"/>
      <w:lvlJc w:val="left"/>
      <w:pPr>
        <w:ind w:left="1821" w:hanging="1800"/>
      </w:pPr>
      <w:rPr>
        <w:rFonts w:hint="default"/>
      </w:rPr>
    </w:lvl>
    <w:lvl w:ilvl="8">
      <w:start w:val="1"/>
      <w:numFmt w:val="decimal"/>
      <w:isLgl/>
      <w:lvlText w:val="%1.%2.%3.%4.%5.%6.%7.%8.%9"/>
      <w:lvlJc w:val="left"/>
      <w:pPr>
        <w:ind w:left="1824" w:hanging="1800"/>
      </w:pPr>
      <w:rPr>
        <w:rFonts w:hint="default"/>
      </w:rPr>
    </w:lvl>
  </w:abstractNum>
  <w:abstractNum w:abstractNumId="39" w15:restartNumberingAfterBreak="0">
    <w:nsid w:val="414A7FAA"/>
    <w:multiLevelType w:val="multilevel"/>
    <w:tmpl w:val="62DC290E"/>
    <w:name w:val="RLTforRBulletsL1"/>
    <w:lvl w:ilvl="0">
      <w:start w:val="1"/>
      <w:numFmt w:val="bullet"/>
      <w:lvlRestart w:val="0"/>
      <w:pStyle w:val="RBulletsL1"/>
      <w:lvlText w:val=""/>
      <w:lvlJc w:val="left"/>
      <w:pPr>
        <w:tabs>
          <w:tab w:val="num" w:pos="425"/>
        </w:tabs>
        <w:ind w:left="425" w:hanging="283"/>
      </w:pPr>
      <w:rPr>
        <w:rFonts w:ascii="Symbol" w:hAnsi="Symbol" w:cs="Arial" w:hint="default"/>
      </w:rPr>
    </w:lvl>
    <w:lvl w:ilvl="1">
      <w:start w:val="1"/>
      <w:numFmt w:val="bullet"/>
      <w:pStyle w:val="RBulletsL2"/>
      <w:lvlText w:val="–"/>
      <w:lvlJc w:val="left"/>
      <w:pPr>
        <w:tabs>
          <w:tab w:val="num" w:pos="850"/>
        </w:tabs>
        <w:ind w:left="850" w:hanging="283"/>
      </w:pPr>
      <w:rPr>
        <w:rFonts w:ascii="Arial" w:hAnsi="Arial" w:cs="Arial"/>
      </w:rPr>
    </w:lvl>
    <w:lvl w:ilvl="2">
      <w:start w:val="1"/>
      <w:numFmt w:val="bullet"/>
      <w:pStyle w:val="RBulletsL3"/>
      <w:lvlText w:val=""/>
      <w:lvlJc w:val="left"/>
      <w:pPr>
        <w:tabs>
          <w:tab w:val="num" w:pos="1276"/>
        </w:tabs>
        <w:ind w:left="1276" w:hanging="284"/>
      </w:pPr>
      <w:rPr>
        <w:rFonts w:ascii="Wingdings" w:hAnsi="Wingdings" w:cs="Arial" w:hint="default"/>
      </w:rPr>
    </w:lvl>
    <w:lvl w:ilvl="3">
      <w:start w:val="1"/>
      <w:numFmt w:val="bullet"/>
      <w:pStyle w:val="RBulletsL4"/>
      <w:lvlText w:val="–"/>
      <w:lvlJc w:val="left"/>
      <w:pPr>
        <w:tabs>
          <w:tab w:val="num" w:pos="1701"/>
        </w:tabs>
        <w:ind w:left="1701" w:hanging="284"/>
      </w:pPr>
      <w:rPr>
        <w:rFonts w:ascii="Arial" w:hAnsi="Arial" w:cs="Arial"/>
      </w:rPr>
    </w:lvl>
    <w:lvl w:ilvl="4">
      <w:start w:val="1"/>
      <w:numFmt w:val="none"/>
      <w:suff w:val="nothing"/>
      <w:lvlText w:val=""/>
      <w:lvlJc w:val="left"/>
      <w:pPr>
        <w:ind w:left="1701" w:firstLine="0"/>
      </w:pPr>
      <w:rPr>
        <w:rFonts w:ascii="Arial" w:hAnsi="Arial" w:cs="Arial"/>
      </w:rPr>
    </w:lvl>
    <w:lvl w:ilvl="5">
      <w:start w:val="1"/>
      <w:numFmt w:val="none"/>
      <w:suff w:val="nothing"/>
      <w:lvlText w:val=""/>
      <w:lvlJc w:val="left"/>
      <w:pPr>
        <w:ind w:left="1276" w:firstLine="0"/>
      </w:pPr>
      <w:rPr>
        <w:rFonts w:ascii="Arial" w:hAnsi="Arial" w:cs="Arial"/>
      </w:rPr>
    </w:lvl>
    <w:lvl w:ilvl="6">
      <w:start w:val="1"/>
      <w:numFmt w:val="none"/>
      <w:suff w:val="nothing"/>
      <w:lvlText w:val=""/>
      <w:lvlJc w:val="left"/>
      <w:pPr>
        <w:ind w:left="850" w:firstLine="0"/>
      </w:pPr>
      <w:rPr>
        <w:rFonts w:ascii="Arial" w:hAnsi="Arial" w:cs="Arial"/>
      </w:rPr>
    </w:lvl>
    <w:lvl w:ilvl="7">
      <w:start w:val="1"/>
      <w:numFmt w:val="none"/>
      <w:suff w:val="nothing"/>
      <w:lvlText w:val=""/>
      <w:lvlJc w:val="left"/>
      <w:pPr>
        <w:ind w:left="425" w:firstLine="0"/>
      </w:pPr>
      <w:rPr>
        <w:rFonts w:ascii="Arial" w:hAnsi="Arial" w:cs="Arial"/>
      </w:rPr>
    </w:lvl>
    <w:lvl w:ilvl="8">
      <w:start w:val="1"/>
      <w:numFmt w:val="none"/>
      <w:suff w:val="nothing"/>
      <w:lvlText w:val=""/>
      <w:lvlJc w:val="left"/>
      <w:pPr>
        <w:ind w:left="2126" w:firstLine="0"/>
      </w:pPr>
      <w:rPr>
        <w:rFonts w:ascii="Arial" w:hAnsi="Arial" w:cs="Arial"/>
      </w:rPr>
    </w:lvl>
  </w:abstractNum>
  <w:abstractNum w:abstractNumId="40" w15:restartNumberingAfterBreak="0">
    <w:nsid w:val="41A2379E"/>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420D1F26"/>
    <w:multiLevelType w:val="hybridMultilevel"/>
    <w:tmpl w:val="28EEA680"/>
    <w:lvl w:ilvl="0" w:tplc="08090017">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467661F4"/>
    <w:multiLevelType w:val="hybridMultilevel"/>
    <w:tmpl w:val="44AE2A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48F0528C"/>
    <w:multiLevelType w:val="hybridMultilevel"/>
    <w:tmpl w:val="28C691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962096C"/>
    <w:multiLevelType w:val="multilevel"/>
    <w:tmpl w:val="60E2440E"/>
    <w:lvl w:ilvl="0">
      <w:start w:val="1"/>
      <w:numFmt w:val="decimal"/>
      <w:lvlText w:val="%1"/>
      <w:lvlJc w:val="left"/>
      <w:pPr>
        <w:ind w:left="363" w:hanging="360"/>
      </w:pPr>
      <w:rPr>
        <w:rFonts w:hint="default"/>
      </w:rPr>
    </w:lvl>
    <w:lvl w:ilvl="1">
      <w:start w:val="1"/>
      <w:numFmt w:val="decimal"/>
      <w:isLgl/>
      <w:lvlText w:val="%1.%2"/>
      <w:lvlJc w:val="left"/>
      <w:pPr>
        <w:ind w:left="363" w:hanging="360"/>
      </w:pPr>
      <w:rPr>
        <w:rFonts w:hint="default"/>
      </w:rPr>
    </w:lvl>
    <w:lvl w:ilvl="2">
      <w:start w:val="1"/>
      <w:numFmt w:val="decimal"/>
      <w:isLgl/>
      <w:lvlText w:val="%1.%2.%3"/>
      <w:lvlJc w:val="left"/>
      <w:pPr>
        <w:ind w:left="723" w:hanging="720"/>
      </w:pPr>
      <w:rPr>
        <w:rFonts w:hint="default"/>
      </w:rPr>
    </w:lvl>
    <w:lvl w:ilvl="3">
      <w:start w:val="1"/>
      <w:numFmt w:val="decimal"/>
      <w:isLgl/>
      <w:lvlText w:val="%1.%2.%3.%4"/>
      <w:lvlJc w:val="left"/>
      <w:pPr>
        <w:ind w:left="1083" w:hanging="1080"/>
      </w:pPr>
      <w:rPr>
        <w:rFonts w:hint="default"/>
      </w:rPr>
    </w:lvl>
    <w:lvl w:ilvl="4">
      <w:start w:val="1"/>
      <w:numFmt w:val="decimal"/>
      <w:isLgl/>
      <w:lvlText w:val="%1.%2.%3.%4.%5"/>
      <w:lvlJc w:val="left"/>
      <w:pPr>
        <w:ind w:left="1083" w:hanging="1080"/>
      </w:pPr>
      <w:rPr>
        <w:rFonts w:hint="default"/>
      </w:rPr>
    </w:lvl>
    <w:lvl w:ilvl="5">
      <w:start w:val="1"/>
      <w:numFmt w:val="decimal"/>
      <w:isLgl/>
      <w:lvlText w:val="%1.%2.%3.%4.%5.%6"/>
      <w:lvlJc w:val="left"/>
      <w:pPr>
        <w:ind w:left="1443" w:hanging="1440"/>
      </w:pPr>
      <w:rPr>
        <w:rFonts w:hint="default"/>
      </w:rPr>
    </w:lvl>
    <w:lvl w:ilvl="6">
      <w:start w:val="1"/>
      <w:numFmt w:val="decimal"/>
      <w:isLgl/>
      <w:lvlText w:val="%1.%2.%3.%4.%5.%6.%7"/>
      <w:lvlJc w:val="left"/>
      <w:pPr>
        <w:ind w:left="1443" w:hanging="1440"/>
      </w:pPr>
      <w:rPr>
        <w:rFonts w:hint="default"/>
      </w:rPr>
    </w:lvl>
    <w:lvl w:ilvl="7">
      <w:start w:val="1"/>
      <w:numFmt w:val="decimal"/>
      <w:isLgl/>
      <w:lvlText w:val="%1.%2.%3.%4.%5.%6.%7.%8"/>
      <w:lvlJc w:val="left"/>
      <w:pPr>
        <w:ind w:left="1803" w:hanging="1800"/>
      </w:pPr>
      <w:rPr>
        <w:rFonts w:hint="default"/>
      </w:rPr>
    </w:lvl>
    <w:lvl w:ilvl="8">
      <w:start w:val="1"/>
      <w:numFmt w:val="decimal"/>
      <w:isLgl/>
      <w:lvlText w:val="%1.%2.%3.%4.%5.%6.%7.%8.%9"/>
      <w:lvlJc w:val="left"/>
      <w:pPr>
        <w:ind w:left="1803" w:hanging="1800"/>
      </w:pPr>
      <w:rPr>
        <w:rFonts w:hint="default"/>
      </w:rPr>
    </w:lvl>
  </w:abstractNum>
  <w:abstractNum w:abstractNumId="45" w15:restartNumberingAfterBreak="0">
    <w:nsid w:val="49B67E9F"/>
    <w:multiLevelType w:val="multilevel"/>
    <w:tmpl w:val="EA5A0078"/>
    <w:lvl w:ilvl="0">
      <w:start w:val="4"/>
      <w:numFmt w:val="decimal"/>
      <w:lvlText w:val="%1"/>
      <w:lvlJc w:val="left"/>
      <w:pPr>
        <w:ind w:left="405" w:hanging="405"/>
      </w:pPr>
      <w:rPr>
        <w:rFonts w:hint="default"/>
      </w:rPr>
    </w:lvl>
    <w:lvl w:ilvl="1">
      <w:start w:val="1"/>
      <w:numFmt w:val="decimal"/>
      <w:lvlText w:val="%1.%2"/>
      <w:lvlJc w:val="left"/>
      <w:pPr>
        <w:ind w:left="721" w:hanging="720"/>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1083" w:hanging="1080"/>
      </w:pPr>
      <w:rPr>
        <w:rFonts w:hint="default"/>
      </w:rPr>
    </w:lvl>
    <w:lvl w:ilvl="4">
      <w:start w:val="1"/>
      <w:numFmt w:val="decimal"/>
      <w:lvlText w:val="%1.%2.%3.%4.%5"/>
      <w:lvlJc w:val="left"/>
      <w:pPr>
        <w:ind w:left="1444" w:hanging="1440"/>
      </w:pPr>
      <w:rPr>
        <w:rFonts w:hint="default"/>
      </w:rPr>
    </w:lvl>
    <w:lvl w:ilvl="5">
      <w:start w:val="1"/>
      <w:numFmt w:val="decimal"/>
      <w:lvlText w:val="%1.%2.%3.%4.%5.%6"/>
      <w:lvlJc w:val="left"/>
      <w:pPr>
        <w:ind w:left="1445" w:hanging="1440"/>
      </w:pPr>
      <w:rPr>
        <w:rFonts w:hint="default"/>
      </w:rPr>
    </w:lvl>
    <w:lvl w:ilvl="6">
      <w:start w:val="1"/>
      <w:numFmt w:val="decimal"/>
      <w:lvlText w:val="%1.%2.%3.%4.%5.%6.%7"/>
      <w:lvlJc w:val="left"/>
      <w:pPr>
        <w:ind w:left="1806" w:hanging="1800"/>
      </w:pPr>
      <w:rPr>
        <w:rFonts w:hint="default"/>
      </w:rPr>
    </w:lvl>
    <w:lvl w:ilvl="7">
      <w:start w:val="1"/>
      <w:numFmt w:val="decimal"/>
      <w:lvlText w:val="%1.%2.%3.%4.%5.%6.%7.%8"/>
      <w:lvlJc w:val="left"/>
      <w:pPr>
        <w:ind w:left="1807" w:hanging="1800"/>
      </w:pPr>
      <w:rPr>
        <w:rFonts w:hint="default"/>
      </w:rPr>
    </w:lvl>
    <w:lvl w:ilvl="8">
      <w:start w:val="1"/>
      <w:numFmt w:val="decimal"/>
      <w:lvlText w:val="%1.%2.%3.%4.%5.%6.%7.%8.%9"/>
      <w:lvlJc w:val="left"/>
      <w:pPr>
        <w:ind w:left="2168" w:hanging="2160"/>
      </w:pPr>
      <w:rPr>
        <w:rFonts w:hint="default"/>
      </w:rPr>
    </w:lvl>
  </w:abstractNum>
  <w:abstractNum w:abstractNumId="46" w15:restartNumberingAfterBreak="0">
    <w:nsid w:val="49E228AE"/>
    <w:multiLevelType w:val="hybridMultilevel"/>
    <w:tmpl w:val="B9884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AD62CB9"/>
    <w:multiLevelType w:val="hybridMultilevel"/>
    <w:tmpl w:val="FF96A2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B3747F1"/>
    <w:multiLevelType w:val="hybridMultilevel"/>
    <w:tmpl w:val="3D1A8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DC9633B"/>
    <w:multiLevelType w:val="hybridMultilevel"/>
    <w:tmpl w:val="1F22C1F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4EB24978"/>
    <w:multiLevelType w:val="hybridMultilevel"/>
    <w:tmpl w:val="A5E84B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4EDA4F42"/>
    <w:multiLevelType w:val="hybridMultilevel"/>
    <w:tmpl w:val="DDC2DC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52A71006"/>
    <w:multiLevelType w:val="hybridMultilevel"/>
    <w:tmpl w:val="EE32B1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628078A"/>
    <w:multiLevelType w:val="multilevel"/>
    <w:tmpl w:val="2E24832C"/>
    <w:lvl w:ilvl="0">
      <w:start w:val="1"/>
      <w:numFmt w:val="decimal"/>
      <w:lvlText w:val="%1."/>
      <w:lvlJc w:val="left"/>
      <w:pPr>
        <w:ind w:left="360" w:hanging="360"/>
      </w:pPr>
    </w:lvl>
    <w:lvl w:ilvl="1">
      <w:start w:val="1"/>
      <w:numFmt w:val="decimal"/>
      <w:isLgl/>
      <w:lvlText w:val="%1.%2"/>
      <w:lvlJc w:val="left"/>
      <w:pPr>
        <w:ind w:left="363" w:hanging="360"/>
      </w:pPr>
      <w:rPr>
        <w:rFonts w:hint="default"/>
      </w:rPr>
    </w:lvl>
    <w:lvl w:ilvl="2">
      <w:start w:val="1"/>
      <w:numFmt w:val="decimal"/>
      <w:isLgl/>
      <w:lvlText w:val="%1.%2.%3"/>
      <w:lvlJc w:val="left"/>
      <w:pPr>
        <w:ind w:left="726" w:hanging="720"/>
      </w:pPr>
      <w:rPr>
        <w:rFonts w:hint="default"/>
      </w:rPr>
    </w:lvl>
    <w:lvl w:ilvl="3">
      <w:start w:val="1"/>
      <w:numFmt w:val="decimal"/>
      <w:isLgl/>
      <w:lvlText w:val="%1.%2.%3.%4"/>
      <w:lvlJc w:val="left"/>
      <w:pPr>
        <w:ind w:left="1089" w:hanging="1080"/>
      </w:pPr>
      <w:rPr>
        <w:rFonts w:hint="default"/>
      </w:rPr>
    </w:lvl>
    <w:lvl w:ilvl="4">
      <w:start w:val="1"/>
      <w:numFmt w:val="decimal"/>
      <w:isLgl/>
      <w:lvlText w:val="%1.%2.%3.%4.%5"/>
      <w:lvlJc w:val="left"/>
      <w:pPr>
        <w:ind w:left="1092" w:hanging="1080"/>
      </w:pPr>
      <w:rPr>
        <w:rFonts w:hint="default"/>
      </w:rPr>
    </w:lvl>
    <w:lvl w:ilvl="5">
      <w:start w:val="1"/>
      <w:numFmt w:val="decimal"/>
      <w:isLgl/>
      <w:lvlText w:val="%1.%2.%3.%4.%5.%6"/>
      <w:lvlJc w:val="left"/>
      <w:pPr>
        <w:ind w:left="1455" w:hanging="1440"/>
      </w:pPr>
      <w:rPr>
        <w:rFonts w:hint="default"/>
      </w:rPr>
    </w:lvl>
    <w:lvl w:ilvl="6">
      <w:start w:val="1"/>
      <w:numFmt w:val="decimal"/>
      <w:isLgl/>
      <w:lvlText w:val="%1.%2.%3.%4.%5.%6.%7"/>
      <w:lvlJc w:val="left"/>
      <w:pPr>
        <w:ind w:left="1458" w:hanging="1440"/>
      </w:pPr>
      <w:rPr>
        <w:rFonts w:hint="default"/>
      </w:rPr>
    </w:lvl>
    <w:lvl w:ilvl="7">
      <w:start w:val="1"/>
      <w:numFmt w:val="decimal"/>
      <w:isLgl/>
      <w:lvlText w:val="%1.%2.%3.%4.%5.%6.%7.%8"/>
      <w:lvlJc w:val="left"/>
      <w:pPr>
        <w:ind w:left="1821" w:hanging="1800"/>
      </w:pPr>
      <w:rPr>
        <w:rFonts w:hint="default"/>
      </w:rPr>
    </w:lvl>
    <w:lvl w:ilvl="8">
      <w:start w:val="1"/>
      <w:numFmt w:val="decimal"/>
      <w:isLgl/>
      <w:lvlText w:val="%1.%2.%3.%4.%5.%6.%7.%8.%9"/>
      <w:lvlJc w:val="left"/>
      <w:pPr>
        <w:ind w:left="1824" w:hanging="1800"/>
      </w:pPr>
      <w:rPr>
        <w:rFonts w:hint="default"/>
      </w:rPr>
    </w:lvl>
  </w:abstractNum>
  <w:abstractNum w:abstractNumId="54" w15:restartNumberingAfterBreak="0">
    <w:nsid w:val="580466FD"/>
    <w:multiLevelType w:val="hybridMultilevel"/>
    <w:tmpl w:val="852ED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A87487F"/>
    <w:multiLevelType w:val="hybridMultilevel"/>
    <w:tmpl w:val="0E5AFCE4"/>
    <w:lvl w:ilvl="0" w:tplc="773EFD8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AED05FF"/>
    <w:multiLevelType w:val="multilevel"/>
    <w:tmpl w:val="55F4F464"/>
    <w:lvl w:ilvl="0">
      <w:start w:val="2"/>
      <w:numFmt w:val="decimal"/>
      <w:lvlText w:val="%1"/>
      <w:lvlJc w:val="left"/>
      <w:pPr>
        <w:ind w:left="405" w:hanging="405"/>
      </w:pPr>
      <w:rPr>
        <w:rFonts w:hint="default"/>
      </w:rPr>
    </w:lvl>
    <w:lvl w:ilvl="1">
      <w:start w:val="2"/>
      <w:numFmt w:val="decimal"/>
      <w:lvlText w:val="%1.%2"/>
      <w:lvlJc w:val="left"/>
      <w:pPr>
        <w:ind w:left="723" w:hanging="72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57" w15:restartNumberingAfterBreak="0">
    <w:nsid w:val="5B6C02D1"/>
    <w:multiLevelType w:val="multilevel"/>
    <w:tmpl w:val="98686370"/>
    <w:lvl w:ilvl="0">
      <w:start w:val="5"/>
      <w:numFmt w:val="decimal"/>
      <w:lvlText w:val="%1"/>
      <w:lvlJc w:val="left"/>
      <w:pPr>
        <w:ind w:left="405" w:hanging="405"/>
      </w:pPr>
      <w:rPr>
        <w:rFonts w:hint="default"/>
      </w:rPr>
    </w:lvl>
    <w:lvl w:ilvl="1">
      <w:start w:val="1"/>
      <w:numFmt w:val="decimal"/>
      <w:lvlText w:val="%1.%2"/>
      <w:lvlJc w:val="left"/>
      <w:pPr>
        <w:ind w:left="723" w:hanging="72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58" w15:restartNumberingAfterBreak="0">
    <w:nsid w:val="5BA87820"/>
    <w:multiLevelType w:val="hybridMultilevel"/>
    <w:tmpl w:val="D68E7C54"/>
    <w:lvl w:ilvl="0" w:tplc="074E9D44">
      <w:start w:val="5"/>
      <w:numFmt w:val="bullet"/>
      <w:lvlText w:val=""/>
      <w:lvlJc w:val="left"/>
      <w:pPr>
        <w:ind w:left="360" w:hanging="360"/>
      </w:pPr>
      <w:rPr>
        <w:rFonts w:ascii="Symbol" w:eastAsiaTheme="minorHAnsi" w:hAnsi="Symbol"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5CD05AC9"/>
    <w:multiLevelType w:val="hybridMultilevel"/>
    <w:tmpl w:val="10F276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5D0F5C28"/>
    <w:multiLevelType w:val="hybridMultilevel"/>
    <w:tmpl w:val="5374F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D820342"/>
    <w:multiLevelType w:val="multilevel"/>
    <w:tmpl w:val="443C0896"/>
    <w:lvl w:ilvl="0">
      <w:start w:val="3"/>
      <w:numFmt w:val="decimal"/>
      <w:lvlText w:val="%1"/>
      <w:lvlJc w:val="left"/>
      <w:pPr>
        <w:ind w:left="360" w:hanging="360"/>
      </w:pPr>
      <w:rPr>
        <w:rFonts w:hint="default"/>
      </w:rPr>
    </w:lvl>
    <w:lvl w:ilvl="1">
      <w:start w:val="1"/>
      <w:numFmt w:val="decimal"/>
      <w:lvlText w:val="%1.%2"/>
      <w:lvlJc w:val="left"/>
      <w:pPr>
        <w:ind w:left="363" w:hanging="36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092" w:hanging="108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458" w:hanging="144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1824" w:hanging="1800"/>
      </w:pPr>
      <w:rPr>
        <w:rFonts w:hint="default"/>
      </w:rPr>
    </w:lvl>
  </w:abstractNum>
  <w:abstractNum w:abstractNumId="62" w15:restartNumberingAfterBreak="0">
    <w:nsid w:val="5E286CD3"/>
    <w:multiLevelType w:val="multilevel"/>
    <w:tmpl w:val="EDCC4BB6"/>
    <w:lvl w:ilvl="0">
      <w:start w:val="6"/>
      <w:numFmt w:val="decimal"/>
      <w:lvlText w:val="%1"/>
      <w:lvlJc w:val="left"/>
      <w:pPr>
        <w:tabs>
          <w:tab w:val="num" w:pos="1080"/>
        </w:tabs>
        <w:ind w:left="1080" w:hanging="1080"/>
      </w:pPr>
      <w:rPr>
        <w:rFonts w:hint="default"/>
      </w:rPr>
    </w:lvl>
    <w:lvl w:ilvl="1">
      <w:start w:val="1"/>
      <w:numFmt w:val="decimalZero"/>
      <w:pStyle w:val="TG41"/>
      <w:lvlText w:val="1.%2"/>
      <w:lvlJc w:val="left"/>
      <w:pPr>
        <w:tabs>
          <w:tab w:val="num" w:pos="864"/>
        </w:tabs>
        <w:ind w:left="864" w:hanging="864"/>
      </w:pPr>
      <w:rPr>
        <w:rFonts w:ascii="Arial" w:hAnsi="Arial" w:hint="default"/>
        <w:b w:val="0"/>
        <w:i w:val="0"/>
        <w:sz w:val="2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3" w15:restartNumberingAfterBreak="0">
    <w:nsid w:val="5F2A18C2"/>
    <w:multiLevelType w:val="hybridMultilevel"/>
    <w:tmpl w:val="1EBA4D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60171DCF"/>
    <w:multiLevelType w:val="hybridMultilevel"/>
    <w:tmpl w:val="ACACD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06B41B7"/>
    <w:multiLevelType w:val="hybridMultilevel"/>
    <w:tmpl w:val="AEF686E4"/>
    <w:lvl w:ilvl="0" w:tplc="04090001">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1497F82"/>
    <w:multiLevelType w:val="hybridMultilevel"/>
    <w:tmpl w:val="43020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617470DD"/>
    <w:multiLevelType w:val="hybridMultilevel"/>
    <w:tmpl w:val="4112B3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62F76785"/>
    <w:multiLevelType w:val="hybridMultilevel"/>
    <w:tmpl w:val="41FCCC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65B4769E"/>
    <w:multiLevelType w:val="multilevel"/>
    <w:tmpl w:val="DC8A5C5A"/>
    <w:lvl w:ilvl="0">
      <w:start w:val="1"/>
      <w:numFmt w:val="decimal"/>
      <w:lvlText w:val="%1"/>
      <w:lvlJc w:val="left"/>
      <w:pPr>
        <w:ind w:left="405" w:hanging="405"/>
      </w:pPr>
      <w:rPr>
        <w:rFonts w:hint="default"/>
      </w:rPr>
    </w:lvl>
    <w:lvl w:ilvl="1">
      <w:start w:val="1"/>
      <w:numFmt w:val="decimal"/>
      <w:lvlText w:val="%1.%2"/>
      <w:lvlJc w:val="left"/>
      <w:pPr>
        <w:ind w:left="723" w:hanging="720"/>
      </w:pPr>
      <w:rPr>
        <w:rFonts w:hint="default"/>
      </w:rPr>
    </w:lvl>
    <w:lvl w:ilvl="2">
      <w:start w:val="1"/>
      <w:numFmt w:val="decimal"/>
      <w:lvlText w:val="%1.%2.%3"/>
      <w:lvlJc w:val="left"/>
      <w:pPr>
        <w:ind w:left="726" w:hanging="720"/>
      </w:pPr>
      <w:rPr>
        <w:rFonts w:hint="default"/>
      </w:rPr>
    </w:lvl>
    <w:lvl w:ilvl="3">
      <w:start w:val="1"/>
      <w:numFmt w:val="decimal"/>
      <w:lvlText w:val="%1.%2.%3.%4"/>
      <w:lvlJc w:val="left"/>
      <w:pPr>
        <w:ind w:left="1089" w:hanging="1080"/>
      </w:pPr>
      <w:rPr>
        <w:rFonts w:hint="default"/>
      </w:rPr>
    </w:lvl>
    <w:lvl w:ilvl="4">
      <w:start w:val="1"/>
      <w:numFmt w:val="decimal"/>
      <w:lvlText w:val="%1.%2.%3.%4.%5"/>
      <w:lvlJc w:val="left"/>
      <w:pPr>
        <w:ind w:left="1452" w:hanging="1440"/>
      </w:pPr>
      <w:rPr>
        <w:rFonts w:hint="default"/>
      </w:rPr>
    </w:lvl>
    <w:lvl w:ilvl="5">
      <w:start w:val="1"/>
      <w:numFmt w:val="decimal"/>
      <w:lvlText w:val="%1.%2.%3.%4.%5.%6"/>
      <w:lvlJc w:val="left"/>
      <w:pPr>
        <w:ind w:left="1455" w:hanging="1440"/>
      </w:pPr>
      <w:rPr>
        <w:rFonts w:hint="default"/>
      </w:rPr>
    </w:lvl>
    <w:lvl w:ilvl="6">
      <w:start w:val="1"/>
      <w:numFmt w:val="decimal"/>
      <w:lvlText w:val="%1.%2.%3.%4.%5.%6.%7"/>
      <w:lvlJc w:val="left"/>
      <w:pPr>
        <w:ind w:left="1818" w:hanging="1800"/>
      </w:pPr>
      <w:rPr>
        <w:rFonts w:hint="default"/>
      </w:rPr>
    </w:lvl>
    <w:lvl w:ilvl="7">
      <w:start w:val="1"/>
      <w:numFmt w:val="decimal"/>
      <w:lvlText w:val="%1.%2.%3.%4.%5.%6.%7.%8"/>
      <w:lvlJc w:val="left"/>
      <w:pPr>
        <w:ind w:left="1821" w:hanging="1800"/>
      </w:pPr>
      <w:rPr>
        <w:rFonts w:hint="default"/>
      </w:rPr>
    </w:lvl>
    <w:lvl w:ilvl="8">
      <w:start w:val="1"/>
      <w:numFmt w:val="decimal"/>
      <w:lvlText w:val="%1.%2.%3.%4.%5.%6.%7.%8.%9"/>
      <w:lvlJc w:val="left"/>
      <w:pPr>
        <w:ind w:left="2184" w:hanging="2160"/>
      </w:pPr>
      <w:rPr>
        <w:rFonts w:hint="default"/>
      </w:rPr>
    </w:lvl>
  </w:abstractNum>
  <w:abstractNum w:abstractNumId="70" w15:restartNumberingAfterBreak="0">
    <w:nsid w:val="668720E8"/>
    <w:multiLevelType w:val="multilevel"/>
    <w:tmpl w:val="73702AC8"/>
    <w:lvl w:ilvl="0">
      <w:start w:val="1"/>
      <w:numFmt w:val="decimal"/>
      <w:lvlRestart w:val="0"/>
      <w:pStyle w:val="RNumberedListL1"/>
      <w:lvlText w:val="%1)"/>
      <w:lvlJc w:val="left"/>
      <w:pPr>
        <w:tabs>
          <w:tab w:val="num" w:pos="425"/>
        </w:tabs>
        <w:ind w:left="425" w:hanging="425"/>
      </w:pPr>
      <w:rPr>
        <w:rFonts w:ascii="Arial" w:hAnsi="Arial" w:cs="Arial"/>
      </w:rPr>
    </w:lvl>
    <w:lvl w:ilvl="1">
      <w:start w:val="1"/>
      <w:numFmt w:val="lowerLetter"/>
      <w:pStyle w:val="RNumberedListL2"/>
      <w:lvlText w:val="(%2)"/>
      <w:lvlJc w:val="left"/>
      <w:pPr>
        <w:tabs>
          <w:tab w:val="num" w:pos="850"/>
        </w:tabs>
        <w:ind w:left="850" w:hanging="425"/>
      </w:pPr>
      <w:rPr>
        <w:rFonts w:ascii="Arial" w:hAnsi="Arial" w:cs="Arial"/>
      </w:rPr>
    </w:lvl>
    <w:lvl w:ilvl="2">
      <w:start w:val="1"/>
      <w:numFmt w:val="lowerRoman"/>
      <w:pStyle w:val="RNumberedListL3"/>
      <w:lvlText w:val="(%3)"/>
      <w:lvlJc w:val="left"/>
      <w:pPr>
        <w:tabs>
          <w:tab w:val="num" w:pos="1276"/>
        </w:tabs>
        <w:ind w:left="1276" w:hanging="426"/>
      </w:pPr>
      <w:rPr>
        <w:rFonts w:ascii="Arial" w:hAnsi="Arial" w:cs="Arial"/>
      </w:rPr>
    </w:lvl>
    <w:lvl w:ilvl="3">
      <w:start w:val="1"/>
      <w:numFmt w:val="none"/>
      <w:suff w:val="nothing"/>
      <w:lvlText w:val=""/>
      <w:lvlJc w:val="left"/>
      <w:pPr>
        <w:ind w:left="1276" w:firstLine="0"/>
      </w:pPr>
      <w:rPr>
        <w:rFonts w:ascii="Arial" w:hAnsi="Arial" w:cs="Arial"/>
      </w:rPr>
    </w:lvl>
    <w:lvl w:ilvl="4">
      <w:start w:val="1"/>
      <w:numFmt w:val="none"/>
      <w:suff w:val="nothing"/>
      <w:lvlText w:val=""/>
      <w:lvlJc w:val="left"/>
      <w:pPr>
        <w:ind w:left="850" w:firstLine="0"/>
      </w:pPr>
      <w:rPr>
        <w:rFonts w:ascii="Arial" w:hAnsi="Arial" w:cs="Arial"/>
      </w:rPr>
    </w:lvl>
    <w:lvl w:ilvl="5">
      <w:start w:val="1"/>
      <w:numFmt w:val="none"/>
      <w:suff w:val="nothing"/>
      <w:lvlText w:val=""/>
      <w:lvlJc w:val="left"/>
      <w:pPr>
        <w:ind w:left="425" w:firstLine="0"/>
      </w:pPr>
      <w:rPr>
        <w:rFonts w:ascii="Arial" w:hAnsi="Arial" w:cs="Arial"/>
      </w:rPr>
    </w:lvl>
    <w:lvl w:ilvl="6">
      <w:start w:val="1"/>
      <w:numFmt w:val="none"/>
      <w:suff w:val="nothing"/>
      <w:lvlText w:val=""/>
      <w:lvlJc w:val="left"/>
      <w:pPr>
        <w:ind w:left="1701" w:firstLine="0"/>
      </w:pPr>
      <w:rPr>
        <w:rFonts w:ascii="Arial" w:hAnsi="Arial" w:cs="Arial"/>
      </w:rPr>
    </w:lvl>
    <w:lvl w:ilvl="7">
      <w:start w:val="1"/>
      <w:numFmt w:val="none"/>
      <w:suff w:val="nothing"/>
      <w:lvlText w:val=""/>
      <w:lvlJc w:val="left"/>
      <w:pPr>
        <w:ind w:left="2126" w:firstLine="0"/>
      </w:pPr>
      <w:rPr>
        <w:rFonts w:ascii="Arial" w:hAnsi="Arial" w:cs="Arial"/>
      </w:rPr>
    </w:lvl>
    <w:lvl w:ilvl="8">
      <w:start w:val="1"/>
      <w:numFmt w:val="none"/>
      <w:suff w:val="nothing"/>
      <w:lvlText w:val=""/>
      <w:lvlJc w:val="left"/>
      <w:pPr>
        <w:ind w:left="2551" w:firstLine="0"/>
      </w:pPr>
      <w:rPr>
        <w:rFonts w:ascii="Arial" w:hAnsi="Arial" w:cs="Arial"/>
      </w:rPr>
    </w:lvl>
  </w:abstractNum>
  <w:abstractNum w:abstractNumId="71" w15:restartNumberingAfterBreak="0">
    <w:nsid w:val="66E77A9F"/>
    <w:multiLevelType w:val="hybridMultilevel"/>
    <w:tmpl w:val="13388850"/>
    <w:lvl w:ilvl="0" w:tplc="5DD2C398">
      <w:numFmt w:val="bullet"/>
      <w:lvlText w:val=""/>
      <w:lvlJc w:val="left"/>
      <w:pPr>
        <w:ind w:left="36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A4C3E7B"/>
    <w:multiLevelType w:val="hybridMultilevel"/>
    <w:tmpl w:val="89504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E481321"/>
    <w:multiLevelType w:val="hybridMultilevel"/>
    <w:tmpl w:val="3B36F1D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6EC677C9"/>
    <w:multiLevelType w:val="hybridMultilevel"/>
    <w:tmpl w:val="86C8073A"/>
    <w:lvl w:ilvl="0" w:tplc="5A1687AE">
      <w:start w:val="1"/>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 w15:restartNumberingAfterBreak="0">
    <w:nsid w:val="6FC94419"/>
    <w:multiLevelType w:val="hybridMultilevel"/>
    <w:tmpl w:val="C3E499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729936F3"/>
    <w:multiLevelType w:val="hybridMultilevel"/>
    <w:tmpl w:val="65304608"/>
    <w:lvl w:ilvl="0" w:tplc="FD204EC0">
      <w:numFmt w:val="bullet"/>
      <w:lvlText w:val="-"/>
      <w:lvlJc w:val="left"/>
      <w:pPr>
        <w:ind w:left="360" w:hanging="360"/>
      </w:pPr>
      <w:rPr>
        <w:rFonts w:ascii="EvoBQ-Light" w:eastAsiaTheme="minorHAnsi" w:hAnsi="EvoBQ-Light" w:cs="EvoBQ-Light" w:hint="default"/>
      </w:rPr>
    </w:lvl>
    <w:lvl w:ilvl="1" w:tplc="F12E0236">
      <w:numFmt w:val="bullet"/>
      <w:lvlText w:val="•"/>
      <w:lvlJc w:val="left"/>
      <w:pPr>
        <w:ind w:left="1440" w:hanging="720"/>
      </w:pPr>
      <w:rPr>
        <w:rFonts w:ascii="Calibri" w:eastAsiaTheme="minorHAnsi" w:hAnsi="Calibri"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78A17E91"/>
    <w:multiLevelType w:val="multilevel"/>
    <w:tmpl w:val="4748E4FC"/>
    <w:name w:val="RLTforRAppendixH1"/>
    <w:lvl w:ilvl="0">
      <w:start w:val="1"/>
      <w:numFmt w:val="decimal"/>
      <w:lvlRestart w:val="0"/>
      <w:pStyle w:val="RAppendixH1"/>
      <w:suff w:val="space"/>
      <w:lvlText w:val="Appendix %1"/>
      <w:lvlJc w:val="left"/>
      <w:pPr>
        <w:ind w:left="-850" w:firstLine="0"/>
      </w:pPr>
      <w:rPr>
        <w:rFonts w:ascii="Arial" w:hAnsi="Arial" w:cs="Arial"/>
      </w:rPr>
    </w:lvl>
    <w:lvl w:ilvl="1">
      <w:start w:val="1"/>
      <w:numFmt w:val="upperLetter"/>
      <w:pStyle w:val="RAppendixH2"/>
      <w:suff w:val="space"/>
      <w:lvlText w:val="Appendix %1%2"/>
      <w:lvlJc w:val="left"/>
      <w:pPr>
        <w:ind w:left="-850" w:firstLine="0"/>
      </w:pPr>
      <w:rPr>
        <w:rFonts w:ascii="Arial" w:hAnsi="Arial" w:cs="Arial"/>
      </w:rPr>
    </w:lvl>
    <w:lvl w:ilvl="2">
      <w:start w:val="1"/>
      <w:numFmt w:val="none"/>
      <w:suff w:val="space"/>
      <w:lvlText w:val=""/>
      <w:lvlJc w:val="left"/>
      <w:pPr>
        <w:ind w:left="-850" w:firstLine="0"/>
      </w:pPr>
      <w:rPr>
        <w:rFonts w:ascii="Arial" w:hAnsi="Arial" w:cs="Arial"/>
      </w:rPr>
    </w:lvl>
    <w:lvl w:ilvl="3">
      <w:start w:val="1"/>
      <w:numFmt w:val="none"/>
      <w:suff w:val="space"/>
      <w:lvlText w:val=""/>
      <w:lvlJc w:val="left"/>
      <w:pPr>
        <w:ind w:left="-850" w:firstLine="0"/>
      </w:pPr>
      <w:rPr>
        <w:rFonts w:ascii="Arial" w:hAnsi="Arial" w:cs="Arial"/>
      </w:rPr>
    </w:lvl>
    <w:lvl w:ilvl="4">
      <w:start w:val="1"/>
      <w:numFmt w:val="none"/>
      <w:suff w:val="space"/>
      <w:lvlText w:val=""/>
      <w:lvlJc w:val="left"/>
      <w:pPr>
        <w:ind w:left="-850" w:firstLine="0"/>
      </w:pPr>
      <w:rPr>
        <w:rFonts w:ascii="Arial" w:hAnsi="Arial" w:cs="Arial"/>
      </w:rPr>
    </w:lvl>
    <w:lvl w:ilvl="5">
      <w:start w:val="1"/>
      <w:numFmt w:val="none"/>
      <w:suff w:val="space"/>
      <w:lvlText w:val=""/>
      <w:lvlJc w:val="left"/>
      <w:pPr>
        <w:ind w:left="-850" w:firstLine="0"/>
      </w:pPr>
      <w:rPr>
        <w:rFonts w:ascii="Arial" w:hAnsi="Arial" w:cs="Arial"/>
      </w:rPr>
    </w:lvl>
    <w:lvl w:ilvl="6">
      <w:start w:val="1"/>
      <w:numFmt w:val="none"/>
      <w:suff w:val="space"/>
      <w:lvlText w:val=""/>
      <w:lvlJc w:val="left"/>
      <w:pPr>
        <w:ind w:left="-850" w:firstLine="0"/>
      </w:pPr>
      <w:rPr>
        <w:rFonts w:ascii="Arial" w:hAnsi="Arial" w:cs="Arial"/>
      </w:rPr>
    </w:lvl>
    <w:lvl w:ilvl="7">
      <w:start w:val="1"/>
      <w:numFmt w:val="none"/>
      <w:suff w:val="space"/>
      <w:lvlText w:val=""/>
      <w:lvlJc w:val="left"/>
      <w:pPr>
        <w:ind w:left="-850" w:firstLine="0"/>
      </w:pPr>
      <w:rPr>
        <w:rFonts w:ascii="Arial" w:hAnsi="Arial" w:cs="Arial"/>
      </w:rPr>
    </w:lvl>
    <w:lvl w:ilvl="8">
      <w:start w:val="1"/>
      <w:numFmt w:val="none"/>
      <w:suff w:val="space"/>
      <w:lvlText w:val=""/>
      <w:lvlJc w:val="left"/>
      <w:pPr>
        <w:ind w:left="-850" w:firstLine="0"/>
      </w:pPr>
      <w:rPr>
        <w:rFonts w:ascii="Arial" w:hAnsi="Arial" w:cs="Arial"/>
      </w:rPr>
    </w:lvl>
  </w:abstractNum>
  <w:abstractNum w:abstractNumId="79" w15:restartNumberingAfterBreak="0">
    <w:nsid w:val="795755B4"/>
    <w:multiLevelType w:val="hybridMultilevel"/>
    <w:tmpl w:val="34E6C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F984C9C"/>
    <w:multiLevelType w:val="multilevel"/>
    <w:tmpl w:val="CF96662A"/>
    <w:name w:val="RLTforRST&amp;C1"/>
    <w:lvl w:ilvl="0">
      <w:start w:val="1"/>
      <w:numFmt w:val="decimal"/>
      <w:lvlRestart w:val="0"/>
      <w:pStyle w:val="RicardoSTC1"/>
      <w:lvlText w:val="%1"/>
      <w:lvlJc w:val="left"/>
      <w:pPr>
        <w:tabs>
          <w:tab w:val="num" w:pos="425"/>
        </w:tabs>
        <w:ind w:left="425" w:hanging="425"/>
      </w:pPr>
      <w:rPr>
        <w:rFonts w:ascii="Arial" w:hAnsi="Arial" w:cs="Arial"/>
      </w:rPr>
    </w:lvl>
    <w:lvl w:ilvl="1">
      <w:start w:val="1"/>
      <w:numFmt w:val="decimal"/>
      <w:pStyle w:val="RicardoSTC2"/>
      <w:lvlText w:val="%1.%2"/>
      <w:lvlJc w:val="left"/>
      <w:pPr>
        <w:tabs>
          <w:tab w:val="num" w:pos="425"/>
        </w:tabs>
        <w:ind w:left="425" w:hanging="425"/>
      </w:pPr>
      <w:rPr>
        <w:rFonts w:ascii="Arial" w:hAnsi="Arial" w:cs="Arial"/>
      </w:rPr>
    </w:lvl>
    <w:lvl w:ilvl="2">
      <w:start w:val="1"/>
      <w:numFmt w:val="none"/>
      <w:pStyle w:val="RicardoSTC2follow"/>
      <w:suff w:val="nothing"/>
      <w:lvlText w:val=""/>
      <w:lvlJc w:val="left"/>
      <w:pPr>
        <w:ind w:left="425" w:firstLine="0"/>
      </w:pPr>
      <w:rPr>
        <w:rFonts w:ascii="Arial" w:hAnsi="Arial" w:cs="Arial"/>
      </w:rPr>
    </w:lvl>
    <w:lvl w:ilvl="3">
      <w:start w:val="1"/>
      <w:numFmt w:val="decimal"/>
      <w:pStyle w:val="RicardoSTC3"/>
      <w:lvlText w:val="%1.%2.%4"/>
      <w:lvlJc w:val="left"/>
      <w:pPr>
        <w:tabs>
          <w:tab w:val="num" w:pos="850"/>
        </w:tabs>
        <w:ind w:left="850" w:hanging="425"/>
      </w:pPr>
      <w:rPr>
        <w:rFonts w:ascii="Arial" w:hAnsi="Arial" w:cs="Arial"/>
      </w:rPr>
    </w:lvl>
    <w:lvl w:ilvl="4">
      <w:start w:val="1"/>
      <w:numFmt w:val="none"/>
      <w:pStyle w:val="RicardoSTC4"/>
      <w:suff w:val="nothing"/>
      <w:lvlText w:val=""/>
      <w:lvlJc w:val="left"/>
      <w:pPr>
        <w:ind w:left="425" w:firstLine="0"/>
      </w:pPr>
      <w:rPr>
        <w:rFonts w:ascii="Arial" w:hAnsi="Arial" w:cs="Arial"/>
      </w:rPr>
    </w:lvl>
    <w:lvl w:ilvl="5">
      <w:start w:val="1"/>
      <w:numFmt w:val="none"/>
      <w:suff w:val="nothing"/>
      <w:lvlText w:val=""/>
      <w:lvlJc w:val="left"/>
      <w:pPr>
        <w:ind w:left="0" w:firstLine="0"/>
      </w:pPr>
      <w:rPr>
        <w:rFonts w:ascii="Arial" w:hAnsi="Arial" w:cs="Arial"/>
      </w:rPr>
    </w:lvl>
    <w:lvl w:ilvl="6">
      <w:start w:val="1"/>
      <w:numFmt w:val="none"/>
      <w:suff w:val="nothing"/>
      <w:lvlText w:val=""/>
      <w:lvlJc w:val="left"/>
      <w:pPr>
        <w:ind w:left="0" w:firstLine="0"/>
      </w:pPr>
      <w:rPr>
        <w:rFonts w:ascii="Arial" w:hAnsi="Arial" w:cs="Arial"/>
      </w:rPr>
    </w:lvl>
    <w:lvl w:ilvl="7">
      <w:start w:val="1"/>
      <w:numFmt w:val="none"/>
      <w:suff w:val="nothing"/>
      <w:lvlText w:val=""/>
      <w:lvlJc w:val="left"/>
      <w:pPr>
        <w:ind w:left="0" w:firstLine="0"/>
      </w:pPr>
      <w:rPr>
        <w:rFonts w:ascii="Arial" w:hAnsi="Arial" w:cs="Arial"/>
      </w:rPr>
    </w:lvl>
    <w:lvl w:ilvl="8">
      <w:start w:val="1"/>
      <w:numFmt w:val="none"/>
      <w:suff w:val="nothing"/>
      <w:lvlText w:val=""/>
      <w:lvlJc w:val="left"/>
      <w:pPr>
        <w:ind w:left="0" w:firstLine="0"/>
      </w:pPr>
      <w:rPr>
        <w:rFonts w:ascii="Arial" w:hAnsi="Arial" w:cs="Arial"/>
      </w:rPr>
    </w:lvl>
  </w:abstractNum>
  <w:num w:numId="1" w16cid:durableId="1777557936">
    <w:abstractNumId w:val="10"/>
  </w:num>
  <w:num w:numId="2" w16cid:durableId="926353277">
    <w:abstractNumId w:val="72"/>
  </w:num>
  <w:num w:numId="3" w16cid:durableId="469976428">
    <w:abstractNumId w:val="62"/>
  </w:num>
  <w:num w:numId="4" w16cid:durableId="559025814">
    <w:abstractNumId w:val="65"/>
  </w:num>
  <w:num w:numId="5" w16cid:durableId="1355233467">
    <w:abstractNumId w:val="0"/>
  </w:num>
  <w:num w:numId="6" w16cid:durableId="317805333">
    <w:abstractNumId w:val="11"/>
  </w:num>
  <w:num w:numId="7" w16cid:durableId="1111633091">
    <w:abstractNumId w:val="33"/>
  </w:num>
  <w:num w:numId="8" w16cid:durableId="985663208">
    <w:abstractNumId w:val="8"/>
  </w:num>
  <w:num w:numId="9" w16cid:durableId="539584961">
    <w:abstractNumId w:val="76"/>
  </w:num>
  <w:num w:numId="10" w16cid:durableId="1520386093">
    <w:abstractNumId w:val="28"/>
  </w:num>
  <w:num w:numId="11" w16cid:durableId="1277831283">
    <w:abstractNumId w:val="9"/>
  </w:num>
  <w:num w:numId="12" w16cid:durableId="1593473075">
    <w:abstractNumId w:val="51"/>
  </w:num>
  <w:num w:numId="13" w16cid:durableId="882522666">
    <w:abstractNumId w:val="4"/>
  </w:num>
  <w:num w:numId="14" w16cid:durableId="1715040882">
    <w:abstractNumId w:val="6"/>
  </w:num>
  <w:num w:numId="15" w16cid:durableId="1647204074">
    <w:abstractNumId w:val="22"/>
  </w:num>
  <w:num w:numId="16" w16cid:durableId="1296254809">
    <w:abstractNumId w:val="63"/>
  </w:num>
  <w:num w:numId="17" w16cid:durableId="1438519665">
    <w:abstractNumId w:val="60"/>
  </w:num>
  <w:num w:numId="18" w16cid:durableId="722025479">
    <w:abstractNumId w:val="49"/>
  </w:num>
  <w:num w:numId="19" w16cid:durableId="64113547">
    <w:abstractNumId w:val="66"/>
  </w:num>
  <w:num w:numId="20" w16cid:durableId="1238125784">
    <w:abstractNumId w:val="34"/>
  </w:num>
  <w:num w:numId="21" w16cid:durableId="1963918117">
    <w:abstractNumId w:val="37"/>
  </w:num>
  <w:num w:numId="22" w16cid:durableId="1938445961">
    <w:abstractNumId w:val="19"/>
  </w:num>
  <w:num w:numId="23" w16cid:durableId="287008669">
    <w:abstractNumId w:val="40"/>
  </w:num>
  <w:num w:numId="24" w16cid:durableId="1150055786">
    <w:abstractNumId w:val="78"/>
  </w:num>
  <w:num w:numId="25" w16cid:durableId="924414774">
    <w:abstractNumId w:val="70"/>
  </w:num>
  <w:num w:numId="26" w16cid:durableId="829249568">
    <w:abstractNumId w:val="39"/>
  </w:num>
  <w:num w:numId="27" w16cid:durableId="45495766">
    <w:abstractNumId w:val="17"/>
  </w:num>
  <w:num w:numId="28" w16cid:durableId="486896123">
    <w:abstractNumId w:val="80"/>
  </w:num>
  <w:num w:numId="29" w16cid:durableId="81951410">
    <w:abstractNumId w:val="7"/>
  </w:num>
  <w:num w:numId="30" w16cid:durableId="1323393080">
    <w:abstractNumId w:val="20"/>
  </w:num>
  <w:num w:numId="31" w16cid:durableId="1751153876">
    <w:abstractNumId w:val="5"/>
  </w:num>
  <w:num w:numId="32" w16cid:durableId="1953241376">
    <w:abstractNumId w:val="77"/>
  </w:num>
  <w:num w:numId="33" w16cid:durableId="610627600">
    <w:abstractNumId w:val="2"/>
  </w:num>
  <w:num w:numId="34" w16cid:durableId="1446266312">
    <w:abstractNumId w:val="14"/>
  </w:num>
  <w:num w:numId="35" w16cid:durableId="970673237">
    <w:abstractNumId w:val="48"/>
  </w:num>
  <w:num w:numId="36" w16cid:durableId="780152869">
    <w:abstractNumId w:val="50"/>
  </w:num>
  <w:num w:numId="37" w16cid:durableId="2081948676">
    <w:abstractNumId w:val="30"/>
  </w:num>
  <w:num w:numId="38" w16cid:durableId="1078481519">
    <w:abstractNumId w:val="58"/>
  </w:num>
  <w:num w:numId="39" w16cid:durableId="1053312674">
    <w:abstractNumId w:val="1"/>
  </w:num>
  <w:num w:numId="40" w16cid:durableId="340282553">
    <w:abstractNumId w:val="21"/>
  </w:num>
  <w:num w:numId="41" w16cid:durableId="717971455">
    <w:abstractNumId w:val="67"/>
  </w:num>
  <w:num w:numId="42" w16cid:durableId="2083136316">
    <w:abstractNumId w:val="43"/>
  </w:num>
  <w:num w:numId="43" w16cid:durableId="1824153780">
    <w:abstractNumId w:val="64"/>
  </w:num>
  <w:num w:numId="44" w16cid:durableId="730270870">
    <w:abstractNumId w:val="31"/>
  </w:num>
  <w:num w:numId="45" w16cid:durableId="446004777">
    <w:abstractNumId w:val="53"/>
  </w:num>
  <w:num w:numId="46" w16cid:durableId="905533772">
    <w:abstractNumId w:val="29"/>
  </w:num>
  <w:num w:numId="47" w16cid:durableId="212155389">
    <w:abstractNumId w:val="47"/>
  </w:num>
  <w:num w:numId="48" w16cid:durableId="714041084">
    <w:abstractNumId w:val="38"/>
  </w:num>
  <w:num w:numId="49" w16cid:durableId="313029492">
    <w:abstractNumId w:val="42"/>
  </w:num>
  <w:num w:numId="50" w16cid:durableId="2021815426">
    <w:abstractNumId w:val="32"/>
  </w:num>
  <w:num w:numId="51" w16cid:durableId="1989824339">
    <w:abstractNumId w:val="52"/>
  </w:num>
  <w:num w:numId="52" w16cid:durableId="1740706434">
    <w:abstractNumId w:val="68"/>
  </w:num>
  <w:num w:numId="53" w16cid:durableId="1588612405">
    <w:abstractNumId w:val="59"/>
  </w:num>
  <w:num w:numId="54" w16cid:durableId="958297566">
    <w:abstractNumId w:val="13"/>
  </w:num>
  <w:num w:numId="55" w16cid:durableId="827793512">
    <w:abstractNumId w:val="71"/>
  </w:num>
  <w:num w:numId="56" w16cid:durableId="1646665796">
    <w:abstractNumId w:val="79"/>
  </w:num>
  <w:num w:numId="57" w16cid:durableId="427850346">
    <w:abstractNumId w:val="15"/>
  </w:num>
  <w:num w:numId="58" w16cid:durableId="138498172">
    <w:abstractNumId w:val="73"/>
  </w:num>
  <w:num w:numId="59" w16cid:durableId="1593588714">
    <w:abstractNumId w:val="54"/>
  </w:num>
  <w:num w:numId="60" w16cid:durableId="971441948">
    <w:abstractNumId w:val="35"/>
  </w:num>
  <w:num w:numId="61" w16cid:durableId="2057777018">
    <w:abstractNumId w:val="36"/>
  </w:num>
  <w:num w:numId="62" w16cid:durableId="241649418">
    <w:abstractNumId w:val="46"/>
  </w:num>
  <w:num w:numId="63" w16cid:durableId="2086417543">
    <w:abstractNumId w:val="55"/>
  </w:num>
  <w:num w:numId="64" w16cid:durableId="1383797021">
    <w:abstractNumId w:val="41"/>
  </w:num>
  <w:num w:numId="65" w16cid:durableId="1383480228">
    <w:abstractNumId w:val="23"/>
  </w:num>
  <w:num w:numId="66" w16cid:durableId="893468320">
    <w:abstractNumId w:val="74"/>
  </w:num>
  <w:num w:numId="67" w16cid:durableId="1313026786">
    <w:abstractNumId w:val="18"/>
  </w:num>
  <w:num w:numId="68" w16cid:durableId="1023750723">
    <w:abstractNumId w:val="75"/>
  </w:num>
  <w:num w:numId="69" w16cid:durableId="789201298">
    <w:abstractNumId w:val="26"/>
  </w:num>
  <w:num w:numId="70" w16cid:durableId="1311013460">
    <w:abstractNumId w:val="27"/>
  </w:num>
  <w:num w:numId="71" w16cid:durableId="17128505">
    <w:abstractNumId w:val="16"/>
  </w:num>
  <w:num w:numId="72" w16cid:durableId="324473458">
    <w:abstractNumId w:val="3"/>
  </w:num>
  <w:num w:numId="73" w16cid:durableId="617220834">
    <w:abstractNumId w:val="45"/>
  </w:num>
  <w:num w:numId="74" w16cid:durableId="543644182">
    <w:abstractNumId w:val="57"/>
  </w:num>
  <w:num w:numId="75" w16cid:durableId="1732116636">
    <w:abstractNumId w:val="12"/>
  </w:num>
  <w:num w:numId="76" w16cid:durableId="1494755909">
    <w:abstractNumId w:val="25"/>
  </w:num>
  <w:num w:numId="77" w16cid:durableId="1310286406">
    <w:abstractNumId w:val="61"/>
  </w:num>
  <w:num w:numId="78" w16cid:durableId="861014377">
    <w:abstractNumId w:val="69"/>
  </w:num>
  <w:num w:numId="79" w16cid:durableId="746264185">
    <w:abstractNumId w:val="56"/>
  </w:num>
  <w:num w:numId="80" w16cid:durableId="1325819003">
    <w:abstractNumId w:val="24"/>
  </w:num>
  <w:num w:numId="81" w16cid:durableId="1645505040">
    <w:abstractNumId w:val="44"/>
  </w:num>
  <w:num w:numId="82" w16cid:durableId="780761302">
    <w:abstractNumId w:val="10"/>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efaultTableStyle w:val="TableGrid"/>
  <w:noPunctuationKerning/>
  <w:characterSpacingControl w:val="doNotCompress"/>
  <w:hdrShapeDefaults>
    <o:shapedefaults v:ext="edit" spidmax="2050" fillcolor="none [1300]" strokecolor="none [3204]">
      <v:fill color="none [1300]"/>
      <v:stroke color="none [3204]" weight="5pt" linestyle="thickThin"/>
      <v:shadow color="#868686"/>
      <v:textbox style="mso-fit-shape-to-text:t"/>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69D"/>
    <w:rsid w:val="00000897"/>
    <w:rsid w:val="00010CAB"/>
    <w:rsid w:val="000116EB"/>
    <w:rsid w:val="000125A6"/>
    <w:rsid w:val="00020E33"/>
    <w:rsid w:val="000240F8"/>
    <w:rsid w:val="00024724"/>
    <w:rsid w:val="000253FD"/>
    <w:rsid w:val="00032FC9"/>
    <w:rsid w:val="0003309B"/>
    <w:rsid w:val="00033967"/>
    <w:rsid w:val="000373FA"/>
    <w:rsid w:val="000420C9"/>
    <w:rsid w:val="00042FC3"/>
    <w:rsid w:val="00043C8A"/>
    <w:rsid w:val="00046C00"/>
    <w:rsid w:val="00050CF0"/>
    <w:rsid w:val="0005447E"/>
    <w:rsid w:val="0005470A"/>
    <w:rsid w:val="00057198"/>
    <w:rsid w:val="00057772"/>
    <w:rsid w:val="00063148"/>
    <w:rsid w:val="00063DB0"/>
    <w:rsid w:val="00065B47"/>
    <w:rsid w:val="00067583"/>
    <w:rsid w:val="00067607"/>
    <w:rsid w:val="0007651D"/>
    <w:rsid w:val="00082C67"/>
    <w:rsid w:val="0008433D"/>
    <w:rsid w:val="00084CFD"/>
    <w:rsid w:val="00085ADD"/>
    <w:rsid w:val="0009217D"/>
    <w:rsid w:val="00092180"/>
    <w:rsid w:val="000921B2"/>
    <w:rsid w:val="00092C52"/>
    <w:rsid w:val="00096A6D"/>
    <w:rsid w:val="00096C97"/>
    <w:rsid w:val="00097DA8"/>
    <w:rsid w:val="000A2150"/>
    <w:rsid w:val="000B1021"/>
    <w:rsid w:val="000B3B29"/>
    <w:rsid w:val="000B3C1E"/>
    <w:rsid w:val="000B6DE7"/>
    <w:rsid w:val="000C031A"/>
    <w:rsid w:val="000C75ED"/>
    <w:rsid w:val="000D5E3F"/>
    <w:rsid w:val="000D6687"/>
    <w:rsid w:val="000E1829"/>
    <w:rsid w:val="000E3A73"/>
    <w:rsid w:val="000F119E"/>
    <w:rsid w:val="000F1F86"/>
    <w:rsid w:val="000F28B7"/>
    <w:rsid w:val="000F4CA1"/>
    <w:rsid w:val="000F65B4"/>
    <w:rsid w:val="001015A2"/>
    <w:rsid w:val="00104975"/>
    <w:rsid w:val="001114C5"/>
    <w:rsid w:val="001120BA"/>
    <w:rsid w:val="001157EA"/>
    <w:rsid w:val="0011777F"/>
    <w:rsid w:val="00122EF0"/>
    <w:rsid w:val="001235E2"/>
    <w:rsid w:val="00131397"/>
    <w:rsid w:val="0013236F"/>
    <w:rsid w:val="00133B55"/>
    <w:rsid w:val="0014058A"/>
    <w:rsid w:val="001420D6"/>
    <w:rsid w:val="001467F4"/>
    <w:rsid w:val="00151204"/>
    <w:rsid w:val="00151B4F"/>
    <w:rsid w:val="001529CE"/>
    <w:rsid w:val="00157C09"/>
    <w:rsid w:val="00162866"/>
    <w:rsid w:val="001665BF"/>
    <w:rsid w:val="00167BC1"/>
    <w:rsid w:val="0017106F"/>
    <w:rsid w:val="001716FB"/>
    <w:rsid w:val="00171AE4"/>
    <w:rsid w:val="00172E75"/>
    <w:rsid w:val="00173C15"/>
    <w:rsid w:val="00175A7C"/>
    <w:rsid w:val="00183E02"/>
    <w:rsid w:val="001846B8"/>
    <w:rsid w:val="00186D22"/>
    <w:rsid w:val="0019181F"/>
    <w:rsid w:val="001A1D21"/>
    <w:rsid w:val="001A2D3B"/>
    <w:rsid w:val="001A5FAC"/>
    <w:rsid w:val="001A6325"/>
    <w:rsid w:val="001A6D88"/>
    <w:rsid w:val="001A6DF8"/>
    <w:rsid w:val="001B0FED"/>
    <w:rsid w:val="001B1413"/>
    <w:rsid w:val="001B1A56"/>
    <w:rsid w:val="001B60DA"/>
    <w:rsid w:val="001C3711"/>
    <w:rsid w:val="001C71BF"/>
    <w:rsid w:val="001D21F9"/>
    <w:rsid w:val="001D4C3B"/>
    <w:rsid w:val="001E4FBC"/>
    <w:rsid w:val="001E6670"/>
    <w:rsid w:val="001F1C8C"/>
    <w:rsid w:val="001F1FD5"/>
    <w:rsid w:val="001F4352"/>
    <w:rsid w:val="001F53F7"/>
    <w:rsid w:val="001F76BA"/>
    <w:rsid w:val="0020047D"/>
    <w:rsid w:val="00201895"/>
    <w:rsid w:val="0020366C"/>
    <w:rsid w:val="00205D38"/>
    <w:rsid w:val="002068F1"/>
    <w:rsid w:val="00207AD3"/>
    <w:rsid w:val="00211D54"/>
    <w:rsid w:val="0021503F"/>
    <w:rsid w:val="00215BCE"/>
    <w:rsid w:val="00215C63"/>
    <w:rsid w:val="002237B9"/>
    <w:rsid w:val="0022581B"/>
    <w:rsid w:val="002304B0"/>
    <w:rsid w:val="00230C3B"/>
    <w:rsid w:val="002372D0"/>
    <w:rsid w:val="0024375E"/>
    <w:rsid w:val="00243B1F"/>
    <w:rsid w:val="00243F6E"/>
    <w:rsid w:val="0025036F"/>
    <w:rsid w:val="00250488"/>
    <w:rsid w:val="00251D1B"/>
    <w:rsid w:val="00252F8E"/>
    <w:rsid w:val="00253D0D"/>
    <w:rsid w:val="00263FB8"/>
    <w:rsid w:val="00265287"/>
    <w:rsid w:val="00272BE7"/>
    <w:rsid w:val="002740BF"/>
    <w:rsid w:val="002742F0"/>
    <w:rsid w:val="00274872"/>
    <w:rsid w:val="002758C1"/>
    <w:rsid w:val="00276D96"/>
    <w:rsid w:val="002862B3"/>
    <w:rsid w:val="002925A3"/>
    <w:rsid w:val="00292D0D"/>
    <w:rsid w:val="002A1A67"/>
    <w:rsid w:val="002A6503"/>
    <w:rsid w:val="002A6774"/>
    <w:rsid w:val="002A69CF"/>
    <w:rsid w:val="002B0899"/>
    <w:rsid w:val="002B1E43"/>
    <w:rsid w:val="002B3A19"/>
    <w:rsid w:val="002B4B5B"/>
    <w:rsid w:val="002B4B79"/>
    <w:rsid w:val="002C0CBF"/>
    <w:rsid w:val="002C340C"/>
    <w:rsid w:val="002C5696"/>
    <w:rsid w:val="002D28D0"/>
    <w:rsid w:val="002D67AF"/>
    <w:rsid w:val="002D731A"/>
    <w:rsid w:val="002E1EA2"/>
    <w:rsid w:val="002E5B5E"/>
    <w:rsid w:val="002E6F76"/>
    <w:rsid w:val="002E742A"/>
    <w:rsid w:val="002F0457"/>
    <w:rsid w:val="002F05CA"/>
    <w:rsid w:val="002F0BF5"/>
    <w:rsid w:val="002F1550"/>
    <w:rsid w:val="002F6093"/>
    <w:rsid w:val="002F792D"/>
    <w:rsid w:val="0030474B"/>
    <w:rsid w:val="003054AA"/>
    <w:rsid w:val="00305DED"/>
    <w:rsid w:val="00306309"/>
    <w:rsid w:val="003104F3"/>
    <w:rsid w:val="0031130A"/>
    <w:rsid w:val="00317E0C"/>
    <w:rsid w:val="00321D16"/>
    <w:rsid w:val="00322623"/>
    <w:rsid w:val="00323F09"/>
    <w:rsid w:val="00324ABE"/>
    <w:rsid w:val="00325B7D"/>
    <w:rsid w:val="00327E8B"/>
    <w:rsid w:val="003319B7"/>
    <w:rsid w:val="00333B42"/>
    <w:rsid w:val="00334D65"/>
    <w:rsid w:val="00346BF2"/>
    <w:rsid w:val="003505B2"/>
    <w:rsid w:val="0035117E"/>
    <w:rsid w:val="0035644C"/>
    <w:rsid w:val="003577E7"/>
    <w:rsid w:val="00360F4A"/>
    <w:rsid w:val="003671ED"/>
    <w:rsid w:val="00367E5E"/>
    <w:rsid w:val="00381ACD"/>
    <w:rsid w:val="003861CA"/>
    <w:rsid w:val="00386918"/>
    <w:rsid w:val="00391D23"/>
    <w:rsid w:val="00397124"/>
    <w:rsid w:val="003A05BE"/>
    <w:rsid w:val="003A083F"/>
    <w:rsid w:val="003A20D2"/>
    <w:rsid w:val="003A2DFA"/>
    <w:rsid w:val="003A6ECA"/>
    <w:rsid w:val="003B3BB8"/>
    <w:rsid w:val="003B3D16"/>
    <w:rsid w:val="003B5405"/>
    <w:rsid w:val="003C0339"/>
    <w:rsid w:val="003C08AB"/>
    <w:rsid w:val="003C3296"/>
    <w:rsid w:val="003C454C"/>
    <w:rsid w:val="003D0641"/>
    <w:rsid w:val="003D069C"/>
    <w:rsid w:val="003D09E0"/>
    <w:rsid w:val="003D50A3"/>
    <w:rsid w:val="003D5F0A"/>
    <w:rsid w:val="003D6334"/>
    <w:rsid w:val="003D650D"/>
    <w:rsid w:val="003D79CB"/>
    <w:rsid w:val="003D7E21"/>
    <w:rsid w:val="003E01C9"/>
    <w:rsid w:val="003E1473"/>
    <w:rsid w:val="003E5453"/>
    <w:rsid w:val="003E71F7"/>
    <w:rsid w:val="003F3B18"/>
    <w:rsid w:val="003F496D"/>
    <w:rsid w:val="003F4FC2"/>
    <w:rsid w:val="003F5535"/>
    <w:rsid w:val="00401976"/>
    <w:rsid w:val="00405886"/>
    <w:rsid w:val="004103E0"/>
    <w:rsid w:val="00410F18"/>
    <w:rsid w:val="00412F35"/>
    <w:rsid w:val="004151C4"/>
    <w:rsid w:val="0041644E"/>
    <w:rsid w:val="004203CC"/>
    <w:rsid w:val="00421AF4"/>
    <w:rsid w:val="0042592E"/>
    <w:rsid w:val="00425BE5"/>
    <w:rsid w:val="00430622"/>
    <w:rsid w:val="0043095F"/>
    <w:rsid w:val="00432BD3"/>
    <w:rsid w:val="00436762"/>
    <w:rsid w:val="00436886"/>
    <w:rsid w:val="00437F29"/>
    <w:rsid w:val="0044038C"/>
    <w:rsid w:val="00441219"/>
    <w:rsid w:val="00441D3C"/>
    <w:rsid w:val="00442353"/>
    <w:rsid w:val="00445084"/>
    <w:rsid w:val="00453D0C"/>
    <w:rsid w:val="00456E53"/>
    <w:rsid w:val="00460E9C"/>
    <w:rsid w:val="004613FD"/>
    <w:rsid w:val="0046508E"/>
    <w:rsid w:val="00467887"/>
    <w:rsid w:val="004703C9"/>
    <w:rsid w:val="004755A8"/>
    <w:rsid w:val="00477D04"/>
    <w:rsid w:val="0048479A"/>
    <w:rsid w:val="00484EC4"/>
    <w:rsid w:val="00486017"/>
    <w:rsid w:val="00486AAF"/>
    <w:rsid w:val="004915B2"/>
    <w:rsid w:val="00491AD9"/>
    <w:rsid w:val="004947B1"/>
    <w:rsid w:val="004A1600"/>
    <w:rsid w:val="004A3CFB"/>
    <w:rsid w:val="004A5765"/>
    <w:rsid w:val="004B569D"/>
    <w:rsid w:val="004B64B2"/>
    <w:rsid w:val="004C162D"/>
    <w:rsid w:val="004C61FA"/>
    <w:rsid w:val="004D07B7"/>
    <w:rsid w:val="004D6E60"/>
    <w:rsid w:val="004E4BA9"/>
    <w:rsid w:val="004E4FB3"/>
    <w:rsid w:val="004E7BC6"/>
    <w:rsid w:val="004F4281"/>
    <w:rsid w:val="004F6926"/>
    <w:rsid w:val="005019B6"/>
    <w:rsid w:val="00503384"/>
    <w:rsid w:val="00505013"/>
    <w:rsid w:val="0050520D"/>
    <w:rsid w:val="005057A3"/>
    <w:rsid w:val="005066E4"/>
    <w:rsid w:val="005105A2"/>
    <w:rsid w:val="00511D2B"/>
    <w:rsid w:val="00512B75"/>
    <w:rsid w:val="00512CD8"/>
    <w:rsid w:val="00514E66"/>
    <w:rsid w:val="00515CD9"/>
    <w:rsid w:val="00516601"/>
    <w:rsid w:val="00517B71"/>
    <w:rsid w:val="00521584"/>
    <w:rsid w:val="005234D8"/>
    <w:rsid w:val="005250C9"/>
    <w:rsid w:val="005312D9"/>
    <w:rsid w:val="00531F6F"/>
    <w:rsid w:val="00535645"/>
    <w:rsid w:val="00540A81"/>
    <w:rsid w:val="005433EB"/>
    <w:rsid w:val="00544CB1"/>
    <w:rsid w:val="0054787D"/>
    <w:rsid w:val="00560770"/>
    <w:rsid w:val="00561E7C"/>
    <w:rsid w:val="00565016"/>
    <w:rsid w:val="00567DC5"/>
    <w:rsid w:val="00571BCA"/>
    <w:rsid w:val="00572408"/>
    <w:rsid w:val="00572712"/>
    <w:rsid w:val="00572773"/>
    <w:rsid w:val="00574F34"/>
    <w:rsid w:val="00582265"/>
    <w:rsid w:val="00582816"/>
    <w:rsid w:val="00582F15"/>
    <w:rsid w:val="00583AA1"/>
    <w:rsid w:val="00590F96"/>
    <w:rsid w:val="00592D9C"/>
    <w:rsid w:val="00595511"/>
    <w:rsid w:val="005969CF"/>
    <w:rsid w:val="00597D71"/>
    <w:rsid w:val="005A100D"/>
    <w:rsid w:val="005A502F"/>
    <w:rsid w:val="005A631C"/>
    <w:rsid w:val="005A64BE"/>
    <w:rsid w:val="005A6ED0"/>
    <w:rsid w:val="005B4FD3"/>
    <w:rsid w:val="005B737C"/>
    <w:rsid w:val="005C49AE"/>
    <w:rsid w:val="005C72E9"/>
    <w:rsid w:val="005C7981"/>
    <w:rsid w:val="005D5658"/>
    <w:rsid w:val="005D760F"/>
    <w:rsid w:val="005E33C1"/>
    <w:rsid w:val="005E645D"/>
    <w:rsid w:val="005E68AF"/>
    <w:rsid w:val="005F0AD5"/>
    <w:rsid w:val="005F4ED4"/>
    <w:rsid w:val="005F7505"/>
    <w:rsid w:val="0060234F"/>
    <w:rsid w:val="00605C8C"/>
    <w:rsid w:val="006132B8"/>
    <w:rsid w:val="006138DF"/>
    <w:rsid w:val="00621F03"/>
    <w:rsid w:val="0062377C"/>
    <w:rsid w:val="00626840"/>
    <w:rsid w:val="00633419"/>
    <w:rsid w:val="00636C0F"/>
    <w:rsid w:val="006422A8"/>
    <w:rsid w:val="0064285E"/>
    <w:rsid w:val="00644708"/>
    <w:rsid w:val="00645F0B"/>
    <w:rsid w:val="00646F75"/>
    <w:rsid w:val="006518D7"/>
    <w:rsid w:val="006522B9"/>
    <w:rsid w:val="00652311"/>
    <w:rsid w:val="00652386"/>
    <w:rsid w:val="00660011"/>
    <w:rsid w:val="006635FF"/>
    <w:rsid w:val="00670556"/>
    <w:rsid w:val="0067101D"/>
    <w:rsid w:val="00682507"/>
    <w:rsid w:val="00683030"/>
    <w:rsid w:val="00685AF2"/>
    <w:rsid w:val="006918FC"/>
    <w:rsid w:val="00692F49"/>
    <w:rsid w:val="00693022"/>
    <w:rsid w:val="006932E5"/>
    <w:rsid w:val="006956E2"/>
    <w:rsid w:val="006968CD"/>
    <w:rsid w:val="00696B10"/>
    <w:rsid w:val="00697E44"/>
    <w:rsid w:val="006A1F91"/>
    <w:rsid w:val="006A3C8D"/>
    <w:rsid w:val="006A5BFD"/>
    <w:rsid w:val="006A609C"/>
    <w:rsid w:val="006A6611"/>
    <w:rsid w:val="006B2AF4"/>
    <w:rsid w:val="006B33E2"/>
    <w:rsid w:val="006B4FAF"/>
    <w:rsid w:val="006B528C"/>
    <w:rsid w:val="006C2896"/>
    <w:rsid w:val="006C3F93"/>
    <w:rsid w:val="006C4BA5"/>
    <w:rsid w:val="006C4F12"/>
    <w:rsid w:val="006D0832"/>
    <w:rsid w:val="006D0C64"/>
    <w:rsid w:val="006D63A4"/>
    <w:rsid w:val="006D69CA"/>
    <w:rsid w:val="006E083F"/>
    <w:rsid w:val="006E1459"/>
    <w:rsid w:val="006E4CA8"/>
    <w:rsid w:val="006E4DD0"/>
    <w:rsid w:val="006E6D92"/>
    <w:rsid w:val="006E7A09"/>
    <w:rsid w:val="006F147E"/>
    <w:rsid w:val="006F152D"/>
    <w:rsid w:val="006F35A2"/>
    <w:rsid w:val="006F604C"/>
    <w:rsid w:val="00702490"/>
    <w:rsid w:val="007044FC"/>
    <w:rsid w:val="00704635"/>
    <w:rsid w:val="007105BA"/>
    <w:rsid w:val="007115FB"/>
    <w:rsid w:val="00712345"/>
    <w:rsid w:val="00714665"/>
    <w:rsid w:val="00725380"/>
    <w:rsid w:val="007259AA"/>
    <w:rsid w:val="0073085E"/>
    <w:rsid w:val="00734DC2"/>
    <w:rsid w:val="007356C4"/>
    <w:rsid w:val="00736388"/>
    <w:rsid w:val="00741C8E"/>
    <w:rsid w:val="00743DAC"/>
    <w:rsid w:val="00744112"/>
    <w:rsid w:val="007454EF"/>
    <w:rsid w:val="007472B5"/>
    <w:rsid w:val="0075017F"/>
    <w:rsid w:val="007512B5"/>
    <w:rsid w:val="007524F8"/>
    <w:rsid w:val="007634F0"/>
    <w:rsid w:val="00764854"/>
    <w:rsid w:val="00766832"/>
    <w:rsid w:val="00767554"/>
    <w:rsid w:val="00770F64"/>
    <w:rsid w:val="00771C2E"/>
    <w:rsid w:val="007739C5"/>
    <w:rsid w:val="00777FFA"/>
    <w:rsid w:val="007801CE"/>
    <w:rsid w:val="00780A57"/>
    <w:rsid w:val="007841B5"/>
    <w:rsid w:val="00784479"/>
    <w:rsid w:val="007859EA"/>
    <w:rsid w:val="0078673B"/>
    <w:rsid w:val="007867CC"/>
    <w:rsid w:val="00787610"/>
    <w:rsid w:val="00790A23"/>
    <w:rsid w:val="007944A9"/>
    <w:rsid w:val="007944C4"/>
    <w:rsid w:val="0079562B"/>
    <w:rsid w:val="007968E8"/>
    <w:rsid w:val="007A16F9"/>
    <w:rsid w:val="007A2422"/>
    <w:rsid w:val="007A3093"/>
    <w:rsid w:val="007A4055"/>
    <w:rsid w:val="007A6FC4"/>
    <w:rsid w:val="007A76D1"/>
    <w:rsid w:val="007B081B"/>
    <w:rsid w:val="007B214E"/>
    <w:rsid w:val="007B22AF"/>
    <w:rsid w:val="007B3BD4"/>
    <w:rsid w:val="007B589D"/>
    <w:rsid w:val="007B7676"/>
    <w:rsid w:val="007C2FFA"/>
    <w:rsid w:val="007C3D36"/>
    <w:rsid w:val="007D10BB"/>
    <w:rsid w:val="007D2767"/>
    <w:rsid w:val="007D5CC7"/>
    <w:rsid w:val="007D7628"/>
    <w:rsid w:val="007E0D3D"/>
    <w:rsid w:val="007E1ED4"/>
    <w:rsid w:val="007E28BE"/>
    <w:rsid w:val="007E2BCC"/>
    <w:rsid w:val="007E2EEF"/>
    <w:rsid w:val="007E6178"/>
    <w:rsid w:val="007E73EA"/>
    <w:rsid w:val="007F370E"/>
    <w:rsid w:val="007F57DD"/>
    <w:rsid w:val="007F630B"/>
    <w:rsid w:val="00800576"/>
    <w:rsid w:val="00802E59"/>
    <w:rsid w:val="00804BC5"/>
    <w:rsid w:val="008052C3"/>
    <w:rsid w:val="0080789E"/>
    <w:rsid w:val="008131A3"/>
    <w:rsid w:val="00817924"/>
    <w:rsid w:val="00820686"/>
    <w:rsid w:val="0082167E"/>
    <w:rsid w:val="00824E84"/>
    <w:rsid w:val="00825055"/>
    <w:rsid w:val="00830EB1"/>
    <w:rsid w:val="008310D0"/>
    <w:rsid w:val="00832797"/>
    <w:rsid w:val="008327F8"/>
    <w:rsid w:val="00834176"/>
    <w:rsid w:val="00835926"/>
    <w:rsid w:val="008368BE"/>
    <w:rsid w:val="008427D9"/>
    <w:rsid w:val="00843021"/>
    <w:rsid w:val="00847DD4"/>
    <w:rsid w:val="00852CC3"/>
    <w:rsid w:val="00853794"/>
    <w:rsid w:val="008562F1"/>
    <w:rsid w:val="0085709B"/>
    <w:rsid w:val="008603A5"/>
    <w:rsid w:val="00863273"/>
    <w:rsid w:val="00866739"/>
    <w:rsid w:val="008705B3"/>
    <w:rsid w:val="008735A6"/>
    <w:rsid w:val="008737A7"/>
    <w:rsid w:val="008742E2"/>
    <w:rsid w:val="008751F0"/>
    <w:rsid w:val="008805B9"/>
    <w:rsid w:val="00887760"/>
    <w:rsid w:val="0089172C"/>
    <w:rsid w:val="00892DB3"/>
    <w:rsid w:val="00893953"/>
    <w:rsid w:val="00893E16"/>
    <w:rsid w:val="00894959"/>
    <w:rsid w:val="008954E2"/>
    <w:rsid w:val="008A0E13"/>
    <w:rsid w:val="008A269D"/>
    <w:rsid w:val="008A4907"/>
    <w:rsid w:val="008A5268"/>
    <w:rsid w:val="008A52BB"/>
    <w:rsid w:val="008A691F"/>
    <w:rsid w:val="008A7DF2"/>
    <w:rsid w:val="008B27B6"/>
    <w:rsid w:val="008B3788"/>
    <w:rsid w:val="008B43FE"/>
    <w:rsid w:val="008B771E"/>
    <w:rsid w:val="008C07E4"/>
    <w:rsid w:val="008C1620"/>
    <w:rsid w:val="008C57F6"/>
    <w:rsid w:val="008D08F9"/>
    <w:rsid w:val="008D2160"/>
    <w:rsid w:val="008D292B"/>
    <w:rsid w:val="008D34EA"/>
    <w:rsid w:val="008D5BCA"/>
    <w:rsid w:val="008D5EA1"/>
    <w:rsid w:val="008D697E"/>
    <w:rsid w:val="008E0034"/>
    <w:rsid w:val="008E1C5D"/>
    <w:rsid w:val="008E4365"/>
    <w:rsid w:val="008F1B7C"/>
    <w:rsid w:val="008F24FD"/>
    <w:rsid w:val="008F2B51"/>
    <w:rsid w:val="008F4FA7"/>
    <w:rsid w:val="008F6E42"/>
    <w:rsid w:val="00902348"/>
    <w:rsid w:val="00902678"/>
    <w:rsid w:val="00902898"/>
    <w:rsid w:val="00906833"/>
    <w:rsid w:val="00906BE2"/>
    <w:rsid w:val="009140BE"/>
    <w:rsid w:val="00914151"/>
    <w:rsid w:val="00914B5A"/>
    <w:rsid w:val="00914C16"/>
    <w:rsid w:val="00921C53"/>
    <w:rsid w:val="00921DD1"/>
    <w:rsid w:val="00922D2D"/>
    <w:rsid w:val="00922F68"/>
    <w:rsid w:val="00925E02"/>
    <w:rsid w:val="00926B3C"/>
    <w:rsid w:val="009321C6"/>
    <w:rsid w:val="00933E6A"/>
    <w:rsid w:val="009362D5"/>
    <w:rsid w:val="0094066B"/>
    <w:rsid w:val="009432FD"/>
    <w:rsid w:val="00946067"/>
    <w:rsid w:val="00946FA4"/>
    <w:rsid w:val="009470F2"/>
    <w:rsid w:val="00947756"/>
    <w:rsid w:val="009501D3"/>
    <w:rsid w:val="009533E5"/>
    <w:rsid w:val="00955EAE"/>
    <w:rsid w:val="0095602C"/>
    <w:rsid w:val="00957067"/>
    <w:rsid w:val="00957B9F"/>
    <w:rsid w:val="00964221"/>
    <w:rsid w:val="009663A7"/>
    <w:rsid w:val="00966FCA"/>
    <w:rsid w:val="00971935"/>
    <w:rsid w:val="00971DD0"/>
    <w:rsid w:val="00972610"/>
    <w:rsid w:val="0097328D"/>
    <w:rsid w:val="0097536F"/>
    <w:rsid w:val="00985300"/>
    <w:rsid w:val="00985E9C"/>
    <w:rsid w:val="0099261D"/>
    <w:rsid w:val="00992EEE"/>
    <w:rsid w:val="00994DA3"/>
    <w:rsid w:val="00996CB7"/>
    <w:rsid w:val="009A2DA1"/>
    <w:rsid w:val="009B389A"/>
    <w:rsid w:val="009C0679"/>
    <w:rsid w:val="009C0EA6"/>
    <w:rsid w:val="009C369B"/>
    <w:rsid w:val="009C3B29"/>
    <w:rsid w:val="009C6A7D"/>
    <w:rsid w:val="009D38EB"/>
    <w:rsid w:val="009D41FE"/>
    <w:rsid w:val="009E71B8"/>
    <w:rsid w:val="009E7829"/>
    <w:rsid w:val="009E7D30"/>
    <w:rsid w:val="009F013B"/>
    <w:rsid w:val="009F0379"/>
    <w:rsid w:val="009F2573"/>
    <w:rsid w:val="009F460A"/>
    <w:rsid w:val="009F75D1"/>
    <w:rsid w:val="00A01745"/>
    <w:rsid w:val="00A0269A"/>
    <w:rsid w:val="00A055E9"/>
    <w:rsid w:val="00A05749"/>
    <w:rsid w:val="00A1482A"/>
    <w:rsid w:val="00A1555E"/>
    <w:rsid w:val="00A16B7D"/>
    <w:rsid w:val="00A20198"/>
    <w:rsid w:val="00A23144"/>
    <w:rsid w:val="00A30917"/>
    <w:rsid w:val="00A3154F"/>
    <w:rsid w:val="00A31A33"/>
    <w:rsid w:val="00A43292"/>
    <w:rsid w:val="00A469D1"/>
    <w:rsid w:val="00A5191C"/>
    <w:rsid w:val="00A556EF"/>
    <w:rsid w:val="00A63313"/>
    <w:rsid w:val="00A63F09"/>
    <w:rsid w:val="00A64A18"/>
    <w:rsid w:val="00A64FCF"/>
    <w:rsid w:val="00A70D86"/>
    <w:rsid w:val="00A73288"/>
    <w:rsid w:val="00A75C93"/>
    <w:rsid w:val="00A77E80"/>
    <w:rsid w:val="00A87A0A"/>
    <w:rsid w:val="00A9040E"/>
    <w:rsid w:val="00A9091A"/>
    <w:rsid w:val="00A91099"/>
    <w:rsid w:val="00A94121"/>
    <w:rsid w:val="00A960B0"/>
    <w:rsid w:val="00A972FD"/>
    <w:rsid w:val="00A974A2"/>
    <w:rsid w:val="00AA07BB"/>
    <w:rsid w:val="00AA1F18"/>
    <w:rsid w:val="00AA38F9"/>
    <w:rsid w:val="00AB1939"/>
    <w:rsid w:val="00AB1D68"/>
    <w:rsid w:val="00AC197E"/>
    <w:rsid w:val="00AC1B64"/>
    <w:rsid w:val="00AC4217"/>
    <w:rsid w:val="00AC6D80"/>
    <w:rsid w:val="00AC7A3A"/>
    <w:rsid w:val="00AC7B32"/>
    <w:rsid w:val="00AD1B6A"/>
    <w:rsid w:val="00AD2A61"/>
    <w:rsid w:val="00AD4C08"/>
    <w:rsid w:val="00AE2E6C"/>
    <w:rsid w:val="00AE3CFB"/>
    <w:rsid w:val="00AF0517"/>
    <w:rsid w:val="00AF30B3"/>
    <w:rsid w:val="00AF48B2"/>
    <w:rsid w:val="00AF5991"/>
    <w:rsid w:val="00B01660"/>
    <w:rsid w:val="00B038BF"/>
    <w:rsid w:val="00B05F43"/>
    <w:rsid w:val="00B1044B"/>
    <w:rsid w:val="00B13CFF"/>
    <w:rsid w:val="00B13DC5"/>
    <w:rsid w:val="00B150F5"/>
    <w:rsid w:val="00B162DB"/>
    <w:rsid w:val="00B17D30"/>
    <w:rsid w:val="00B202E6"/>
    <w:rsid w:val="00B21F58"/>
    <w:rsid w:val="00B23FCD"/>
    <w:rsid w:val="00B25525"/>
    <w:rsid w:val="00B258FA"/>
    <w:rsid w:val="00B261D4"/>
    <w:rsid w:val="00B31309"/>
    <w:rsid w:val="00B316AA"/>
    <w:rsid w:val="00B31F08"/>
    <w:rsid w:val="00B34D0A"/>
    <w:rsid w:val="00B3567D"/>
    <w:rsid w:val="00B3649B"/>
    <w:rsid w:val="00B44E8B"/>
    <w:rsid w:val="00B453A5"/>
    <w:rsid w:val="00B454F9"/>
    <w:rsid w:val="00B50217"/>
    <w:rsid w:val="00B53EE1"/>
    <w:rsid w:val="00B5617D"/>
    <w:rsid w:val="00B61F69"/>
    <w:rsid w:val="00B64582"/>
    <w:rsid w:val="00B64FDB"/>
    <w:rsid w:val="00B6527F"/>
    <w:rsid w:val="00B67588"/>
    <w:rsid w:val="00B70220"/>
    <w:rsid w:val="00B717F0"/>
    <w:rsid w:val="00B71E60"/>
    <w:rsid w:val="00B73354"/>
    <w:rsid w:val="00B775AF"/>
    <w:rsid w:val="00B821D0"/>
    <w:rsid w:val="00B86786"/>
    <w:rsid w:val="00B86C36"/>
    <w:rsid w:val="00B87DA1"/>
    <w:rsid w:val="00B92816"/>
    <w:rsid w:val="00B93DC1"/>
    <w:rsid w:val="00B94A2B"/>
    <w:rsid w:val="00B950DE"/>
    <w:rsid w:val="00B96B38"/>
    <w:rsid w:val="00BA0039"/>
    <w:rsid w:val="00BA157F"/>
    <w:rsid w:val="00BA1738"/>
    <w:rsid w:val="00BA3774"/>
    <w:rsid w:val="00BB051E"/>
    <w:rsid w:val="00BB19E2"/>
    <w:rsid w:val="00BB25E9"/>
    <w:rsid w:val="00BB4C99"/>
    <w:rsid w:val="00BB4F75"/>
    <w:rsid w:val="00BB51CD"/>
    <w:rsid w:val="00BB58FC"/>
    <w:rsid w:val="00BB68DD"/>
    <w:rsid w:val="00BC66B6"/>
    <w:rsid w:val="00BD5D09"/>
    <w:rsid w:val="00BD7C5A"/>
    <w:rsid w:val="00BE3E8F"/>
    <w:rsid w:val="00BE428E"/>
    <w:rsid w:val="00BF280B"/>
    <w:rsid w:val="00BF3E41"/>
    <w:rsid w:val="00BF415B"/>
    <w:rsid w:val="00C02C77"/>
    <w:rsid w:val="00C045C1"/>
    <w:rsid w:val="00C06D0A"/>
    <w:rsid w:val="00C07E70"/>
    <w:rsid w:val="00C10027"/>
    <w:rsid w:val="00C14A03"/>
    <w:rsid w:val="00C154CB"/>
    <w:rsid w:val="00C17B14"/>
    <w:rsid w:val="00C2291C"/>
    <w:rsid w:val="00C2359A"/>
    <w:rsid w:val="00C26333"/>
    <w:rsid w:val="00C30FA4"/>
    <w:rsid w:val="00C32E8C"/>
    <w:rsid w:val="00C37016"/>
    <w:rsid w:val="00C41398"/>
    <w:rsid w:val="00C415FA"/>
    <w:rsid w:val="00C41C0D"/>
    <w:rsid w:val="00C42051"/>
    <w:rsid w:val="00C42FF9"/>
    <w:rsid w:val="00C50E14"/>
    <w:rsid w:val="00C51F09"/>
    <w:rsid w:val="00C52768"/>
    <w:rsid w:val="00C5316D"/>
    <w:rsid w:val="00C54124"/>
    <w:rsid w:val="00C61BD5"/>
    <w:rsid w:val="00C6618F"/>
    <w:rsid w:val="00C77303"/>
    <w:rsid w:val="00C77EE6"/>
    <w:rsid w:val="00C80AC5"/>
    <w:rsid w:val="00C80AF8"/>
    <w:rsid w:val="00C87B57"/>
    <w:rsid w:val="00C90040"/>
    <w:rsid w:val="00C91AF7"/>
    <w:rsid w:val="00C9532A"/>
    <w:rsid w:val="00C965A1"/>
    <w:rsid w:val="00CA19F7"/>
    <w:rsid w:val="00CA2FEE"/>
    <w:rsid w:val="00CA3066"/>
    <w:rsid w:val="00CA4AAD"/>
    <w:rsid w:val="00CB5F18"/>
    <w:rsid w:val="00CC01BC"/>
    <w:rsid w:val="00CC16AA"/>
    <w:rsid w:val="00CC1A1E"/>
    <w:rsid w:val="00CC1F9E"/>
    <w:rsid w:val="00CC7929"/>
    <w:rsid w:val="00CD1265"/>
    <w:rsid w:val="00CD1DEB"/>
    <w:rsid w:val="00CD2631"/>
    <w:rsid w:val="00CD3166"/>
    <w:rsid w:val="00CD50D5"/>
    <w:rsid w:val="00CD700F"/>
    <w:rsid w:val="00CE2D05"/>
    <w:rsid w:val="00CE44F3"/>
    <w:rsid w:val="00CE53DB"/>
    <w:rsid w:val="00CE5B1C"/>
    <w:rsid w:val="00CE6791"/>
    <w:rsid w:val="00CE6AE8"/>
    <w:rsid w:val="00CE791F"/>
    <w:rsid w:val="00CE793F"/>
    <w:rsid w:val="00CE7DE1"/>
    <w:rsid w:val="00CF083B"/>
    <w:rsid w:val="00CF0DC6"/>
    <w:rsid w:val="00CF4C94"/>
    <w:rsid w:val="00D04231"/>
    <w:rsid w:val="00D043BB"/>
    <w:rsid w:val="00D044AE"/>
    <w:rsid w:val="00D06620"/>
    <w:rsid w:val="00D142B3"/>
    <w:rsid w:val="00D149C5"/>
    <w:rsid w:val="00D16B6F"/>
    <w:rsid w:val="00D17E82"/>
    <w:rsid w:val="00D20843"/>
    <w:rsid w:val="00D24EEF"/>
    <w:rsid w:val="00D273C3"/>
    <w:rsid w:val="00D30908"/>
    <w:rsid w:val="00D34427"/>
    <w:rsid w:val="00D358A4"/>
    <w:rsid w:val="00D3637A"/>
    <w:rsid w:val="00D40791"/>
    <w:rsid w:val="00D428B7"/>
    <w:rsid w:val="00D47535"/>
    <w:rsid w:val="00D524E1"/>
    <w:rsid w:val="00D6295B"/>
    <w:rsid w:val="00D655F2"/>
    <w:rsid w:val="00D705F2"/>
    <w:rsid w:val="00D70E96"/>
    <w:rsid w:val="00D72161"/>
    <w:rsid w:val="00D73FFE"/>
    <w:rsid w:val="00D74939"/>
    <w:rsid w:val="00D76D48"/>
    <w:rsid w:val="00D770DA"/>
    <w:rsid w:val="00D80575"/>
    <w:rsid w:val="00D847B4"/>
    <w:rsid w:val="00D877E3"/>
    <w:rsid w:val="00D92A08"/>
    <w:rsid w:val="00D93420"/>
    <w:rsid w:val="00D93AE8"/>
    <w:rsid w:val="00DA01CC"/>
    <w:rsid w:val="00DA3A78"/>
    <w:rsid w:val="00DA53BE"/>
    <w:rsid w:val="00DB20C8"/>
    <w:rsid w:val="00DB651B"/>
    <w:rsid w:val="00DC1213"/>
    <w:rsid w:val="00DC19FE"/>
    <w:rsid w:val="00DC5995"/>
    <w:rsid w:val="00DC7AED"/>
    <w:rsid w:val="00DC7B5A"/>
    <w:rsid w:val="00DC7B6F"/>
    <w:rsid w:val="00DD060F"/>
    <w:rsid w:val="00DD081C"/>
    <w:rsid w:val="00DD6577"/>
    <w:rsid w:val="00DE0837"/>
    <w:rsid w:val="00DE1CD0"/>
    <w:rsid w:val="00DE397E"/>
    <w:rsid w:val="00DE4839"/>
    <w:rsid w:val="00DE5006"/>
    <w:rsid w:val="00DE5E5B"/>
    <w:rsid w:val="00E00464"/>
    <w:rsid w:val="00E01093"/>
    <w:rsid w:val="00E0510F"/>
    <w:rsid w:val="00E05413"/>
    <w:rsid w:val="00E059B9"/>
    <w:rsid w:val="00E07519"/>
    <w:rsid w:val="00E10A45"/>
    <w:rsid w:val="00E10B74"/>
    <w:rsid w:val="00E14337"/>
    <w:rsid w:val="00E15D56"/>
    <w:rsid w:val="00E15F23"/>
    <w:rsid w:val="00E2242D"/>
    <w:rsid w:val="00E22616"/>
    <w:rsid w:val="00E26EA7"/>
    <w:rsid w:val="00E276CB"/>
    <w:rsid w:val="00E32B12"/>
    <w:rsid w:val="00E34B3D"/>
    <w:rsid w:val="00E3664B"/>
    <w:rsid w:val="00E377DF"/>
    <w:rsid w:val="00E37C71"/>
    <w:rsid w:val="00E451F3"/>
    <w:rsid w:val="00E47D38"/>
    <w:rsid w:val="00E5507F"/>
    <w:rsid w:val="00E56422"/>
    <w:rsid w:val="00E60598"/>
    <w:rsid w:val="00E64633"/>
    <w:rsid w:val="00E65520"/>
    <w:rsid w:val="00E65E08"/>
    <w:rsid w:val="00E67EEB"/>
    <w:rsid w:val="00E708C0"/>
    <w:rsid w:val="00E70CC1"/>
    <w:rsid w:val="00E74DBB"/>
    <w:rsid w:val="00E80D30"/>
    <w:rsid w:val="00E84A0D"/>
    <w:rsid w:val="00E925E0"/>
    <w:rsid w:val="00E927ED"/>
    <w:rsid w:val="00E92C36"/>
    <w:rsid w:val="00E96B91"/>
    <w:rsid w:val="00E97512"/>
    <w:rsid w:val="00EA1EBE"/>
    <w:rsid w:val="00EA263A"/>
    <w:rsid w:val="00EA339F"/>
    <w:rsid w:val="00EA3A0E"/>
    <w:rsid w:val="00EA3B5F"/>
    <w:rsid w:val="00EB191B"/>
    <w:rsid w:val="00EB31D1"/>
    <w:rsid w:val="00EB4D2B"/>
    <w:rsid w:val="00EC259E"/>
    <w:rsid w:val="00EC2839"/>
    <w:rsid w:val="00EC4DCB"/>
    <w:rsid w:val="00EC6459"/>
    <w:rsid w:val="00EC75DD"/>
    <w:rsid w:val="00ED07D5"/>
    <w:rsid w:val="00ED0814"/>
    <w:rsid w:val="00ED11A3"/>
    <w:rsid w:val="00ED4BAE"/>
    <w:rsid w:val="00EE073B"/>
    <w:rsid w:val="00EF0C21"/>
    <w:rsid w:val="00EF3825"/>
    <w:rsid w:val="00EF4557"/>
    <w:rsid w:val="00EF7FFC"/>
    <w:rsid w:val="00F048DD"/>
    <w:rsid w:val="00F060FB"/>
    <w:rsid w:val="00F06F77"/>
    <w:rsid w:val="00F076AD"/>
    <w:rsid w:val="00F07BDE"/>
    <w:rsid w:val="00F116FE"/>
    <w:rsid w:val="00F11C9B"/>
    <w:rsid w:val="00F12A9C"/>
    <w:rsid w:val="00F13CB7"/>
    <w:rsid w:val="00F15408"/>
    <w:rsid w:val="00F15FEC"/>
    <w:rsid w:val="00F17E10"/>
    <w:rsid w:val="00F2098A"/>
    <w:rsid w:val="00F20D28"/>
    <w:rsid w:val="00F22DE2"/>
    <w:rsid w:val="00F2358F"/>
    <w:rsid w:val="00F26F59"/>
    <w:rsid w:val="00F31307"/>
    <w:rsid w:val="00F35F87"/>
    <w:rsid w:val="00F37296"/>
    <w:rsid w:val="00F44B9B"/>
    <w:rsid w:val="00F4659A"/>
    <w:rsid w:val="00F522ED"/>
    <w:rsid w:val="00F524CD"/>
    <w:rsid w:val="00F60EE2"/>
    <w:rsid w:val="00F614BA"/>
    <w:rsid w:val="00F640E7"/>
    <w:rsid w:val="00F6715A"/>
    <w:rsid w:val="00F70EA3"/>
    <w:rsid w:val="00F70F0C"/>
    <w:rsid w:val="00F740BA"/>
    <w:rsid w:val="00F74B75"/>
    <w:rsid w:val="00F77171"/>
    <w:rsid w:val="00F77AA1"/>
    <w:rsid w:val="00F81EE9"/>
    <w:rsid w:val="00F8440A"/>
    <w:rsid w:val="00F9386A"/>
    <w:rsid w:val="00F95C9A"/>
    <w:rsid w:val="00F964F8"/>
    <w:rsid w:val="00FA3C02"/>
    <w:rsid w:val="00FA49BE"/>
    <w:rsid w:val="00FA6904"/>
    <w:rsid w:val="00FB41ED"/>
    <w:rsid w:val="00FB523F"/>
    <w:rsid w:val="00FB54B6"/>
    <w:rsid w:val="00FC1201"/>
    <w:rsid w:val="00FC2804"/>
    <w:rsid w:val="00FC56B6"/>
    <w:rsid w:val="00FD084B"/>
    <w:rsid w:val="00FD11DA"/>
    <w:rsid w:val="00FE3F8E"/>
    <w:rsid w:val="00FE5F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none [1300]" strokecolor="none [3204]">
      <v:fill color="none [1300]"/>
      <v:stroke color="none [3204]" weight="5pt" linestyle="thickThin"/>
      <v:shadow color="#868686"/>
      <v:textbox style="mso-fit-shape-to-text:t"/>
    </o:shapedefaults>
    <o:shapelayout v:ext="edit">
      <o:idmap v:ext="edit" data="2"/>
    </o:shapelayout>
  </w:shapeDefaults>
  <w:decimalSymbol w:val="."/>
  <w:listSeparator w:val=","/>
  <w14:docId w14:val="3D46ABB2"/>
  <w15:chartTrackingRefBased/>
  <w15:docId w15:val="{8387EC92-FE1B-4F1F-B062-CA4257947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1"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4" w:qFormat="1"/>
    <w:lsdException w:name="table of figures" w:semiHidden="1" w:unhideWhenUsed="1"/>
    <w:lsdException w:name="envelope address" w:semiHidden="1" w:uiPriority="2" w:unhideWhenUsed="1"/>
    <w:lsdException w:name="envelope return" w:semiHidden="1" w:uiPriority="2" w:unhideWhenUsed="1"/>
    <w:lsdException w:name="footnote reference" w:semiHidden="1" w:unhideWhenUsed="1"/>
    <w:lsdException w:name="annotation reference" w:semiHidden="1" w:unhideWhenUsed="1"/>
    <w:lsdException w:name="line number" w:semiHidden="1" w:uiPriority="2" w:unhideWhenUsed="1"/>
    <w:lsdException w:name="page number" w:semiHidden="1" w:uiPriority="2" w:unhideWhenUsed="1"/>
    <w:lsdException w:name="endnote reference" w:semiHidden="1" w:unhideWhenUsed="1"/>
    <w:lsdException w:name="endnote text" w:semiHidden="1" w:unhideWhenUsed="1"/>
    <w:lsdException w:name="table of authorities" w:semiHidden="1" w:uiPriority="2" w:unhideWhenUsed="1"/>
    <w:lsdException w:name="macro" w:semiHidden="1" w:uiPriority="2" w:unhideWhenUsed="1"/>
    <w:lsdException w:name="toa heading" w:semiHidden="1" w:uiPriority="0" w:unhideWhenUsed="1"/>
    <w:lsdException w:name="List" w:semiHidden="1" w:uiPriority="2" w:unhideWhenUsed="1"/>
    <w:lsdException w:name="List Bullet" w:semiHidden="1" w:uiPriority="2" w:unhideWhenUsed="1"/>
    <w:lsdException w:name="List Number" w:semiHidden="1" w:uiPriority="2" w:unhideWhenUsed="1"/>
    <w:lsdException w:name="List 2" w:semiHidden="1" w:uiPriority="2" w:unhideWhenUsed="1"/>
    <w:lsdException w:name="List 3" w:semiHidden="1" w:uiPriority="2" w:unhideWhenUsed="1"/>
    <w:lsdException w:name="List 4" w:semiHidden="1" w:uiPriority="2" w:unhideWhenUsed="1"/>
    <w:lsdException w:name="List 5" w:semiHidden="1" w:uiPriority="2" w:unhideWhenUsed="1"/>
    <w:lsdException w:name="List Bullet 2" w:semiHidden="1" w:uiPriority="2" w:unhideWhenUsed="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2" w:qFormat="1"/>
    <w:lsdException w:name="Closing" w:semiHidden="1" w:uiPriority="2" w:unhideWhenUsed="1"/>
    <w:lsdException w:name="Signature" w:semiHidden="1" w:uiPriority="2" w:unhideWhenUsed="1"/>
    <w:lsdException w:name="Default Paragraph Font" w:semiHidden="1" w:uiPriority="0" w:unhideWhenUsed="1"/>
    <w:lsdException w:name="Body Text" w:semiHidden="1" w:uiPriority="2" w:unhideWhenUsed="1" w:qFormat="1"/>
    <w:lsdException w:name="Body Text Indent" w:semiHidden="1" w:uiPriority="0"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uiPriority="2" w:unhideWhenUsed="1"/>
    <w:lsdException w:name="Subtitle" w:uiPriority="2" w:qFormat="1"/>
    <w:lsdException w:name="Salutation" w:semiHidden="1" w:uiPriority="2" w:unhideWhenUsed="1"/>
    <w:lsdException w:name="Date" w:semiHidden="1" w:uiPriority="2" w:unhideWhenUsed="1"/>
    <w:lsdException w:name="Body Text First Indent" w:semiHidden="1" w:unhideWhenUsed="1"/>
    <w:lsdException w:name="Body Text First Indent 2" w:semiHidden="1" w:unhideWhenUsed="1"/>
    <w:lsdException w:name="Note Heading" w:semiHidden="1" w:uiPriority="2"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 w:qFormat="1"/>
    <w:lsdException w:name="Document Map" w:semiHidden="1" w:uiPriority="2" w:unhideWhenUsed="1"/>
    <w:lsdException w:name="Plain Text" w:semiHidden="1" w:uiPriority="2" w:unhideWhenUsed="1"/>
    <w:lsdException w:name="E-mail Signature" w:semiHidden="1" w:uiPriority="2"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2"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51CD"/>
    <w:pPr>
      <w:spacing w:before="120" w:after="120" w:line="360" w:lineRule="auto"/>
    </w:pPr>
    <w:rPr>
      <w:rFonts w:ascii="Arial" w:hAnsi="Arial"/>
      <w:sz w:val="24"/>
      <w:szCs w:val="24"/>
      <w:lang w:eastAsia="en-US"/>
    </w:rPr>
  </w:style>
  <w:style w:type="paragraph" w:styleId="Heading1">
    <w:name w:val="heading 1"/>
    <w:aliases w:val="Heading 11,Centre,R Heading 1"/>
    <w:basedOn w:val="Normal"/>
    <w:next w:val="Normal"/>
    <w:link w:val="Heading1Char"/>
    <w:autoRedefine/>
    <w:qFormat/>
    <w:rsid w:val="00F77171"/>
    <w:pPr>
      <w:keepNext/>
      <w:spacing w:before="240" w:after="60"/>
      <w:outlineLvl w:val="0"/>
    </w:pPr>
    <w:rPr>
      <w:b/>
      <w:bCs/>
      <w:color w:val="008938"/>
      <w:kern w:val="32"/>
      <w:sz w:val="40"/>
      <w:szCs w:val="32"/>
    </w:rPr>
  </w:style>
  <w:style w:type="paragraph" w:styleId="Heading2">
    <w:name w:val="heading 2"/>
    <w:aliases w:val="Heading 21,2/1,2,R Heading 2"/>
    <w:basedOn w:val="Normal"/>
    <w:next w:val="Normal"/>
    <w:link w:val="Heading2Char"/>
    <w:qFormat/>
    <w:rsid w:val="003C08AB"/>
    <w:pPr>
      <w:keepNext/>
      <w:numPr>
        <w:ilvl w:val="1"/>
        <w:numId w:val="1"/>
      </w:numPr>
      <w:spacing w:before="240" w:after="240"/>
      <w:outlineLvl w:val="1"/>
    </w:pPr>
    <w:rPr>
      <w:rFonts w:cs="Arial"/>
      <w:b/>
      <w:bCs/>
      <w:iCs/>
      <w:color w:val="008938"/>
      <w:sz w:val="28"/>
      <w:szCs w:val="28"/>
    </w:rPr>
  </w:style>
  <w:style w:type="paragraph" w:styleId="Heading3">
    <w:name w:val="heading 3"/>
    <w:aliases w:val="R Heading 3"/>
    <w:basedOn w:val="Normal"/>
    <w:next w:val="Normal"/>
    <w:link w:val="Heading3Char"/>
    <w:qFormat/>
    <w:rsid w:val="0046508E"/>
    <w:pPr>
      <w:keepNext/>
      <w:numPr>
        <w:ilvl w:val="2"/>
        <w:numId w:val="1"/>
      </w:numPr>
      <w:tabs>
        <w:tab w:val="left" w:pos="1134"/>
      </w:tabs>
      <w:spacing w:before="240" w:after="240"/>
      <w:outlineLvl w:val="2"/>
    </w:pPr>
    <w:rPr>
      <w:rFonts w:cs="Arial"/>
      <w:b/>
      <w:bCs/>
      <w:color w:val="008938"/>
      <w:szCs w:val="26"/>
    </w:rPr>
  </w:style>
  <w:style w:type="paragraph" w:styleId="Heading4">
    <w:name w:val="heading 4"/>
    <w:aliases w:val="R Heading 4"/>
    <w:basedOn w:val="Normal"/>
    <w:next w:val="Normal"/>
    <w:link w:val="Heading4Char"/>
    <w:autoRedefine/>
    <w:uiPriority w:val="1"/>
    <w:qFormat/>
    <w:pPr>
      <w:keepNext/>
      <w:spacing w:before="240" w:after="240"/>
      <w:outlineLvl w:val="3"/>
    </w:pPr>
    <w:rPr>
      <w:b/>
      <w:bCs/>
    </w:rPr>
  </w:style>
  <w:style w:type="paragraph" w:styleId="Heading5">
    <w:name w:val="heading 5"/>
    <w:basedOn w:val="Normal"/>
    <w:next w:val="Normal"/>
    <w:link w:val="Heading5Char"/>
    <w:qFormat/>
    <w:pPr>
      <w:outlineLvl w:val="4"/>
    </w:pPr>
    <w:rPr>
      <w:b/>
      <w:bCs/>
      <w:iCs/>
      <w:szCs w:val="26"/>
    </w:rPr>
  </w:style>
  <w:style w:type="paragraph" w:styleId="Heading6">
    <w:name w:val="heading 6"/>
    <w:basedOn w:val="Normal"/>
    <w:next w:val="Normal"/>
    <w:link w:val="Heading6Char"/>
    <w:qFormat/>
    <w:pPr>
      <w:outlineLvl w:val="5"/>
    </w:pPr>
    <w:rPr>
      <w:b/>
      <w:bCs/>
      <w:szCs w:val="22"/>
    </w:rPr>
  </w:style>
  <w:style w:type="paragraph" w:styleId="Heading7">
    <w:name w:val="heading 7"/>
    <w:basedOn w:val="Normal"/>
    <w:next w:val="Normal"/>
    <w:link w:val="Heading7Char"/>
    <w:qFormat/>
    <w:pPr>
      <w:outlineLvl w:val="6"/>
    </w:pPr>
    <w:rPr>
      <w:b/>
    </w:rPr>
  </w:style>
  <w:style w:type="paragraph" w:styleId="Heading8">
    <w:name w:val="heading 8"/>
    <w:basedOn w:val="Normal"/>
    <w:next w:val="Normal"/>
    <w:link w:val="Heading8Char"/>
    <w:qFormat/>
    <w:pPr>
      <w:spacing w:before="240" w:after="60"/>
      <w:outlineLvl w:val="7"/>
    </w:pPr>
    <w:rPr>
      <w:b/>
      <w:iCs/>
    </w:rPr>
  </w:style>
  <w:style w:type="paragraph" w:styleId="Heading9">
    <w:name w:val="heading 9"/>
    <w:basedOn w:val="Normal"/>
    <w:next w:val="Normal"/>
    <w:link w:val="Heading9Char"/>
    <w:qFormat/>
    <w:p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153"/>
        <w:tab w:val="right" w:pos="8306"/>
      </w:tabs>
    </w:pPr>
  </w:style>
  <w:style w:type="paragraph" w:styleId="Header">
    <w:name w:val="header"/>
    <w:aliases w:val="Main Title"/>
    <w:basedOn w:val="Normal"/>
    <w:link w:val="HeaderChar"/>
    <w:uiPriority w:val="99"/>
    <w:pPr>
      <w:tabs>
        <w:tab w:val="right" w:pos="9072"/>
      </w:tabs>
    </w:pPr>
  </w:style>
  <w:style w:type="paragraph" w:styleId="BodyText">
    <w:name w:val="Body Text"/>
    <w:aliases w:val="Bullet Point List Text"/>
    <w:basedOn w:val="Normal"/>
    <w:link w:val="BodyTextChar"/>
    <w:uiPriority w:val="2"/>
    <w:qFormat/>
  </w:style>
  <w:style w:type="paragraph" w:styleId="TOC1">
    <w:name w:val="toc 1"/>
    <w:basedOn w:val="Normal"/>
    <w:next w:val="Normal"/>
    <w:uiPriority w:val="39"/>
    <w:rsid w:val="00ED11A3"/>
    <w:pPr>
      <w:ind w:right="567"/>
    </w:pPr>
    <w:rPr>
      <w:b/>
      <w:color w:val="00AF41"/>
    </w:rPr>
  </w:style>
  <w:style w:type="paragraph" w:customStyle="1" w:styleId="HeadingPage">
    <w:name w:val="Heading Page"/>
    <w:pPr>
      <w:spacing w:before="240" w:line="480" w:lineRule="auto"/>
    </w:pPr>
    <w:rPr>
      <w:rFonts w:ascii="Arial" w:hAnsi="Arial"/>
      <w:b/>
      <w:sz w:val="40"/>
      <w:lang w:eastAsia="en-US"/>
    </w:rPr>
  </w:style>
  <w:style w:type="paragraph" w:styleId="TOC2">
    <w:name w:val="toc 2"/>
    <w:basedOn w:val="Normal"/>
    <w:next w:val="Normal"/>
    <w:uiPriority w:val="39"/>
    <w:rsid w:val="00ED11A3"/>
    <w:pPr>
      <w:ind w:left="284" w:right="567"/>
    </w:pPr>
    <w:rPr>
      <w:sz w:val="22"/>
    </w:rPr>
  </w:style>
  <w:style w:type="paragraph" w:styleId="TOC3">
    <w:name w:val="toc 3"/>
    <w:basedOn w:val="Normal"/>
    <w:next w:val="Normal"/>
    <w:uiPriority w:val="39"/>
    <w:rsid w:val="00CA2FEE"/>
    <w:pPr>
      <w:ind w:left="567" w:right="567"/>
    </w:pPr>
  </w:style>
  <w:style w:type="paragraph" w:styleId="TOC4">
    <w:name w:val="toc 4"/>
    <w:basedOn w:val="Normal"/>
    <w:next w:val="Normal"/>
    <w:autoRedefine/>
    <w:uiPriority w:val="39"/>
    <w:pPr>
      <w:ind w:left="600"/>
    </w:pPr>
  </w:style>
  <w:style w:type="paragraph" w:styleId="TOC5">
    <w:name w:val="toc 5"/>
    <w:basedOn w:val="Normal"/>
    <w:next w:val="Normal"/>
    <w:autoRedefine/>
    <w:uiPriority w:val="39"/>
    <w:pPr>
      <w:ind w:left="800"/>
    </w:pPr>
  </w:style>
  <w:style w:type="paragraph" w:styleId="TOC6">
    <w:name w:val="toc 6"/>
    <w:basedOn w:val="Normal"/>
    <w:next w:val="Normal"/>
    <w:autoRedefine/>
    <w:uiPriority w:val="39"/>
    <w:pPr>
      <w:ind w:left="1000"/>
    </w:pPr>
  </w:style>
  <w:style w:type="paragraph" w:styleId="TOC7">
    <w:name w:val="toc 7"/>
    <w:basedOn w:val="Normal"/>
    <w:next w:val="Normal"/>
    <w:autoRedefine/>
    <w:uiPriority w:val="39"/>
    <w:pPr>
      <w:ind w:left="1200"/>
    </w:pPr>
  </w:style>
  <w:style w:type="paragraph" w:styleId="TOC8">
    <w:name w:val="toc 8"/>
    <w:basedOn w:val="Normal"/>
    <w:next w:val="Normal"/>
    <w:autoRedefine/>
    <w:uiPriority w:val="39"/>
    <w:pPr>
      <w:ind w:left="1400"/>
    </w:pPr>
  </w:style>
  <w:style w:type="paragraph" w:styleId="TOC9">
    <w:name w:val="toc 9"/>
    <w:basedOn w:val="Normal"/>
    <w:next w:val="Normal"/>
    <w:autoRedefine/>
    <w:uiPriority w:val="39"/>
    <w:pPr>
      <w:ind w:left="1600"/>
    </w:pPr>
  </w:style>
  <w:style w:type="character" w:styleId="Hyperlink">
    <w:name w:val="Hyperlink"/>
    <w:uiPriority w:val="99"/>
    <w:rPr>
      <w:color w:val="0000FF"/>
      <w:u w:val="single"/>
    </w:rPr>
  </w:style>
  <w:style w:type="paragraph" w:styleId="Caption">
    <w:name w:val="caption"/>
    <w:aliases w:val="R Caption"/>
    <w:basedOn w:val="Normal"/>
    <w:next w:val="Normal"/>
    <w:link w:val="CaptionChar"/>
    <w:uiPriority w:val="4"/>
    <w:qFormat/>
    <w:rsid w:val="0046508E"/>
    <w:pPr>
      <w:keepNext/>
      <w:tabs>
        <w:tab w:val="left" w:pos="1134"/>
      </w:tabs>
      <w:spacing w:before="240"/>
    </w:pPr>
    <w:rPr>
      <w:b/>
      <w:bCs/>
      <w:color w:val="008938"/>
      <w:szCs w:val="20"/>
    </w:rPr>
  </w:style>
  <w:style w:type="character" w:styleId="PageNumber">
    <w:name w:val="page number"/>
    <w:uiPriority w:val="2"/>
    <w:semiHidden/>
    <w:rPr>
      <w:rFonts w:ascii="Arial" w:hAnsi="Arial"/>
      <w:sz w:val="20"/>
    </w:rPr>
  </w:style>
  <w:style w:type="paragraph" w:customStyle="1" w:styleId="Tableheading">
    <w:name w:val="Table heading"/>
    <w:basedOn w:val="Normal"/>
    <w:rPr>
      <w:b/>
    </w:rPr>
  </w:style>
  <w:style w:type="paragraph" w:customStyle="1" w:styleId="Tablecolumnheading">
    <w:name w:val="Table column heading"/>
    <w:basedOn w:val="Normal"/>
  </w:style>
  <w:style w:type="paragraph" w:customStyle="1" w:styleId="Tablecontent">
    <w:name w:val="Table content"/>
    <w:basedOn w:val="Normal"/>
    <w:rPr>
      <w:sz w:val="16"/>
    </w:rPr>
  </w:style>
  <w:style w:type="paragraph" w:styleId="FootnoteText">
    <w:name w:val="footnote text"/>
    <w:aliases w:val="RSK-FT,RSK-FT1,RSK-FT2,Harestanes Ref, Char3,Char3,Char, Char,Char1,Footnote Text CEP,Footnote Text Char Char,Footnote Text Char1 Char Char,Footnote Text Char Char Char Char,Footnote Text Char1 Char Char Char Char"/>
    <w:basedOn w:val="Normal"/>
    <w:link w:val="FootnoteTextChar"/>
    <w:uiPriority w:val="99"/>
    <w:qFormat/>
    <w:rPr>
      <w:sz w:val="14"/>
      <w:szCs w:val="20"/>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rPr>
      <w:szCs w:val="20"/>
    </w:rPr>
  </w:style>
  <w:style w:type="paragraph" w:customStyle="1" w:styleId="Bulletedtext">
    <w:name w:val="Bulleted text"/>
    <w:basedOn w:val="Normal"/>
    <w:pPr>
      <w:numPr>
        <w:numId w:val="2"/>
      </w:numPr>
    </w:pPr>
  </w:style>
  <w:style w:type="character" w:styleId="FollowedHyperlink">
    <w:name w:val="FollowedHyperlink"/>
    <w:uiPriority w:val="99"/>
    <w:semiHidden/>
    <w:rPr>
      <w:color w:val="800080"/>
      <w:u w:val="single"/>
    </w:rPr>
  </w:style>
  <w:style w:type="paragraph" w:styleId="MacroText">
    <w:name w:val="macro"/>
    <w:link w:val="MacroTextChar"/>
    <w:uiPriority w:val="2"/>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Pr>
      <w:rFonts w:ascii="Frutiger 55 Roman" w:hAnsi="Frutiger 55 Roman"/>
      <w:b/>
      <w:sz w:val="28"/>
      <w:szCs w:val="20"/>
    </w:rPr>
  </w:style>
  <w:style w:type="paragraph" w:styleId="Title">
    <w:name w:val="Title"/>
    <w:basedOn w:val="Normal"/>
    <w:link w:val="TitleChar"/>
    <w:uiPriority w:val="2"/>
    <w:qFormat/>
    <w:rPr>
      <w:rFonts w:ascii="Frutiger 55 Roman" w:hAnsi="Frutiger 55 Roman"/>
      <w:b/>
      <w:kern w:val="28"/>
      <w:sz w:val="28"/>
      <w:szCs w:val="20"/>
    </w:rPr>
  </w:style>
  <w:style w:type="paragraph" w:styleId="TableofFigures">
    <w:name w:val="table of figures"/>
    <w:aliases w:val="List of Tables"/>
    <w:basedOn w:val="Normal"/>
    <w:next w:val="Normal"/>
    <w:uiPriority w:val="99"/>
    <w:rsid w:val="00BE428E"/>
    <w:pPr>
      <w:tabs>
        <w:tab w:val="right" w:leader="dot" w:pos="9072"/>
      </w:tabs>
      <w:ind w:left="1134" w:hanging="1134"/>
    </w:pPr>
    <w:rPr>
      <w:szCs w:val="20"/>
    </w:rPr>
  </w:style>
  <w:style w:type="paragraph" w:styleId="Subtitle">
    <w:name w:val="Subtitle"/>
    <w:basedOn w:val="Normal"/>
    <w:link w:val="SubtitleChar"/>
    <w:uiPriority w:val="2"/>
    <w:qFormat/>
    <w:rPr>
      <w:rFonts w:ascii="Frutiger 55 Roman" w:hAnsi="Frutiger 55 Roman"/>
      <w:sz w:val="18"/>
      <w:szCs w:val="20"/>
    </w:rPr>
  </w:style>
  <w:style w:type="paragraph" w:styleId="MessageHeader">
    <w:name w:val="Message Header"/>
    <w:basedOn w:val="Normal"/>
    <w:link w:val="MessageHeaderChar"/>
    <w:uiPriority w:val="2"/>
    <w:semiHidden/>
    <w:pPr>
      <w:ind w:left="1134" w:hanging="1134"/>
    </w:pPr>
    <w:rPr>
      <w:rFonts w:ascii="Frutiger 55 Roman" w:hAnsi="Frutiger 55 Roman"/>
      <w:sz w:val="18"/>
      <w:szCs w:val="20"/>
    </w:rPr>
  </w:style>
  <w:style w:type="paragraph" w:styleId="NormalIndent">
    <w:name w:val="Normal Indent"/>
    <w:basedOn w:val="Normal"/>
    <w:uiPriority w:val="2"/>
    <w:semiHidden/>
    <w:pPr>
      <w:ind w:left="851"/>
    </w:pPr>
    <w:rPr>
      <w:rFonts w:ascii="Verdana" w:hAnsi="Verdana"/>
      <w:sz w:val="18"/>
      <w:szCs w:val="20"/>
    </w:rPr>
  </w:style>
  <w:style w:type="paragraph" w:styleId="Index1">
    <w:name w:val="index 1"/>
    <w:basedOn w:val="Normal"/>
    <w:next w:val="Normal"/>
    <w:semiHidden/>
    <w:pPr>
      <w:tabs>
        <w:tab w:val="right" w:pos="9072"/>
      </w:tabs>
      <w:ind w:left="284" w:hanging="284"/>
    </w:pPr>
    <w:rPr>
      <w:rFonts w:ascii="Verdana" w:hAnsi="Verdana"/>
      <w:sz w:val="18"/>
      <w:szCs w:val="20"/>
    </w:rPr>
  </w:style>
  <w:style w:type="paragraph" w:styleId="IndexHeading">
    <w:name w:val="index heading"/>
    <w:basedOn w:val="Normal"/>
    <w:next w:val="Index1"/>
    <w:semiHidden/>
    <w:rPr>
      <w:rFonts w:ascii="Frutiger 55 Roman" w:hAnsi="Frutiger 55 Roman"/>
      <w:b/>
      <w:sz w:val="28"/>
      <w:szCs w:val="20"/>
    </w:rPr>
  </w:style>
  <w:style w:type="paragraph" w:styleId="ListBullet">
    <w:name w:val="List Bullet"/>
    <w:basedOn w:val="Normal"/>
    <w:uiPriority w:val="2"/>
    <w:semiHidden/>
    <w:pPr>
      <w:ind w:left="283" w:hanging="283"/>
    </w:pPr>
    <w:rPr>
      <w:rFonts w:ascii="Verdana" w:hAnsi="Verdana"/>
      <w:sz w:val="18"/>
      <w:szCs w:val="20"/>
    </w:rPr>
  </w:style>
  <w:style w:type="paragraph" w:styleId="ListNumber">
    <w:name w:val="List Number"/>
    <w:basedOn w:val="Normal"/>
    <w:uiPriority w:val="2"/>
    <w:semiHidden/>
    <w:rPr>
      <w:rFonts w:ascii="Verdana" w:hAnsi="Verdana"/>
      <w:sz w:val="18"/>
      <w:szCs w:val="20"/>
    </w:rPr>
  </w:style>
  <w:style w:type="paragraph" w:styleId="ListNumber2">
    <w:name w:val="List Number 2"/>
    <w:basedOn w:val="Normal"/>
    <w:uiPriority w:val="2"/>
    <w:semiHidden/>
    <w:pPr>
      <w:ind w:left="567"/>
    </w:pPr>
    <w:rPr>
      <w:rFonts w:ascii="Verdana" w:hAnsi="Verdana"/>
      <w:sz w:val="18"/>
      <w:szCs w:val="20"/>
    </w:rPr>
  </w:style>
  <w:style w:type="paragraph" w:styleId="ListNumber3">
    <w:name w:val="List Number 3"/>
    <w:basedOn w:val="Normal"/>
    <w:uiPriority w:val="2"/>
    <w:semiHidden/>
    <w:pPr>
      <w:ind w:left="1134"/>
    </w:pPr>
    <w:rPr>
      <w:rFonts w:ascii="Verdana" w:hAnsi="Verdana"/>
      <w:sz w:val="18"/>
      <w:szCs w:val="20"/>
    </w:rPr>
  </w:style>
  <w:style w:type="paragraph" w:styleId="ListNumber4">
    <w:name w:val="List Number 4"/>
    <w:basedOn w:val="Normal"/>
    <w:uiPriority w:val="2"/>
    <w:semiHidden/>
    <w:pPr>
      <w:ind w:left="1701"/>
    </w:pPr>
    <w:rPr>
      <w:rFonts w:ascii="Verdana" w:hAnsi="Verdana"/>
      <w:sz w:val="18"/>
      <w:szCs w:val="20"/>
    </w:rPr>
  </w:style>
  <w:style w:type="paragraph" w:styleId="ListNumber5">
    <w:name w:val="List Number 5"/>
    <w:basedOn w:val="Normal"/>
    <w:uiPriority w:val="2"/>
    <w:semiHidden/>
    <w:pPr>
      <w:ind w:left="2268"/>
    </w:pPr>
    <w:rPr>
      <w:rFonts w:ascii="Verdana" w:hAnsi="Verdana"/>
      <w:sz w:val="18"/>
      <w:szCs w:val="20"/>
    </w:rPr>
  </w:style>
  <w:style w:type="paragraph" w:styleId="ListBullet2">
    <w:name w:val="List Bullet 2"/>
    <w:basedOn w:val="Normal"/>
    <w:uiPriority w:val="2"/>
    <w:semiHidden/>
    <w:pPr>
      <w:ind w:left="566" w:hanging="283"/>
    </w:pPr>
    <w:rPr>
      <w:rFonts w:ascii="Verdana" w:hAnsi="Verdana"/>
      <w:sz w:val="18"/>
      <w:szCs w:val="20"/>
    </w:rPr>
  </w:style>
  <w:style w:type="paragraph" w:styleId="ListBullet3">
    <w:name w:val="List Bullet 3"/>
    <w:basedOn w:val="Normal"/>
    <w:uiPriority w:val="2"/>
    <w:semiHidden/>
    <w:pPr>
      <w:ind w:left="849" w:hanging="283"/>
    </w:pPr>
    <w:rPr>
      <w:rFonts w:ascii="Verdana" w:hAnsi="Verdana"/>
      <w:sz w:val="18"/>
      <w:szCs w:val="20"/>
    </w:rPr>
  </w:style>
  <w:style w:type="paragraph" w:styleId="ListBullet4">
    <w:name w:val="List Bullet 4"/>
    <w:basedOn w:val="Normal"/>
    <w:uiPriority w:val="2"/>
    <w:semiHidden/>
    <w:pPr>
      <w:ind w:left="1132" w:hanging="283"/>
    </w:pPr>
    <w:rPr>
      <w:rFonts w:ascii="Verdana" w:hAnsi="Verdana"/>
      <w:sz w:val="18"/>
      <w:szCs w:val="20"/>
    </w:rPr>
  </w:style>
  <w:style w:type="paragraph" w:styleId="ListBullet5">
    <w:name w:val="List Bullet 5"/>
    <w:basedOn w:val="Normal"/>
    <w:uiPriority w:val="2"/>
    <w:semiHidden/>
    <w:pPr>
      <w:ind w:left="1415" w:hanging="283"/>
    </w:pPr>
    <w:rPr>
      <w:rFonts w:ascii="Verdana" w:hAnsi="Verdana"/>
      <w:sz w:val="18"/>
      <w:szCs w:val="20"/>
    </w:rPr>
  </w:style>
  <w:style w:type="character" w:styleId="FootnoteReference">
    <w:name w:val="footnote reference"/>
    <w:aliases w:val="SUPERS,EN Footnote Reference,Footnote symbol,Footnote reference number,Footnote,Times 10 Point,Exposant 3 Point,Ref,de nota al pie,note TESI,number,Appel note de bas de p,fr,o"/>
    <w:uiPriority w:val="99"/>
    <w:rPr>
      <w:vertAlign w:val="superscript"/>
    </w:rPr>
  </w:style>
  <w:style w:type="paragraph" w:styleId="BodyText2">
    <w:name w:val="Body Text 2"/>
    <w:basedOn w:val="Normal"/>
    <w:semiHidden/>
    <w:pPr>
      <w:ind w:left="810"/>
    </w:pPr>
    <w:rPr>
      <w:rFonts w:ascii="Verdana" w:hAnsi="Verdana"/>
      <w:sz w:val="18"/>
      <w:szCs w:val="20"/>
    </w:rPr>
  </w:style>
  <w:style w:type="paragraph" w:styleId="BodyTextIndent">
    <w:name w:val="Body Text Indent"/>
    <w:basedOn w:val="Normal"/>
    <w:semiHidden/>
    <w:pPr>
      <w:tabs>
        <w:tab w:val="left" w:pos="1418"/>
      </w:tabs>
      <w:ind w:left="1418" w:hanging="1418"/>
    </w:pPr>
    <w:rPr>
      <w:rFonts w:ascii="Times New Roman" w:hAnsi="Times New Roman"/>
      <w:szCs w:val="20"/>
    </w:rPr>
  </w:style>
  <w:style w:type="paragraph" w:styleId="BodyTextIndent2">
    <w:name w:val="Body Text Indent 2"/>
    <w:basedOn w:val="Normal"/>
    <w:semiHidden/>
    <w:pPr>
      <w:tabs>
        <w:tab w:val="left" w:pos="1560"/>
      </w:tabs>
      <w:ind w:left="1843" w:hanging="1843"/>
    </w:pPr>
    <w:rPr>
      <w:rFonts w:ascii="Times New Roman" w:hAnsi="Times New Roman"/>
      <w:szCs w:val="20"/>
    </w:rPr>
  </w:style>
  <w:style w:type="paragraph" w:styleId="BodyText3">
    <w:name w:val="Body Text 3"/>
    <w:basedOn w:val="Normal"/>
    <w:link w:val="BodyText3Char"/>
    <w:semiHidden/>
    <w:pPr>
      <w:ind w:right="-569"/>
    </w:pPr>
    <w:rPr>
      <w:rFonts w:ascii="Verdana" w:hAnsi="Verdana"/>
      <w:sz w:val="18"/>
      <w:szCs w:val="20"/>
    </w:rPr>
  </w:style>
  <w:style w:type="paragraph" w:styleId="BodyTextIndent3">
    <w:name w:val="Body Text Indent 3"/>
    <w:basedOn w:val="Normal"/>
    <w:semiHidden/>
    <w:pPr>
      <w:widowControl w:val="0"/>
      <w:ind w:left="1695" w:firstLine="7"/>
    </w:pPr>
    <w:rPr>
      <w:rFonts w:ascii="Verdana" w:hAnsi="Verdana"/>
      <w:snapToGrid w:val="0"/>
      <w:sz w:val="18"/>
      <w:szCs w:val="20"/>
    </w:rPr>
  </w:style>
  <w:style w:type="paragraph" w:styleId="List">
    <w:name w:val="List"/>
    <w:basedOn w:val="Normal"/>
    <w:uiPriority w:val="2"/>
    <w:semiHidden/>
    <w:pPr>
      <w:ind w:left="283" w:hanging="283"/>
    </w:pPr>
    <w:rPr>
      <w:rFonts w:ascii="Verdana" w:hAnsi="Verdana"/>
      <w:sz w:val="18"/>
      <w:szCs w:val="20"/>
    </w:rPr>
  </w:style>
  <w:style w:type="paragraph" w:styleId="List2">
    <w:name w:val="List 2"/>
    <w:basedOn w:val="Normal"/>
    <w:uiPriority w:val="2"/>
    <w:semiHidden/>
    <w:pPr>
      <w:ind w:left="566" w:hanging="283"/>
    </w:pPr>
    <w:rPr>
      <w:rFonts w:ascii="Verdana" w:hAnsi="Verdana"/>
      <w:sz w:val="18"/>
      <w:szCs w:val="20"/>
    </w:rPr>
  </w:style>
  <w:style w:type="paragraph" w:customStyle="1" w:styleId="InsideAddress">
    <w:name w:val="Inside Address"/>
    <w:basedOn w:val="Normal"/>
    <w:rPr>
      <w:rFonts w:ascii="Verdana" w:hAnsi="Verdana"/>
      <w:sz w:val="18"/>
      <w:szCs w:val="20"/>
    </w:rPr>
  </w:style>
  <w:style w:type="paragraph" w:customStyle="1" w:styleId="ReferenceLine">
    <w:name w:val="Reference Line"/>
    <w:basedOn w:val="BodyText"/>
    <w:pPr>
      <w:spacing w:after="0"/>
    </w:pPr>
    <w:rPr>
      <w:rFonts w:ascii="Verdana" w:hAnsi="Verdana"/>
      <w:szCs w:val="20"/>
    </w:rPr>
  </w:style>
  <w:style w:type="paragraph" w:customStyle="1" w:styleId="TG41">
    <w:name w:val="TG4.1"/>
    <w:basedOn w:val="Normal"/>
    <w:pPr>
      <w:numPr>
        <w:ilvl w:val="1"/>
        <w:numId w:val="3"/>
      </w:numPr>
      <w:jc w:val="both"/>
    </w:pPr>
    <w:rPr>
      <w:sz w:val="18"/>
      <w:szCs w:val="20"/>
      <w:lang w:val="en-US"/>
    </w:rPr>
  </w:style>
  <w:style w:type="paragraph" w:customStyle="1" w:styleId="font5">
    <w:name w:val="font5"/>
    <w:basedOn w:val="Normal"/>
    <w:pPr>
      <w:spacing w:before="100" w:beforeAutospacing="1" w:after="100" w:afterAutospacing="1"/>
    </w:pPr>
    <w:rPr>
      <w:rFonts w:cs="Arial"/>
      <w:color w:val="FF0000"/>
      <w:sz w:val="18"/>
      <w:szCs w:val="20"/>
    </w:rPr>
  </w:style>
  <w:style w:type="paragraph" w:customStyle="1" w:styleId="DocHeading">
    <w:name w:val="DocHeading"/>
    <w:basedOn w:val="Normal"/>
    <w:next w:val="Normal"/>
    <w:rPr>
      <w:rFonts w:ascii="Times New Roman" w:hAnsi="Times New Roman"/>
      <w:b/>
      <w:caps/>
      <w:szCs w:val="20"/>
      <w:u w:val="single"/>
    </w:rPr>
  </w:style>
  <w:style w:type="paragraph" w:customStyle="1" w:styleId="TableNormal0">
    <w:name w:val="TableNormal"/>
    <w:basedOn w:val="Normal"/>
    <w:rPr>
      <w:rFonts w:ascii="Times New Roman" w:hAnsi="Times New Roman"/>
      <w:szCs w:val="20"/>
    </w:r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largetext1">
    <w:name w:val="largetext1"/>
    <w:rPr>
      <w:rFonts w:ascii="Verdana" w:hAnsi="Verdana" w:hint="default"/>
      <w:b w:val="0"/>
      <w:bCs w:val="0"/>
      <w:i w:val="0"/>
      <w:iCs w:val="0"/>
      <w:color w:val="000000"/>
      <w:sz w:val="24"/>
      <w:szCs w:val="24"/>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rPr>
      <w:rFonts w:cs="Times New Roman"/>
      <w:color w:val="auto"/>
      <w:sz w:val="20"/>
    </w:rPr>
  </w:style>
  <w:style w:type="paragraph" w:styleId="CommentSubject">
    <w:name w:val="annotation subject"/>
    <w:basedOn w:val="CommentText"/>
    <w:next w:val="CommentText"/>
    <w:link w:val="CommentSubjectChar"/>
    <w:uiPriority w:val="2"/>
    <w:semiHidden/>
    <w:rPr>
      <w:b/>
      <w:bCs/>
    </w:rPr>
  </w:style>
  <w:style w:type="paragraph" w:styleId="DocumentMap">
    <w:name w:val="Document Map"/>
    <w:basedOn w:val="Normal"/>
    <w:link w:val="DocumentMapChar"/>
    <w:uiPriority w:val="2"/>
    <w:semiHidden/>
    <w:pPr>
      <w:shd w:val="clear" w:color="auto" w:fill="000080"/>
    </w:pPr>
    <w:rPr>
      <w:rFonts w:ascii="Tahoma" w:hAnsi="Tahoma" w:cs="Tahoma"/>
      <w:szCs w:val="20"/>
    </w:rPr>
  </w:style>
  <w:style w:type="paragraph" w:customStyle="1" w:styleId="Style1">
    <w:name w:val="Style1"/>
    <w:basedOn w:val="Normal"/>
    <w:link w:val="Style1Char"/>
    <w:qFormat/>
    <w:rsid w:val="00BF280B"/>
  </w:style>
  <w:style w:type="paragraph" w:customStyle="1" w:styleId="DefaultParagraphFontParaChar">
    <w:name w:val="Default Paragraph Font Para Char"/>
    <w:basedOn w:val="Normal"/>
    <w:autoRedefine/>
    <w:pPr>
      <w:tabs>
        <w:tab w:val="left" w:pos="1134"/>
      </w:tabs>
      <w:jc w:val="both"/>
    </w:pPr>
    <w:rPr>
      <w:rFonts w:ascii="Times New Roman" w:hAnsi="Times New Roman"/>
      <w:noProof/>
      <w:color w:val="000000"/>
      <w:szCs w:val="20"/>
      <w:lang w:eastAsia="en-GB"/>
    </w:rPr>
  </w:style>
  <w:style w:type="table" w:styleId="TableGrid">
    <w:name w:val="Table Grid"/>
    <w:basedOn w:val="TableNormal"/>
    <w:uiPriority w:val="39"/>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rsid w:val="00BF280B"/>
    <w:rPr>
      <w:rFonts w:ascii="Arial" w:hAnsi="Arial"/>
      <w:sz w:val="24"/>
      <w:szCs w:val="24"/>
      <w:lang w:eastAsia="en-US"/>
    </w:rPr>
  </w:style>
  <w:style w:type="table" w:styleId="ColorfulShading-Accent1">
    <w:name w:val="Colorful Shading Accent 1"/>
    <w:basedOn w:val="TableNormal"/>
    <w:uiPriority w:val="71"/>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vAlign w:val="center"/>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character" w:customStyle="1" w:styleId="FooterChar">
    <w:name w:val="Footer Char"/>
    <w:link w:val="Footer"/>
    <w:uiPriority w:val="99"/>
    <w:rsid w:val="00C52768"/>
    <w:rPr>
      <w:rFonts w:ascii="Arial" w:hAnsi="Arial"/>
      <w:szCs w:val="24"/>
      <w:lang w:eastAsia="en-US"/>
    </w:rPr>
  </w:style>
  <w:style w:type="table" w:customStyle="1" w:styleId="YBTable">
    <w:name w:val="YBTable"/>
    <w:basedOn w:val="TableNormal"/>
    <w:uiPriority w:val="99"/>
    <w:rsid w:val="00C52768"/>
    <w:tblPr/>
  </w:style>
  <w:style w:type="table" w:styleId="ColorfulGrid-Accent1">
    <w:name w:val="Colorful Grid Accent 1"/>
    <w:basedOn w:val="TableNormal"/>
    <w:uiPriority w:val="73"/>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b/>
        <w:bCs/>
        <w:sz w:val="20"/>
      </w:rPr>
      <w:tblPr/>
      <w:tcPr>
        <w:shd w:val="clear" w:color="auto" w:fill="DAEEF3"/>
      </w:tcPr>
    </w:tblStylePr>
    <w:tblStylePr w:type="lastRow">
      <w:rPr>
        <w:rFonts w:ascii="Arial" w:hAnsi="Arial"/>
        <w:b/>
        <w:bCs/>
        <w:color w:val="000000"/>
        <w:sz w:val="20"/>
      </w:rPr>
      <w:tblPr/>
      <w:tcPr>
        <w:shd w:val="clear" w:color="auto" w:fill="DAEEF3"/>
      </w:tcPr>
    </w:tblStylePr>
    <w:tblStylePr w:type="firstCol">
      <w:rPr>
        <w:rFonts w:ascii="Arial" w:hAnsi="Arial"/>
        <w:color w:val="FFFFFF"/>
        <w:sz w:val="20"/>
      </w:rPr>
      <w:tblPr/>
      <w:tcPr>
        <w:shd w:val="clear" w:color="auto" w:fill="DAEEF3"/>
      </w:tcPr>
    </w:tblStylePr>
    <w:tblStylePr w:type="lastCol">
      <w:rPr>
        <w:rFonts w:ascii="Arial" w:hAnsi="Arial"/>
        <w:color w:val="FFFFFF"/>
        <w:sz w:val="20"/>
      </w:rPr>
      <w:tblPr/>
      <w:tcPr>
        <w:shd w:val="clear" w:color="auto" w:fill="DAEEF3"/>
      </w:tcPr>
    </w:tblStylePr>
    <w:tblStylePr w:type="band1Vert">
      <w:rPr>
        <w:rFonts w:ascii="Arial" w:hAnsi="Arial"/>
        <w:sz w:val="20"/>
      </w:rPr>
      <w:tblPr/>
      <w:tcPr>
        <w:shd w:val="clear" w:color="auto" w:fill="DAEEF3"/>
      </w:tcPr>
    </w:tblStylePr>
    <w:tblStylePr w:type="band2Vert">
      <w:rPr>
        <w:rFonts w:ascii="Arial" w:hAnsi="Arial"/>
        <w:sz w:val="20"/>
      </w:rPr>
      <w:tblPr/>
      <w:tcPr>
        <w:shd w:val="clear" w:color="auto" w:fill="DAEEF3"/>
      </w:tcPr>
    </w:tblStylePr>
    <w:tblStylePr w:type="band1Horz">
      <w:rPr>
        <w:rFonts w:ascii="Arial" w:hAnsi="Arial"/>
        <w:sz w:val="20"/>
      </w:rPr>
      <w:tblPr/>
      <w:tcPr>
        <w:shd w:val="clear" w:color="auto" w:fill="DAEEF3"/>
      </w:tcPr>
    </w:tblStylePr>
    <w:tblStylePr w:type="band2Horz">
      <w:rPr>
        <w:rFonts w:ascii="Arial" w:hAnsi="Arial"/>
        <w:sz w:val="20"/>
      </w:rPr>
      <w:tblPr/>
      <w:tcPr>
        <w:shd w:val="clear" w:color="auto" w:fill="DAEEF3"/>
      </w:tcPr>
    </w:tblStylePr>
  </w:style>
  <w:style w:type="table" w:customStyle="1" w:styleId="BlueTable">
    <w:name w:val="BlueTable"/>
    <w:basedOn w:val="TableNormal"/>
    <w:uiPriority w:val="99"/>
    <w:rsid w:val="00425BE5"/>
    <w:rPr>
      <w:rFonts w:ascii="Arial" w:hAnsi="Arial"/>
      <w:color w:val="0000FF"/>
    </w:rPr>
    <w:tblP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cPr>
      <w:shd w:val="clear" w:color="auto" w:fill="DAEEF3"/>
    </w:tcPr>
    <w:tblStylePr w:type="firstRow">
      <w:rPr>
        <w:rFonts w:ascii="Arial" w:hAnsi="Arial"/>
        <w:color w:val="0000FF"/>
        <w:sz w:val="20"/>
      </w:rPr>
      <w:tblPr/>
      <w:tcPr>
        <w:tc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cBorders>
        <w:shd w:val="clear" w:color="auto" w:fill="DAEEF3"/>
      </w:tcPr>
    </w:tblStylePr>
  </w:style>
  <w:style w:type="paragraph" w:customStyle="1" w:styleId="Grandtitre">
    <w:name w:val="Grand titre"/>
    <w:basedOn w:val="Normal"/>
    <w:rsid w:val="00605C8C"/>
    <w:pPr>
      <w:spacing w:line="680" w:lineRule="exact"/>
      <w:jc w:val="right"/>
    </w:pPr>
    <w:rPr>
      <w:b/>
      <w:i/>
      <w:color w:val="68665C"/>
      <w:sz w:val="64"/>
      <w:szCs w:val="20"/>
      <w:lang w:eastAsia="fr-FR"/>
    </w:rPr>
  </w:style>
  <w:style w:type="paragraph" w:customStyle="1" w:styleId="Sous-titrecouv">
    <w:name w:val="Sous-titre couv"/>
    <w:basedOn w:val="Normal"/>
    <w:rsid w:val="00605C8C"/>
    <w:pPr>
      <w:spacing w:line="520" w:lineRule="exact"/>
      <w:jc w:val="right"/>
    </w:pPr>
    <w:rPr>
      <w:b/>
      <w:i/>
      <w:color w:val="68665C"/>
      <w:sz w:val="52"/>
      <w:szCs w:val="20"/>
      <w:lang w:eastAsia="fr-FR"/>
    </w:rPr>
  </w:style>
  <w:style w:type="paragraph" w:customStyle="1" w:styleId="Departementnom">
    <w:name w:val="Departement nom"/>
    <w:basedOn w:val="Normal"/>
    <w:rsid w:val="00605C8C"/>
    <w:pPr>
      <w:spacing w:line="460" w:lineRule="exact"/>
      <w:jc w:val="right"/>
    </w:pPr>
    <w:rPr>
      <w:i/>
      <w:color w:val="68665C"/>
      <w:sz w:val="36"/>
      <w:szCs w:val="20"/>
      <w:lang w:val="fr-FR" w:eastAsia="fr-FR"/>
    </w:rPr>
  </w:style>
  <w:style w:type="paragraph" w:customStyle="1" w:styleId="Versionetmois">
    <w:name w:val="Version et mois"/>
    <w:basedOn w:val="Normal"/>
    <w:rsid w:val="00605C8C"/>
    <w:pPr>
      <w:spacing w:line="340" w:lineRule="exact"/>
      <w:jc w:val="right"/>
    </w:pPr>
    <w:rPr>
      <w:i/>
      <w:color w:val="68665C"/>
      <w:szCs w:val="20"/>
      <w:lang w:val="fr-FR" w:eastAsia="fr-FR"/>
    </w:rPr>
  </w:style>
  <w:style w:type="paragraph" w:customStyle="1" w:styleId="Textedesaisie">
    <w:name w:val="Texte de saisie"/>
    <w:basedOn w:val="Header"/>
    <w:rsid w:val="00605C8C"/>
    <w:pPr>
      <w:tabs>
        <w:tab w:val="clear" w:pos="9072"/>
      </w:tabs>
      <w:spacing w:after="310" w:line="320" w:lineRule="atLeast"/>
      <w:ind w:left="1021" w:right="648"/>
      <w:jc w:val="both"/>
    </w:pPr>
    <w:rPr>
      <w:color w:val="68665C"/>
      <w:szCs w:val="20"/>
      <w:lang w:val="fr-FR" w:eastAsia="fr-FR"/>
    </w:rPr>
  </w:style>
  <w:style w:type="paragraph" w:styleId="Revision">
    <w:name w:val="Revision"/>
    <w:hidden/>
    <w:uiPriority w:val="99"/>
    <w:semiHidden/>
    <w:rsid w:val="00A75C93"/>
    <w:rPr>
      <w:rFonts w:ascii="Arial" w:hAnsi="Arial"/>
      <w:szCs w:val="24"/>
      <w:lang w:eastAsia="en-US"/>
    </w:rPr>
  </w:style>
  <w:style w:type="paragraph" w:styleId="ListParagraph">
    <w:name w:val="List Paragraph"/>
    <w:aliases w:val="Dot pt,No Spacing1,List Paragraph Char Char Char,Indicator Text,List Paragraph1,Numbered Para 1,Bullet 1,List Paragraph12,Bullet Points,Bullet Style,F5 List Paragraph,MAIN CONTENT,OBC Bullet,List Paragraph11,Colorful List - Accent 11"/>
    <w:basedOn w:val="Normal"/>
    <w:link w:val="ListParagraphChar"/>
    <w:uiPriority w:val="34"/>
    <w:qFormat/>
    <w:rsid w:val="006D63A4"/>
    <w:pPr>
      <w:ind w:left="720"/>
    </w:pPr>
  </w:style>
  <w:style w:type="paragraph" w:customStyle="1" w:styleId="bulletlist">
    <w:name w:val="bullet list"/>
    <w:basedOn w:val="Normal"/>
    <w:rsid w:val="004151C4"/>
    <w:pPr>
      <w:numPr>
        <w:numId w:val="4"/>
      </w:numPr>
    </w:pPr>
    <w:rPr>
      <w:rFonts w:ascii="Times New Roman" w:hAnsi="Times New Roman"/>
      <w:sz w:val="22"/>
      <w:szCs w:val="20"/>
    </w:rPr>
  </w:style>
  <w:style w:type="paragraph" w:customStyle="1" w:styleId="NormalCenturyGothic">
    <w:name w:val="Normal + Century Gothic"/>
    <w:aliases w:val="10 pt,Left:  -0.1 cm,Right:  -0.2 cm"/>
    <w:basedOn w:val="FootnoteText"/>
    <w:rsid w:val="004151C4"/>
    <w:pPr>
      <w:ind w:left="-57" w:right="-113"/>
    </w:pPr>
    <w:rPr>
      <w:rFonts w:ascii="Century Gothic" w:hAnsi="Century Gothic" w:cs="Arial"/>
      <w:sz w:val="20"/>
      <w:szCs w:val="24"/>
    </w:rPr>
  </w:style>
  <w:style w:type="character" w:customStyle="1" w:styleId="BodyText3Char">
    <w:name w:val="Body Text 3 Char"/>
    <w:link w:val="BodyText3"/>
    <w:semiHidden/>
    <w:rsid w:val="003A2DFA"/>
    <w:rPr>
      <w:rFonts w:ascii="Verdana" w:hAnsi="Verdana"/>
      <w:sz w:val="18"/>
      <w:lang w:eastAsia="en-US"/>
    </w:rPr>
  </w:style>
  <w:style w:type="paragraph" w:customStyle="1" w:styleId="Tablecaption">
    <w:name w:val="Table caption"/>
    <w:basedOn w:val="Normal"/>
    <w:link w:val="TablecaptionChar"/>
    <w:qFormat/>
    <w:rsid w:val="003A2DFA"/>
    <w:pPr>
      <w:keepNext/>
      <w:tabs>
        <w:tab w:val="left" w:pos="1134"/>
      </w:tabs>
      <w:spacing w:before="480" w:after="240" w:line="247" w:lineRule="auto"/>
      <w:ind w:left="1134" w:hanging="1134"/>
    </w:pPr>
    <w:rPr>
      <w:rFonts w:ascii="Calibri" w:hAnsi="Calibri"/>
      <w:b/>
      <w:color w:val="000000"/>
      <w:kern w:val="28"/>
      <w:sz w:val="22"/>
      <w:szCs w:val="22"/>
    </w:rPr>
  </w:style>
  <w:style w:type="character" w:customStyle="1" w:styleId="TablecaptionChar">
    <w:name w:val="Table caption Char"/>
    <w:link w:val="Tablecaption"/>
    <w:rsid w:val="003A2DFA"/>
    <w:rPr>
      <w:rFonts w:ascii="Calibri" w:hAnsi="Calibri"/>
      <w:b/>
      <w:color w:val="000000"/>
      <w:kern w:val="28"/>
      <w:sz w:val="22"/>
      <w:szCs w:val="22"/>
      <w:lang w:eastAsia="en-US"/>
    </w:rPr>
  </w:style>
  <w:style w:type="character" w:customStyle="1" w:styleId="FootnoteTextChar">
    <w:name w:val="Footnote Text Char"/>
    <w:aliases w:val="RSK-FT Char,RSK-FT1 Char,RSK-FT2 Char,Harestanes Ref Char, Char3 Char,Char3 Char,Char Char, Char Char,Char1 Char,Footnote Text CEP Char,Footnote Text Char Char Char,Footnote Text Char1 Char Char Char"/>
    <w:link w:val="FootnoteText"/>
    <w:uiPriority w:val="99"/>
    <w:rsid w:val="00CC1F9E"/>
    <w:rPr>
      <w:rFonts w:ascii="Arial" w:hAnsi="Arial"/>
      <w:sz w:val="14"/>
      <w:lang w:eastAsia="en-US"/>
    </w:rPr>
  </w:style>
  <w:style w:type="paragraph" w:customStyle="1" w:styleId="2digitnumnormal">
    <w:name w:val="2 digit num normal"/>
    <w:basedOn w:val="Normal"/>
    <w:link w:val="2digitnumnormalChar"/>
    <w:qFormat/>
    <w:rsid w:val="00CC1F9E"/>
    <w:pPr>
      <w:suppressAutoHyphens/>
      <w:spacing w:after="160" w:line="247" w:lineRule="auto"/>
      <w:ind w:left="720" w:hanging="720"/>
      <w:jc w:val="both"/>
      <w:outlineLvl w:val="2"/>
    </w:pPr>
    <w:rPr>
      <w:rFonts w:ascii="Times New Roman" w:hAnsi="Times New Roman"/>
      <w:sz w:val="22"/>
      <w:szCs w:val="20"/>
    </w:rPr>
  </w:style>
  <w:style w:type="character" w:customStyle="1" w:styleId="2digitnumnormalChar">
    <w:name w:val="2 digit num normal Char"/>
    <w:link w:val="2digitnumnormal"/>
    <w:rsid w:val="00CC1F9E"/>
    <w:rPr>
      <w:sz w:val="22"/>
      <w:lang w:eastAsia="en-US"/>
    </w:rPr>
  </w:style>
  <w:style w:type="paragraph" w:customStyle="1" w:styleId="Subheading2">
    <w:name w:val="Sub heading 2"/>
    <w:basedOn w:val="Normal"/>
    <w:link w:val="Subheading2Char"/>
    <w:qFormat/>
    <w:rsid w:val="00C90040"/>
    <w:pPr>
      <w:suppressAutoHyphens/>
      <w:jc w:val="both"/>
    </w:pPr>
    <w:rPr>
      <w:rFonts w:ascii="Calibri" w:eastAsia="Calibri" w:hAnsi="Calibri" w:cs="Arial Narrow"/>
      <w:i/>
      <w:sz w:val="22"/>
      <w:szCs w:val="22"/>
    </w:rPr>
  </w:style>
  <w:style w:type="character" w:customStyle="1" w:styleId="Subheading2Char">
    <w:name w:val="Sub heading 2 Char"/>
    <w:link w:val="Subheading2"/>
    <w:rsid w:val="00C90040"/>
    <w:rPr>
      <w:rFonts w:ascii="Calibri" w:eastAsia="Calibri" w:hAnsi="Calibri" w:cs="Arial Narrow"/>
      <w:i/>
      <w:sz w:val="22"/>
      <w:szCs w:val="22"/>
      <w:lang w:eastAsia="en-US"/>
    </w:rPr>
  </w:style>
  <w:style w:type="character" w:styleId="PlaceholderText">
    <w:name w:val="Placeholder Text"/>
    <w:uiPriority w:val="99"/>
    <w:rsid w:val="005066E4"/>
    <w:rPr>
      <w:color w:val="808080"/>
    </w:rPr>
  </w:style>
  <w:style w:type="character" w:customStyle="1" w:styleId="Heading1Char">
    <w:name w:val="Heading 1 Char"/>
    <w:aliases w:val="Heading 11 Char,Centre Char,R Heading 1 Char"/>
    <w:link w:val="Heading1"/>
    <w:rsid w:val="00F77171"/>
    <w:rPr>
      <w:rFonts w:ascii="Arial" w:hAnsi="Arial"/>
      <w:b/>
      <w:bCs/>
      <w:color w:val="008938"/>
      <w:kern w:val="32"/>
      <w:sz w:val="40"/>
      <w:szCs w:val="32"/>
      <w:lang w:eastAsia="en-US"/>
    </w:rPr>
  </w:style>
  <w:style w:type="paragraph" w:customStyle="1" w:styleId="PubTitle">
    <w:name w:val="Pub Title"/>
    <w:basedOn w:val="Default"/>
    <w:next w:val="Default"/>
    <w:uiPriority w:val="99"/>
    <w:rsid w:val="00057772"/>
    <w:rPr>
      <w:color w:val="auto"/>
      <w:lang w:val="en-GB" w:eastAsia="en-GB"/>
    </w:rPr>
  </w:style>
  <w:style w:type="table" w:customStyle="1" w:styleId="TableStyle4">
    <w:name w:val="Table Style 4"/>
    <w:basedOn w:val="TableNormal"/>
    <w:uiPriority w:val="99"/>
    <w:qFormat/>
    <w:rsid w:val="009501D3"/>
    <w:pPr>
      <w:ind w:left="85" w:right="85"/>
      <w:jc w:val="center"/>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Bold" w:hAnsi="Arial Bold"/>
        <w:b/>
        <w:color w:val="FFFFFF"/>
        <w:sz w:val="28"/>
        <w:u w:val="none" w:color="FFFFFF"/>
      </w:rPr>
      <w:tblPr/>
      <w:tcPr>
        <w:shd w:val="clear" w:color="auto" w:fill="008938"/>
      </w:tcPr>
    </w:tblStylePr>
    <w:tblStylePr w:type="firstCol">
      <w:rPr>
        <w:b w:val="0"/>
        <w:i w:val="0"/>
      </w:rPr>
    </w:tblStylePr>
  </w:style>
  <w:style w:type="paragraph" w:customStyle="1" w:styleId="Contents">
    <w:name w:val="Contents"/>
    <w:basedOn w:val="Normal"/>
    <w:next w:val="Normal"/>
    <w:qFormat/>
    <w:rsid w:val="00CE2D05"/>
    <w:rPr>
      <w:b/>
      <w:color w:val="008938"/>
      <w:sz w:val="28"/>
    </w:rPr>
  </w:style>
  <w:style w:type="paragraph" w:styleId="TOCHeading">
    <w:name w:val="TOC Heading"/>
    <w:basedOn w:val="Heading1"/>
    <w:next w:val="Normal"/>
    <w:uiPriority w:val="39"/>
    <w:unhideWhenUsed/>
    <w:qFormat/>
    <w:rsid w:val="00CE2D05"/>
    <w:pPr>
      <w:keepLines/>
      <w:spacing w:after="0" w:line="259" w:lineRule="auto"/>
      <w:outlineLvl w:val="9"/>
    </w:pPr>
    <w:rPr>
      <w:rFonts w:ascii="Calibri Light" w:hAnsi="Calibri Light"/>
      <w:b w:val="0"/>
      <w:bCs w:val="0"/>
      <w:color w:val="2F5496"/>
      <w:kern w:val="0"/>
      <w:sz w:val="32"/>
      <w:lang w:val="en-US"/>
    </w:rPr>
  </w:style>
  <w:style w:type="character" w:styleId="UnresolvedMention">
    <w:name w:val="Unresolved Mention"/>
    <w:basedOn w:val="DefaultParagraphFont"/>
    <w:uiPriority w:val="99"/>
    <w:unhideWhenUsed/>
    <w:rsid w:val="00397124"/>
    <w:rPr>
      <w:color w:val="605E5C"/>
      <w:shd w:val="clear" w:color="auto" w:fill="E1DFDD"/>
    </w:rPr>
  </w:style>
  <w:style w:type="table" w:customStyle="1" w:styleId="LAQMReporting">
    <w:name w:val="LAQM Reporting"/>
    <w:basedOn w:val="TableStyle4"/>
    <w:uiPriority w:val="99"/>
    <w:rsid w:val="00442353"/>
    <w:tblPr/>
    <w:tcPr>
      <w:shd w:val="clear" w:color="auto" w:fill="auto"/>
    </w:tcPr>
    <w:tblStylePr w:type="firstRow">
      <w:rPr>
        <w:rFonts w:ascii="Arial Bold" w:hAnsi="Arial Bold"/>
        <w:b/>
        <w:color w:val="FFFFFF"/>
        <w:sz w:val="28"/>
        <w:u w:val="none" w:color="FFFFFF"/>
      </w:rPr>
      <w:tblPr/>
      <w:tcPr>
        <w:shd w:val="clear" w:color="auto" w:fill="008938"/>
      </w:tcPr>
    </w:tblStylePr>
    <w:tblStylePr w:type="firstCol">
      <w:rPr>
        <w:b w:val="0"/>
        <w:i w:val="0"/>
      </w:rPr>
    </w:tblStylePr>
  </w:style>
  <w:style w:type="character" w:customStyle="1" w:styleId="CommentTextChar">
    <w:name w:val="Comment Text Char"/>
    <w:basedOn w:val="DefaultParagraphFont"/>
    <w:link w:val="CommentText"/>
    <w:uiPriority w:val="99"/>
    <w:rsid w:val="00024724"/>
    <w:rPr>
      <w:rFonts w:ascii="Arial" w:hAnsi="Arial"/>
      <w:sz w:val="24"/>
      <w:lang w:eastAsia="en-US"/>
    </w:rPr>
  </w:style>
  <w:style w:type="paragraph" w:customStyle="1" w:styleId="msonormal0">
    <w:name w:val="msonormal"/>
    <w:basedOn w:val="Normal"/>
    <w:rsid w:val="00540A81"/>
    <w:pPr>
      <w:spacing w:before="100" w:beforeAutospacing="1" w:after="100" w:afterAutospacing="1" w:line="240" w:lineRule="auto"/>
    </w:pPr>
    <w:rPr>
      <w:rFonts w:ascii="Times New Roman" w:hAnsi="Times New Roman"/>
      <w:lang w:eastAsia="en-GB"/>
    </w:rPr>
  </w:style>
  <w:style w:type="paragraph" w:customStyle="1" w:styleId="font6">
    <w:name w:val="font6"/>
    <w:basedOn w:val="Normal"/>
    <w:rsid w:val="00540A81"/>
    <w:pPr>
      <w:spacing w:before="100" w:beforeAutospacing="1" w:after="100" w:afterAutospacing="1" w:line="240" w:lineRule="auto"/>
    </w:pPr>
    <w:rPr>
      <w:rFonts w:ascii="Tahoma" w:hAnsi="Tahoma" w:cs="Tahoma"/>
      <w:b/>
      <w:bCs/>
      <w:color w:val="000000"/>
      <w:sz w:val="18"/>
      <w:szCs w:val="18"/>
      <w:lang w:eastAsia="en-GB"/>
    </w:rPr>
  </w:style>
  <w:style w:type="paragraph" w:customStyle="1" w:styleId="font7">
    <w:name w:val="font7"/>
    <w:basedOn w:val="Normal"/>
    <w:rsid w:val="00540A81"/>
    <w:pPr>
      <w:spacing w:before="100" w:beforeAutospacing="1" w:after="100" w:afterAutospacing="1" w:line="240" w:lineRule="auto"/>
    </w:pPr>
    <w:rPr>
      <w:rFonts w:ascii="Tahoma" w:hAnsi="Tahoma" w:cs="Tahoma"/>
      <w:color w:val="000000"/>
      <w:sz w:val="18"/>
      <w:szCs w:val="18"/>
      <w:lang w:eastAsia="en-GB"/>
    </w:rPr>
  </w:style>
  <w:style w:type="paragraph" w:customStyle="1" w:styleId="font8">
    <w:name w:val="font8"/>
    <w:basedOn w:val="Normal"/>
    <w:rsid w:val="00540A81"/>
    <w:pPr>
      <w:spacing w:before="100" w:beforeAutospacing="1" w:after="100" w:afterAutospacing="1" w:line="240" w:lineRule="auto"/>
    </w:pPr>
    <w:rPr>
      <w:rFonts w:ascii="Tahoma" w:hAnsi="Tahoma" w:cs="Tahoma"/>
      <w:b/>
      <w:bCs/>
      <w:color w:val="000000"/>
      <w:sz w:val="18"/>
      <w:szCs w:val="18"/>
      <w:lang w:eastAsia="en-GB"/>
    </w:rPr>
  </w:style>
  <w:style w:type="paragraph" w:customStyle="1" w:styleId="xl65">
    <w:name w:val="xl65"/>
    <w:basedOn w:val="Normal"/>
    <w:rsid w:val="00540A81"/>
    <w:pPr>
      <w:spacing w:before="100" w:beforeAutospacing="1" w:after="100" w:afterAutospacing="1" w:line="240" w:lineRule="auto"/>
    </w:pPr>
    <w:rPr>
      <w:rFonts w:ascii="Times New Roman" w:hAnsi="Times New Roman"/>
      <w:sz w:val="32"/>
      <w:szCs w:val="32"/>
      <w:lang w:eastAsia="en-GB"/>
    </w:rPr>
  </w:style>
  <w:style w:type="paragraph" w:customStyle="1" w:styleId="xl66">
    <w:name w:val="xl66"/>
    <w:basedOn w:val="Normal"/>
    <w:rsid w:val="00540A81"/>
    <w:pPr>
      <w:spacing w:before="100" w:beforeAutospacing="1" w:after="100" w:afterAutospacing="1" w:line="240" w:lineRule="auto"/>
    </w:pPr>
    <w:rPr>
      <w:rFonts w:ascii="Times New Roman" w:hAnsi="Times New Roman"/>
      <w:sz w:val="32"/>
      <w:szCs w:val="32"/>
      <w:lang w:eastAsia="en-GB"/>
    </w:rPr>
  </w:style>
  <w:style w:type="paragraph" w:customStyle="1" w:styleId="xl67">
    <w:name w:val="xl67"/>
    <w:basedOn w:val="Normal"/>
    <w:rsid w:val="00540A81"/>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cs="Arial"/>
      <w:sz w:val="18"/>
      <w:szCs w:val="18"/>
      <w:lang w:eastAsia="en-GB"/>
    </w:rPr>
  </w:style>
  <w:style w:type="paragraph" w:customStyle="1" w:styleId="xl68">
    <w:name w:val="xl68"/>
    <w:basedOn w:val="Normal"/>
    <w:rsid w:val="00540A81"/>
    <w:pPr>
      <w:pBdr>
        <w:top w:val="single" w:sz="4" w:space="0" w:color="auto"/>
        <w:left w:val="single" w:sz="4" w:space="0" w:color="auto"/>
        <w:bottom w:val="single" w:sz="4" w:space="0" w:color="auto"/>
        <w:right w:val="single" w:sz="4" w:space="0" w:color="auto"/>
      </w:pBdr>
      <w:shd w:val="clear" w:color="000000" w:fill="91C36F"/>
      <w:spacing w:before="100" w:beforeAutospacing="1" w:after="100" w:afterAutospacing="1" w:line="240" w:lineRule="auto"/>
      <w:textAlignment w:val="center"/>
    </w:pPr>
    <w:rPr>
      <w:rFonts w:cs="Arial"/>
      <w:sz w:val="18"/>
      <w:szCs w:val="18"/>
      <w:lang w:eastAsia="en-GB"/>
    </w:rPr>
  </w:style>
  <w:style w:type="paragraph" w:customStyle="1" w:styleId="xl69">
    <w:name w:val="xl69"/>
    <w:basedOn w:val="Normal"/>
    <w:rsid w:val="00540A81"/>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cs="Arial"/>
      <w:sz w:val="18"/>
      <w:szCs w:val="18"/>
      <w:lang w:eastAsia="en-GB"/>
    </w:rPr>
  </w:style>
  <w:style w:type="paragraph" w:customStyle="1" w:styleId="xl70">
    <w:name w:val="xl70"/>
    <w:basedOn w:val="Normal"/>
    <w:rsid w:val="00540A81"/>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cs="Arial"/>
      <w:sz w:val="18"/>
      <w:szCs w:val="18"/>
      <w:lang w:eastAsia="en-GB"/>
    </w:rPr>
  </w:style>
  <w:style w:type="paragraph" w:customStyle="1" w:styleId="xl71">
    <w:name w:val="xl71"/>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eastAsia="en-GB"/>
    </w:rPr>
  </w:style>
  <w:style w:type="paragraph" w:customStyle="1" w:styleId="xl72">
    <w:name w:val="xl72"/>
    <w:basedOn w:val="Normal"/>
    <w:rsid w:val="00540A81"/>
    <w:pPr>
      <w:pBdr>
        <w:top w:val="single" w:sz="4" w:space="0" w:color="auto"/>
        <w:left w:val="single" w:sz="4" w:space="0" w:color="auto"/>
        <w:bottom w:val="single" w:sz="4" w:space="0" w:color="auto"/>
        <w:right w:val="single" w:sz="4" w:space="0" w:color="auto"/>
      </w:pBdr>
      <w:shd w:val="clear" w:color="000000" w:fill="91C36F"/>
      <w:spacing w:before="100" w:beforeAutospacing="1" w:after="100" w:afterAutospacing="1" w:line="240" w:lineRule="auto"/>
      <w:jc w:val="center"/>
      <w:textAlignment w:val="center"/>
    </w:pPr>
    <w:rPr>
      <w:rFonts w:cs="Arial"/>
      <w:sz w:val="18"/>
      <w:szCs w:val="18"/>
      <w:lang w:eastAsia="en-GB"/>
    </w:rPr>
  </w:style>
  <w:style w:type="paragraph" w:customStyle="1" w:styleId="xl73">
    <w:name w:val="xl73"/>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cs="Arial"/>
      <w:sz w:val="18"/>
      <w:szCs w:val="18"/>
      <w:lang w:eastAsia="en-GB"/>
    </w:rPr>
  </w:style>
  <w:style w:type="paragraph" w:customStyle="1" w:styleId="xl74">
    <w:name w:val="xl74"/>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eastAsia="en-GB"/>
    </w:rPr>
  </w:style>
  <w:style w:type="paragraph" w:customStyle="1" w:styleId="xl75">
    <w:name w:val="xl75"/>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eastAsia="en-GB"/>
    </w:rPr>
  </w:style>
  <w:style w:type="paragraph" w:customStyle="1" w:styleId="xl76">
    <w:name w:val="xl76"/>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pPr>
    <w:rPr>
      <w:rFonts w:cs="Arial"/>
      <w:sz w:val="18"/>
      <w:szCs w:val="18"/>
      <w:lang w:eastAsia="en-GB"/>
    </w:rPr>
  </w:style>
  <w:style w:type="paragraph" w:customStyle="1" w:styleId="xl77">
    <w:name w:val="xl77"/>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cs="Arial"/>
      <w:sz w:val="18"/>
      <w:szCs w:val="18"/>
      <w:lang w:eastAsia="en-GB"/>
    </w:rPr>
  </w:style>
  <w:style w:type="paragraph" w:customStyle="1" w:styleId="xl78">
    <w:name w:val="xl78"/>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cs="Arial"/>
      <w:sz w:val="18"/>
      <w:szCs w:val="18"/>
      <w:lang w:eastAsia="en-GB"/>
    </w:rPr>
  </w:style>
  <w:style w:type="paragraph" w:customStyle="1" w:styleId="xl79">
    <w:name w:val="xl79"/>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cs="Arial"/>
      <w:sz w:val="18"/>
      <w:szCs w:val="18"/>
      <w:lang w:eastAsia="en-GB"/>
    </w:rPr>
  </w:style>
  <w:style w:type="paragraph" w:customStyle="1" w:styleId="xl80">
    <w:name w:val="xl80"/>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eastAsia="en-GB"/>
    </w:rPr>
  </w:style>
  <w:style w:type="paragraph" w:customStyle="1" w:styleId="xl81">
    <w:name w:val="xl81"/>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cs="Arial"/>
      <w:sz w:val="18"/>
      <w:szCs w:val="18"/>
      <w:lang w:eastAsia="en-GB"/>
    </w:rPr>
  </w:style>
  <w:style w:type="paragraph" w:customStyle="1" w:styleId="xl82">
    <w:name w:val="xl82"/>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eastAsia="en-GB"/>
    </w:rPr>
  </w:style>
  <w:style w:type="paragraph" w:customStyle="1" w:styleId="xl83">
    <w:name w:val="xl83"/>
    <w:basedOn w:val="Normal"/>
    <w:rsid w:val="00540A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cs="Arial"/>
      <w:sz w:val="18"/>
      <w:szCs w:val="18"/>
      <w:lang w:eastAsia="en-GB"/>
    </w:rPr>
  </w:style>
  <w:style w:type="paragraph" w:customStyle="1" w:styleId="xl84">
    <w:name w:val="xl84"/>
    <w:basedOn w:val="Normal"/>
    <w:rsid w:val="00540A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cs="Arial"/>
      <w:sz w:val="18"/>
      <w:szCs w:val="18"/>
      <w:lang w:eastAsia="en-GB"/>
    </w:rPr>
  </w:style>
  <w:style w:type="paragraph" w:customStyle="1" w:styleId="xl85">
    <w:name w:val="xl85"/>
    <w:basedOn w:val="Normal"/>
    <w:rsid w:val="00540A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cs="Arial"/>
      <w:sz w:val="18"/>
      <w:szCs w:val="18"/>
      <w:lang w:eastAsia="en-GB"/>
    </w:rPr>
  </w:style>
  <w:style w:type="paragraph" w:customStyle="1" w:styleId="xl86">
    <w:name w:val="xl86"/>
    <w:basedOn w:val="Normal"/>
    <w:rsid w:val="00540A81"/>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cs="Arial"/>
      <w:sz w:val="18"/>
      <w:szCs w:val="18"/>
      <w:lang w:eastAsia="en-GB"/>
    </w:rPr>
  </w:style>
  <w:style w:type="paragraph" w:customStyle="1" w:styleId="xl87">
    <w:name w:val="xl87"/>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pPr>
    <w:rPr>
      <w:rFonts w:cs="Arial"/>
      <w:sz w:val="18"/>
      <w:szCs w:val="18"/>
      <w:lang w:eastAsia="en-GB"/>
    </w:rPr>
  </w:style>
  <w:style w:type="paragraph" w:customStyle="1" w:styleId="xl88">
    <w:name w:val="xl88"/>
    <w:basedOn w:val="Normal"/>
    <w:rsid w:val="00540A8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cs="Arial"/>
      <w:sz w:val="18"/>
      <w:szCs w:val="18"/>
      <w:lang w:eastAsia="en-GB"/>
    </w:rPr>
  </w:style>
  <w:style w:type="paragraph" w:customStyle="1" w:styleId="xl89">
    <w:name w:val="xl89"/>
    <w:basedOn w:val="Normal"/>
    <w:rsid w:val="00540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cs="Arial"/>
      <w:sz w:val="18"/>
      <w:szCs w:val="18"/>
      <w:lang w:eastAsia="en-GB"/>
    </w:rPr>
  </w:style>
  <w:style w:type="paragraph" w:customStyle="1" w:styleId="xl90">
    <w:name w:val="xl90"/>
    <w:basedOn w:val="Normal"/>
    <w:rsid w:val="00540A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cs="Arial"/>
      <w:sz w:val="18"/>
      <w:szCs w:val="18"/>
      <w:lang w:eastAsia="en-GB"/>
    </w:rPr>
  </w:style>
  <w:style w:type="paragraph" w:customStyle="1" w:styleId="RBodyText">
    <w:name w:val="R Body Text"/>
    <w:link w:val="RBodyTextChar"/>
    <w:uiPriority w:val="3"/>
    <w:qFormat/>
    <w:rsid w:val="001529CE"/>
    <w:pPr>
      <w:spacing w:before="180" w:after="180" w:line="360" w:lineRule="auto"/>
    </w:pPr>
    <w:rPr>
      <w:rFonts w:ascii="Arial" w:hAnsi="Arial" w:cs="Arial"/>
      <w:bCs/>
      <w:szCs w:val="32"/>
      <w:lang w:eastAsia="en-US"/>
    </w:rPr>
  </w:style>
  <w:style w:type="character" w:customStyle="1" w:styleId="RBodyTextChar">
    <w:name w:val="R Body Text Char"/>
    <w:basedOn w:val="DefaultParagraphFont"/>
    <w:link w:val="RBodyText"/>
    <w:uiPriority w:val="3"/>
    <w:rsid w:val="001529CE"/>
    <w:rPr>
      <w:rFonts w:ascii="Arial" w:hAnsi="Arial" w:cs="Arial"/>
      <w:bCs/>
      <w:szCs w:val="32"/>
      <w:lang w:eastAsia="en-US"/>
    </w:rPr>
  </w:style>
  <w:style w:type="paragraph" w:customStyle="1" w:styleId="RicardoFooter">
    <w:name w:val="Ricardo Footer"/>
    <w:uiPriority w:val="8"/>
    <w:semiHidden/>
    <w:rsid w:val="001529CE"/>
    <w:rPr>
      <w:rFonts w:ascii="Arial" w:hAnsi="Arial" w:cs="Arial"/>
      <w:sz w:val="16"/>
      <w:szCs w:val="32"/>
      <w:lang w:eastAsia="en-US"/>
    </w:rPr>
  </w:style>
  <w:style w:type="paragraph" w:customStyle="1" w:styleId="RicardoDraft">
    <w:name w:val="Ricardo Draft"/>
    <w:basedOn w:val="RicardoHeader"/>
    <w:next w:val="RicardoHeader"/>
    <w:uiPriority w:val="1"/>
    <w:semiHidden/>
    <w:qFormat/>
    <w:rsid w:val="001529CE"/>
    <w:pPr>
      <w:jc w:val="center"/>
    </w:pPr>
    <w:rPr>
      <w:b/>
      <w:caps/>
      <w:color w:val="DC241F"/>
      <w:sz w:val="36"/>
      <w:szCs w:val="36"/>
    </w:rPr>
  </w:style>
  <w:style w:type="paragraph" w:customStyle="1" w:styleId="RicardoHeader">
    <w:name w:val="Ricardo Header"/>
    <w:uiPriority w:val="1"/>
    <w:semiHidden/>
    <w:rsid w:val="001529CE"/>
    <w:rPr>
      <w:rFonts w:ascii="Arial" w:hAnsi="Arial" w:cs="Arial"/>
      <w:bCs/>
      <w:sz w:val="16"/>
      <w:szCs w:val="32"/>
      <w:lang w:eastAsia="en-US"/>
    </w:rPr>
  </w:style>
  <w:style w:type="character" w:customStyle="1" w:styleId="RGuidanceNotes">
    <w:name w:val="R Guidance Notes"/>
    <w:basedOn w:val="RBodyTextChar"/>
    <w:rsid w:val="001529CE"/>
    <w:rPr>
      <w:rFonts w:ascii="Arial" w:hAnsi="Arial" w:cs="Arial"/>
      <w:bCs/>
      <w:color w:val="ED7D31" w:themeColor="accent2"/>
      <w:szCs w:val="32"/>
      <w:lang w:eastAsia="en-US"/>
    </w:rPr>
  </w:style>
  <w:style w:type="table" w:customStyle="1" w:styleId="RTableFilled-HeadingColumn">
    <w:name w:val="R Table Filled - Heading Column"/>
    <w:basedOn w:val="TableNormal"/>
    <w:uiPriority w:val="99"/>
    <w:rsid w:val="001529CE"/>
    <w:rPr>
      <w:rFonts w:ascii="Arial" w:hAnsi="Arial"/>
    </w:rPr>
    <w:tblPr>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57" w:type="dxa"/>
        <w:left w:w="85" w:type="dxa"/>
        <w:bottom w:w="57" w:type="dxa"/>
        <w:right w:w="85" w:type="dxa"/>
      </w:tblCellMar>
    </w:tblPr>
    <w:trPr>
      <w:jc w:val="center"/>
    </w:trPr>
    <w:tcPr>
      <w:shd w:val="clear" w:color="auto" w:fill="D0D2D2"/>
      <w:vAlign w:val="center"/>
    </w:tcPr>
    <w:tblStylePr w:type="firstCol">
      <w:rPr>
        <w:rFonts w:ascii="Arial" w:hAnsi="Arial"/>
        <w:b/>
        <w:color w:val="FFFFFF"/>
        <w:sz w:val="20"/>
      </w:rPr>
      <w:tblPr/>
      <w:tcPr>
        <w:shd w:val="clear" w:color="auto" w:fill="1F1646"/>
      </w:tcPr>
    </w:tblStylePr>
  </w:style>
  <w:style w:type="character" w:customStyle="1" w:styleId="ListParagraphChar">
    <w:name w:val="List Paragraph Char"/>
    <w:aliases w:val="Dot pt Char,No Spacing1 Char,List Paragraph Char Char Char Char,Indicator Text Char,List Paragraph1 Char,Numbered Para 1 Char,Bullet 1 Char,List Paragraph12 Char,Bullet Points Char,Bullet Style Char,F5 List Paragraph Char"/>
    <w:basedOn w:val="DefaultParagraphFont"/>
    <w:link w:val="ListParagraph"/>
    <w:uiPriority w:val="34"/>
    <w:qFormat/>
    <w:rsid w:val="001529CE"/>
    <w:rPr>
      <w:rFonts w:ascii="Arial" w:hAnsi="Arial"/>
      <w:sz w:val="24"/>
      <w:szCs w:val="24"/>
      <w:lang w:eastAsia="en-US"/>
    </w:rPr>
  </w:style>
  <w:style w:type="paragraph" w:styleId="NoSpacing">
    <w:name w:val="No Spacing"/>
    <w:uiPriority w:val="1"/>
    <w:qFormat/>
    <w:rsid w:val="001529CE"/>
    <w:rPr>
      <w:rFonts w:ascii="Arial" w:hAnsi="Arial"/>
      <w:sz w:val="24"/>
      <w:szCs w:val="24"/>
      <w:lang w:eastAsia="en-US"/>
    </w:rPr>
  </w:style>
  <w:style w:type="table" w:styleId="PlainTable4">
    <w:name w:val="Plain Table 4"/>
    <w:basedOn w:val="TableNormal"/>
    <w:uiPriority w:val="44"/>
    <w:rsid w:val="001529C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aliases w:val="Heading 21 Char,2/1 Char,2 Char,R Heading 2 Char"/>
    <w:basedOn w:val="DefaultParagraphFont"/>
    <w:link w:val="Heading2"/>
    <w:rsid w:val="001529CE"/>
    <w:rPr>
      <w:rFonts w:ascii="Arial" w:hAnsi="Arial" w:cs="Arial"/>
      <w:b/>
      <w:bCs/>
      <w:iCs/>
      <w:color w:val="008938"/>
      <w:sz w:val="28"/>
      <w:szCs w:val="28"/>
      <w:lang w:eastAsia="en-US"/>
    </w:rPr>
  </w:style>
  <w:style w:type="character" w:customStyle="1" w:styleId="Heading3Char">
    <w:name w:val="Heading 3 Char"/>
    <w:aliases w:val="R Heading 3 Char"/>
    <w:basedOn w:val="DefaultParagraphFont"/>
    <w:link w:val="Heading3"/>
    <w:rsid w:val="001529CE"/>
    <w:rPr>
      <w:rFonts w:ascii="Arial" w:hAnsi="Arial" w:cs="Arial"/>
      <w:b/>
      <w:bCs/>
      <w:color w:val="008938"/>
      <w:sz w:val="24"/>
      <w:szCs w:val="26"/>
      <w:lang w:eastAsia="en-US"/>
    </w:rPr>
  </w:style>
  <w:style w:type="character" w:customStyle="1" w:styleId="Heading4Char">
    <w:name w:val="Heading 4 Char"/>
    <w:aliases w:val="R Heading 4 Char"/>
    <w:basedOn w:val="DefaultParagraphFont"/>
    <w:link w:val="Heading4"/>
    <w:uiPriority w:val="1"/>
    <w:rsid w:val="001529CE"/>
    <w:rPr>
      <w:rFonts w:ascii="Arial" w:hAnsi="Arial"/>
      <w:b/>
      <w:bCs/>
      <w:sz w:val="24"/>
      <w:szCs w:val="24"/>
      <w:lang w:eastAsia="en-US"/>
    </w:rPr>
  </w:style>
  <w:style w:type="character" w:customStyle="1" w:styleId="Heading5Char">
    <w:name w:val="Heading 5 Char"/>
    <w:basedOn w:val="DefaultParagraphFont"/>
    <w:link w:val="Heading5"/>
    <w:rsid w:val="001529CE"/>
    <w:rPr>
      <w:rFonts w:ascii="Arial" w:hAnsi="Arial"/>
      <w:b/>
      <w:bCs/>
      <w:iCs/>
      <w:sz w:val="24"/>
      <w:szCs w:val="26"/>
      <w:lang w:eastAsia="en-US"/>
    </w:rPr>
  </w:style>
  <w:style w:type="character" w:customStyle="1" w:styleId="Heading6Char">
    <w:name w:val="Heading 6 Char"/>
    <w:basedOn w:val="DefaultParagraphFont"/>
    <w:link w:val="Heading6"/>
    <w:rsid w:val="001529CE"/>
    <w:rPr>
      <w:rFonts w:ascii="Arial" w:hAnsi="Arial"/>
      <w:b/>
      <w:bCs/>
      <w:sz w:val="24"/>
      <w:szCs w:val="22"/>
      <w:lang w:eastAsia="en-US"/>
    </w:rPr>
  </w:style>
  <w:style w:type="character" w:customStyle="1" w:styleId="Heading7Char">
    <w:name w:val="Heading 7 Char"/>
    <w:basedOn w:val="DefaultParagraphFont"/>
    <w:link w:val="Heading7"/>
    <w:rsid w:val="001529CE"/>
    <w:rPr>
      <w:rFonts w:ascii="Arial" w:hAnsi="Arial"/>
      <w:b/>
      <w:sz w:val="24"/>
      <w:szCs w:val="24"/>
      <w:lang w:eastAsia="en-US"/>
    </w:rPr>
  </w:style>
  <w:style w:type="character" w:customStyle="1" w:styleId="Heading8Char">
    <w:name w:val="Heading 8 Char"/>
    <w:basedOn w:val="DefaultParagraphFont"/>
    <w:link w:val="Heading8"/>
    <w:rsid w:val="001529CE"/>
    <w:rPr>
      <w:rFonts w:ascii="Arial" w:hAnsi="Arial"/>
      <w:b/>
      <w:iCs/>
      <w:sz w:val="24"/>
      <w:szCs w:val="24"/>
      <w:lang w:eastAsia="en-US"/>
    </w:rPr>
  </w:style>
  <w:style w:type="character" w:customStyle="1" w:styleId="Heading9Char">
    <w:name w:val="Heading 9 Char"/>
    <w:basedOn w:val="DefaultParagraphFont"/>
    <w:link w:val="Heading9"/>
    <w:rsid w:val="001529CE"/>
    <w:rPr>
      <w:rFonts w:ascii="Arial" w:hAnsi="Arial" w:cs="Arial"/>
      <w:b/>
      <w:sz w:val="24"/>
      <w:szCs w:val="22"/>
      <w:lang w:eastAsia="en-US"/>
    </w:rPr>
  </w:style>
  <w:style w:type="paragraph" w:customStyle="1" w:styleId="RAppendixH1">
    <w:name w:val="R Appendix H1"/>
    <w:next w:val="Normal"/>
    <w:uiPriority w:val="6"/>
    <w:rsid w:val="001529CE"/>
    <w:pPr>
      <w:keepNext/>
      <w:pageBreakBefore/>
      <w:numPr>
        <w:numId w:val="24"/>
      </w:numPr>
      <w:pBdr>
        <w:bottom w:val="single" w:sz="4" w:space="1" w:color="1A4596"/>
      </w:pBdr>
      <w:spacing w:before="240" w:after="180"/>
      <w:ind w:left="0"/>
      <w:jc w:val="center"/>
      <w:outlineLvl w:val="0"/>
    </w:pPr>
    <w:rPr>
      <w:rFonts w:ascii="Arial" w:hAnsi="Arial" w:cs="Arial"/>
      <w:bCs/>
      <w:caps/>
      <w:color w:val="1A4596"/>
      <w:sz w:val="32"/>
      <w:szCs w:val="32"/>
      <w:lang w:eastAsia="en-US"/>
    </w:rPr>
  </w:style>
  <w:style w:type="paragraph" w:customStyle="1" w:styleId="RAppendixH2">
    <w:name w:val="R Appendix H2"/>
    <w:basedOn w:val="RAppendixH1"/>
    <w:next w:val="Normal"/>
    <w:uiPriority w:val="6"/>
    <w:rsid w:val="001529CE"/>
    <w:pPr>
      <w:pageBreakBefore w:val="0"/>
      <w:numPr>
        <w:ilvl w:val="1"/>
      </w:numPr>
      <w:pBdr>
        <w:bottom w:val="none" w:sz="0" w:space="0" w:color="auto"/>
      </w:pBdr>
      <w:ind w:left="0"/>
      <w:outlineLvl w:val="1"/>
    </w:pPr>
    <w:rPr>
      <w:caps w:val="0"/>
      <w:sz w:val="26"/>
    </w:rPr>
  </w:style>
  <w:style w:type="table" w:customStyle="1" w:styleId="RicardoFooterTableSTCSection">
    <w:name w:val="Ricardo Footer Table ST&amp;C Section"/>
    <w:basedOn w:val="RicardoFooterTable"/>
    <w:semiHidden/>
    <w:rsid w:val="001529CE"/>
    <w:tblPr>
      <w:tblInd w:w="0" w:type="dxa"/>
    </w:tblPr>
    <w:tblStylePr w:type="firstRow">
      <w:rPr>
        <w:rFonts w:ascii="Arial" w:hAnsi="Arial"/>
        <w:i w:val="0"/>
        <w:sz w:val="16"/>
      </w:rPr>
      <w:tblPr/>
      <w:tcPr>
        <w:tcBorders>
          <w:top w:val="nil"/>
          <w:left w:val="nil"/>
          <w:bottom w:val="nil"/>
          <w:right w:val="nil"/>
          <w:insideH w:val="nil"/>
          <w:insideV w:val="nil"/>
          <w:tl2br w:val="nil"/>
          <w:tr2bl w:val="nil"/>
        </w:tcBorders>
      </w:tcPr>
    </w:tblStylePr>
    <w:tblStylePr w:type="lastRow">
      <w:rPr>
        <w:rFonts w:ascii="Arial" w:hAnsi="Arial"/>
        <w:sz w:val="16"/>
      </w:rPr>
      <w:tblPr/>
      <w:tcPr>
        <w:tcMar>
          <w:top w:w="0" w:type="nil"/>
          <w:left w:w="28" w:type="dxa"/>
          <w:bottom w:w="0" w:type="nil"/>
          <w:right w:w="28" w:type="dxa"/>
        </w:tcMar>
      </w:tcPr>
    </w:tblStylePr>
  </w:style>
  <w:style w:type="table" w:customStyle="1" w:styleId="RicardoHeaderTableSTCSection">
    <w:name w:val="Ricardo Header Table ST&amp;C Section"/>
    <w:basedOn w:val="RicardoHeaderTable"/>
    <w:semiHidden/>
    <w:rsid w:val="001529CE"/>
    <w:tblPr/>
  </w:style>
  <w:style w:type="paragraph" w:customStyle="1" w:styleId="RicardoFrontpage">
    <w:name w:val="Ricardo Frontpage"/>
    <w:uiPriority w:val="1"/>
    <w:semiHidden/>
    <w:rsid w:val="001529CE"/>
    <w:rPr>
      <w:rFonts w:ascii="Arial" w:hAnsi="Arial" w:cs="Arial"/>
      <w:b/>
      <w:bCs/>
      <w:sz w:val="22"/>
      <w:szCs w:val="32"/>
      <w:lang w:eastAsia="en-US"/>
    </w:rPr>
  </w:style>
  <w:style w:type="paragraph" w:customStyle="1" w:styleId="RicardoFrontpageNames">
    <w:name w:val="Ricardo Frontpage Names"/>
    <w:basedOn w:val="RicardoFrontpage"/>
    <w:uiPriority w:val="1"/>
    <w:semiHidden/>
    <w:rsid w:val="001529CE"/>
    <w:rPr>
      <w:b w:val="0"/>
    </w:rPr>
  </w:style>
  <w:style w:type="paragraph" w:customStyle="1" w:styleId="RicardoFooterAddress">
    <w:name w:val="Ricardo Footer Address"/>
    <w:basedOn w:val="RicardoFooter"/>
    <w:uiPriority w:val="1"/>
    <w:semiHidden/>
    <w:rsid w:val="001529CE"/>
    <w:pPr>
      <w:ind w:left="-1134"/>
    </w:pPr>
    <w:rPr>
      <w:noProof/>
      <w:sz w:val="14"/>
    </w:rPr>
  </w:style>
  <w:style w:type="character" w:customStyle="1" w:styleId="BodyTextChar">
    <w:name w:val="Body Text Char"/>
    <w:aliases w:val="Bullet Point List Text Char"/>
    <w:basedOn w:val="DefaultParagraphFont"/>
    <w:link w:val="BodyText"/>
    <w:uiPriority w:val="2"/>
    <w:rsid w:val="001529CE"/>
    <w:rPr>
      <w:rFonts w:ascii="Arial" w:hAnsi="Arial"/>
      <w:sz w:val="24"/>
      <w:szCs w:val="24"/>
      <w:lang w:eastAsia="en-US"/>
    </w:rPr>
  </w:style>
  <w:style w:type="paragraph" w:customStyle="1" w:styleId="RicardoFooterConf">
    <w:name w:val="Ricardo Footer Conf"/>
    <w:basedOn w:val="RicardoFooterAddress"/>
    <w:uiPriority w:val="1"/>
    <w:semiHidden/>
    <w:rsid w:val="001529CE"/>
    <w:pPr>
      <w:ind w:right="1701"/>
    </w:pPr>
    <w:rPr>
      <w:color w:val="999999"/>
    </w:rPr>
  </w:style>
  <w:style w:type="character" w:customStyle="1" w:styleId="HeaderChar">
    <w:name w:val="Header Char"/>
    <w:aliases w:val="Main Title Char"/>
    <w:basedOn w:val="DefaultParagraphFont"/>
    <w:link w:val="Header"/>
    <w:uiPriority w:val="99"/>
    <w:rsid w:val="001529CE"/>
    <w:rPr>
      <w:rFonts w:ascii="Arial" w:hAnsi="Arial"/>
      <w:sz w:val="24"/>
      <w:szCs w:val="24"/>
      <w:lang w:eastAsia="en-US"/>
    </w:rPr>
  </w:style>
  <w:style w:type="paragraph" w:customStyle="1" w:styleId="RTitle">
    <w:name w:val="R Title"/>
    <w:qFormat/>
    <w:rsid w:val="001529CE"/>
    <w:pPr>
      <w:pageBreakBefore/>
      <w:jc w:val="center"/>
    </w:pPr>
    <w:rPr>
      <w:rFonts w:ascii="Arial" w:hAnsi="Arial" w:cs="Arial"/>
      <w:caps/>
      <w:color w:val="1A4596"/>
      <w:sz w:val="36"/>
      <w:szCs w:val="32"/>
      <w:lang w:eastAsia="en-US"/>
    </w:rPr>
  </w:style>
  <w:style w:type="table" w:styleId="PlainTable1">
    <w:name w:val="Plain Table 1"/>
    <w:basedOn w:val="TableNormal"/>
    <w:uiPriority w:val="41"/>
    <w:rsid w:val="001529C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RBulletsL1">
    <w:name w:val="R Bullets L1"/>
    <w:uiPriority w:val="5"/>
    <w:rsid w:val="001529CE"/>
    <w:pPr>
      <w:numPr>
        <w:numId w:val="26"/>
      </w:numPr>
      <w:spacing w:before="80" w:after="80" w:line="360" w:lineRule="auto"/>
      <w:ind w:left="426" w:hanging="284"/>
    </w:pPr>
    <w:rPr>
      <w:rFonts w:ascii="Arial" w:hAnsi="Arial" w:cs="Arial"/>
      <w:bCs/>
      <w:szCs w:val="32"/>
      <w:lang w:eastAsia="en-US"/>
    </w:rPr>
  </w:style>
  <w:style w:type="paragraph" w:customStyle="1" w:styleId="RBulletsL2">
    <w:name w:val="R Bullets L2"/>
    <w:basedOn w:val="RBulletsL1"/>
    <w:uiPriority w:val="5"/>
    <w:rsid w:val="001529CE"/>
    <w:pPr>
      <w:numPr>
        <w:ilvl w:val="1"/>
      </w:numPr>
      <w:spacing w:before="60" w:after="60"/>
    </w:pPr>
  </w:style>
  <w:style w:type="paragraph" w:customStyle="1" w:styleId="RBulletsL3">
    <w:name w:val="R Bullets L3"/>
    <w:basedOn w:val="RBulletsL2"/>
    <w:uiPriority w:val="5"/>
    <w:rsid w:val="001529CE"/>
    <w:pPr>
      <w:numPr>
        <w:ilvl w:val="2"/>
      </w:numPr>
    </w:pPr>
  </w:style>
  <w:style w:type="paragraph" w:customStyle="1" w:styleId="RBulletsL4">
    <w:name w:val="R Bullets L4"/>
    <w:basedOn w:val="RBulletsL3"/>
    <w:uiPriority w:val="5"/>
    <w:rsid w:val="001529CE"/>
    <w:pPr>
      <w:numPr>
        <w:ilvl w:val="3"/>
      </w:numPr>
    </w:pPr>
  </w:style>
  <w:style w:type="paragraph" w:customStyle="1" w:styleId="RNumberedListL1">
    <w:name w:val="R Numbered List L1"/>
    <w:uiPriority w:val="5"/>
    <w:rsid w:val="001529CE"/>
    <w:pPr>
      <w:numPr>
        <w:numId w:val="25"/>
      </w:numPr>
      <w:spacing w:before="80" w:after="80" w:line="360" w:lineRule="auto"/>
    </w:pPr>
    <w:rPr>
      <w:rFonts w:ascii="Arial" w:hAnsi="Arial" w:cs="Arial"/>
      <w:bCs/>
      <w:szCs w:val="32"/>
      <w:lang w:eastAsia="en-US"/>
    </w:rPr>
  </w:style>
  <w:style w:type="character" w:customStyle="1" w:styleId="RCloseTextChar">
    <w:name w:val="R Close Text Char"/>
    <w:basedOn w:val="RBodyTextChar"/>
    <w:link w:val="RCloseText"/>
    <w:uiPriority w:val="3"/>
    <w:rsid w:val="001529CE"/>
    <w:rPr>
      <w:rFonts w:ascii="Arial" w:hAnsi="Arial" w:cs="Arial"/>
      <w:bCs/>
      <w:szCs w:val="32"/>
      <w:lang w:eastAsia="en-US"/>
    </w:rPr>
  </w:style>
  <w:style w:type="paragraph" w:customStyle="1" w:styleId="RCloseText">
    <w:name w:val="R Close Text"/>
    <w:basedOn w:val="RBodyText"/>
    <w:link w:val="RCloseTextChar"/>
    <w:uiPriority w:val="3"/>
    <w:qFormat/>
    <w:rsid w:val="001529CE"/>
    <w:pPr>
      <w:spacing w:before="0" w:after="0" w:line="240" w:lineRule="auto"/>
    </w:pPr>
  </w:style>
  <w:style w:type="paragraph" w:customStyle="1" w:styleId="RicardoSTC4">
    <w:name w:val="Ricardo ST&amp;C4"/>
    <w:basedOn w:val="RicardoSTC3"/>
    <w:uiPriority w:val="1"/>
    <w:semiHidden/>
    <w:rsid w:val="001529CE"/>
    <w:pPr>
      <w:numPr>
        <w:ilvl w:val="4"/>
      </w:numPr>
      <w:tabs>
        <w:tab w:val="left" w:pos="709"/>
        <w:tab w:val="num" w:pos="1011"/>
      </w:tabs>
      <w:spacing w:before="0" w:after="0"/>
      <w:ind w:left="3600" w:hanging="360"/>
    </w:pPr>
  </w:style>
  <w:style w:type="paragraph" w:customStyle="1" w:styleId="RicardoSTC2follow">
    <w:name w:val="Ricardo ST&amp;C2follow"/>
    <w:basedOn w:val="RicardoSTC2"/>
    <w:link w:val="RicardoSTC2followCharChar"/>
    <w:uiPriority w:val="1"/>
    <w:semiHidden/>
    <w:rsid w:val="001529CE"/>
    <w:pPr>
      <w:numPr>
        <w:ilvl w:val="2"/>
      </w:numPr>
    </w:pPr>
  </w:style>
  <w:style w:type="paragraph" w:customStyle="1" w:styleId="RicardoSTC2">
    <w:name w:val="Ricardo ST&amp;C2"/>
    <w:basedOn w:val="RicardoSTC1"/>
    <w:link w:val="RicardoSTC2CharChar"/>
    <w:uiPriority w:val="1"/>
    <w:semiHidden/>
    <w:rsid w:val="001529CE"/>
    <w:pPr>
      <w:numPr>
        <w:ilvl w:val="1"/>
      </w:numPr>
      <w:spacing w:before="60"/>
    </w:pPr>
    <w:rPr>
      <w:b w:val="0"/>
    </w:rPr>
  </w:style>
  <w:style w:type="paragraph" w:customStyle="1" w:styleId="RicardoSTC1">
    <w:name w:val="Ricardo ST&amp;C1"/>
    <w:link w:val="RicardoSTC1CharChar"/>
    <w:uiPriority w:val="1"/>
    <w:semiHidden/>
    <w:rsid w:val="001529CE"/>
    <w:pPr>
      <w:widowControl w:val="0"/>
      <w:numPr>
        <w:numId w:val="28"/>
      </w:numPr>
      <w:spacing w:before="120" w:after="60"/>
      <w:jc w:val="both"/>
    </w:pPr>
    <w:rPr>
      <w:rFonts w:ascii="Arial" w:hAnsi="Arial" w:cs="Arial"/>
      <w:b/>
      <w:sz w:val="12"/>
      <w:lang w:eastAsia="en-US"/>
    </w:rPr>
  </w:style>
  <w:style w:type="character" w:customStyle="1" w:styleId="RicardoSTC1CharChar">
    <w:name w:val="Ricardo ST&amp;C1 Char Char"/>
    <w:basedOn w:val="DefaultParagraphFont"/>
    <w:link w:val="RicardoSTC1"/>
    <w:uiPriority w:val="1"/>
    <w:semiHidden/>
    <w:rsid w:val="001529CE"/>
    <w:rPr>
      <w:rFonts w:ascii="Arial" w:hAnsi="Arial" w:cs="Arial"/>
      <w:b/>
      <w:sz w:val="12"/>
      <w:lang w:eastAsia="en-US"/>
    </w:rPr>
  </w:style>
  <w:style w:type="character" w:customStyle="1" w:styleId="RicardoSTC2CharChar">
    <w:name w:val="Ricardo ST&amp;C2 Char Char"/>
    <w:basedOn w:val="RicardoSTC1CharChar"/>
    <w:link w:val="RicardoSTC2"/>
    <w:uiPriority w:val="1"/>
    <w:semiHidden/>
    <w:rsid w:val="001529CE"/>
    <w:rPr>
      <w:rFonts w:ascii="Arial" w:hAnsi="Arial" w:cs="Arial"/>
      <w:b w:val="0"/>
      <w:sz w:val="12"/>
      <w:lang w:eastAsia="en-US"/>
    </w:rPr>
  </w:style>
  <w:style w:type="character" w:customStyle="1" w:styleId="RicardoSTC2followCharChar">
    <w:name w:val="Ricardo ST&amp;C2follow Char Char"/>
    <w:basedOn w:val="RicardoSTC2CharChar"/>
    <w:link w:val="RicardoSTC2follow"/>
    <w:uiPriority w:val="1"/>
    <w:semiHidden/>
    <w:rsid w:val="001529CE"/>
    <w:rPr>
      <w:rFonts w:ascii="Arial" w:hAnsi="Arial" w:cs="Arial"/>
      <w:b w:val="0"/>
      <w:sz w:val="12"/>
      <w:lang w:eastAsia="en-US"/>
    </w:rPr>
  </w:style>
  <w:style w:type="paragraph" w:customStyle="1" w:styleId="RNumberedListL2">
    <w:name w:val="R Numbered List L2"/>
    <w:basedOn w:val="RNumberedListL1"/>
    <w:uiPriority w:val="5"/>
    <w:rsid w:val="001529CE"/>
    <w:pPr>
      <w:numPr>
        <w:ilvl w:val="1"/>
      </w:numPr>
    </w:pPr>
  </w:style>
  <w:style w:type="paragraph" w:customStyle="1" w:styleId="RNumberedListL3">
    <w:name w:val="R Numbered List L3"/>
    <w:basedOn w:val="RNumberedListL2"/>
    <w:uiPriority w:val="5"/>
    <w:rsid w:val="001529CE"/>
    <w:pPr>
      <w:numPr>
        <w:ilvl w:val="2"/>
      </w:numPr>
    </w:pPr>
  </w:style>
  <w:style w:type="table" w:styleId="GridTable5Dark-Accent1">
    <w:name w:val="Grid Table 5 Dark Accent 1"/>
    <w:basedOn w:val="TableNormal"/>
    <w:uiPriority w:val="50"/>
    <w:rsid w:val="001529C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RTableClear">
    <w:name w:val="R Table Clear"/>
    <w:basedOn w:val="TableNormal"/>
    <w:uiPriority w:val="99"/>
    <w:rsid w:val="001529CE"/>
    <w:pPr>
      <w:spacing w:before="180" w:after="180" w:line="360" w:lineRule="auto"/>
    </w:pPr>
    <w:rPr>
      <w:rFonts w:ascii="Arial" w:hAnsi="Arial"/>
    </w:rPr>
    <w:tblPr>
      <w:jc w:val="center"/>
      <w:tblCellMar>
        <w:top w:w="57" w:type="dxa"/>
        <w:left w:w="57" w:type="dxa"/>
        <w:bottom w:w="57" w:type="dxa"/>
        <w:right w:w="57" w:type="dxa"/>
      </w:tblCellMar>
    </w:tblPr>
    <w:trPr>
      <w:jc w:val="center"/>
    </w:trPr>
    <w:tcPr>
      <w:vAlign w:val="center"/>
    </w:tcPr>
  </w:style>
  <w:style w:type="table" w:customStyle="1" w:styleId="RicardoFrontpageTable">
    <w:name w:val="Ricardo Frontpage Table"/>
    <w:basedOn w:val="TableNormal"/>
    <w:semiHidden/>
    <w:rsid w:val="001529CE"/>
    <w:rPr>
      <w:rFonts w:ascii="Arial" w:hAnsi="Arial"/>
      <w:sz w:val="22"/>
    </w:rPr>
    <w:tblPr>
      <w:tblInd w:w="851" w:type="dxa"/>
      <w:tblCellMar>
        <w:top w:w="120" w:type="dxa"/>
        <w:bottom w:w="120" w:type="dxa"/>
      </w:tblCellMar>
    </w:tblPr>
    <w:tblStylePr w:type="firstRow">
      <w:tblPr/>
      <w:tcPr>
        <w:tcMar>
          <w:top w:w="686" w:type="dxa"/>
          <w:left w:w="108" w:type="dxa"/>
          <w:bottom w:w="119" w:type="dxa"/>
          <w:right w:w="108" w:type="dxa"/>
        </w:tcMar>
      </w:tcPr>
    </w:tblStylePr>
  </w:style>
  <w:style w:type="paragraph" w:customStyle="1" w:styleId="RicardoSTC3">
    <w:name w:val="Ricardo ST&amp;C3"/>
    <w:basedOn w:val="RicardoSTC2follow"/>
    <w:uiPriority w:val="1"/>
    <w:semiHidden/>
    <w:rsid w:val="001529CE"/>
    <w:pPr>
      <w:numPr>
        <w:ilvl w:val="3"/>
      </w:numPr>
      <w:tabs>
        <w:tab w:val="clear" w:pos="850"/>
      </w:tabs>
      <w:ind w:left="2880" w:hanging="360"/>
    </w:pPr>
  </w:style>
  <w:style w:type="table" w:customStyle="1" w:styleId="RicardoHeaderTable">
    <w:name w:val="Ricardo Header Table"/>
    <w:basedOn w:val="TableNormal"/>
    <w:semiHidden/>
    <w:rsid w:val="001529CE"/>
    <w:rPr>
      <w:rFonts w:ascii="Arial" w:hAnsi="Arial"/>
    </w:rPr>
    <w:tblPr>
      <w:tblInd w:w="-851" w:type="dxa"/>
      <w:tblCellMar>
        <w:left w:w="0" w:type="dxa"/>
        <w:right w:w="0" w:type="dxa"/>
      </w:tblCellMar>
    </w:tblPr>
  </w:style>
  <w:style w:type="table" w:customStyle="1" w:styleId="RicardoFooterTable">
    <w:name w:val="Ricardo Footer Table"/>
    <w:basedOn w:val="TableNormal"/>
    <w:semiHidden/>
    <w:rsid w:val="001529CE"/>
    <w:rPr>
      <w:rFonts w:ascii="Arial" w:hAnsi="Arial"/>
    </w:rPr>
    <w:tblPr>
      <w:tblInd w:w="-851" w:type="dxa"/>
      <w:tblCellMar>
        <w:left w:w="0" w:type="dxa"/>
        <w:right w:w="0" w:type="dxa"/>
      </w:tblCellMar>
    </w:tblPr>
    <w:tblStylePr w:type="firstRow">
      <w:rPr>
        <w:rFonts w:ascii="Arial" w:hAnsi="Arial"/>
        <w:i w:val="0"/>
        <w:sz w:val="16"/>
      </w:rPr>
      <w:tblPr/>
      <w:tcPr>
        <w:tcBorders>
          <w:top w:val="nil"/>
          <w:left w:val="nil"/>
          <w:bottom w:val="nil"/>
          <w:right w:val="nil"/>
          <w:insideH w:val="nil"/>
          <w:insideV w:val="nil"/>
          <w:tl2br w:val="nil"/>
          <w:tr2bl w:val="nil"/>
        </w:tcBorders>
      </w:tcPr>
    </w:tblStylePr>
    <w:tblStylePr w:type="lastRow">
      <w:rPr>
        <w:rFonts w:ascii="Arial" w:hAnsi="Arial"/>
        <w:sz w:val="16"/>
      </w:rPr>
      <w:tblPr/>
      <w:tcPr>
        <w:tcMar>
          <w:top w:w="0" w:type="nil"/>
          <w:left w:w="28" w:type="dxa"/>
          <w:bottom w:w="0" w:type="nil"/>
          <w:right w:w="28" w:type="dxa"/>
        </w:tcMar>
      </w:tcPr>
    </w:tblStylePr>
  </w:style>
  <w:style w:type="paragraph" w:customStyle="1" w:styleId="RReferences">
    <w:name w:val="R References"/>
    <w:uiPriority w:val="6"/>
    <w:rsid w:val="001529CE"/>
    <w:pPr>
      <w:numPr>
        <w:numId w:val="27"/>
      </w:numPr>
      <w:tabs>
        <w:tab w:val="clear" w:pos="2977"/>
        <w:tab w:val="num" w:pos="425"/>
      </w:tabs>
      <w:spacing w:before="180" w:after="180"/>
      <w:ind w:left="425"/>
    </w:pPr>
    <w:rPr>
      <w:rFonts w:ascii="Arial" w:hAnsi="Arial" w:cs="Arial"/>
      <w:bCs/>
      <w:szCs w:val="32"/>
      <w:lang w:eastAsia="en-US"/>
    </w:rPr>
  </w:style>
  <w:style w:type="character" w:customStyle="1" w:styleId="CommentSubjectChar">
    <w:name w:val="Comment Subject Char"/>
    <w:basedOn w:val="CommentTextChar"/>
    <w:link w:val="CommentSubject"/>
    <w:uiPriority w:val="2"/>
    <w:semiHidden/>
    <w:rsid w:val="001529CE"/>
    <w:rPr>
      <w:rFonts w:ascii="Arial" w:hAnsi="Arial"/>
      <w:b/>
      <w:bCs/>
      <w:sz w:val="24"/>
      <w:lang w:eastAsia="en-US"/>
    </w:rPr>
  </w:style>
  <w:style w:type="character" w:customStyle="1" w:styleId="DocumentMapChar">
    <w:name w:val="Document Map Char"/>
    <w:basedOn w:val="DefaultParagraphFont"/>
    <w:link w:val="DocumentMap"/>
    <w:uiPriority w:val="2"/>
    <w:semiHidden/>
    <w:rsid w:val="001529CE"/>
    <w:rPr>
      <w:rFonts w:ascii="Tahoma" w:hAnsi="Tahoma" w:cs="Tahoma"/>
      <w:sz w:val="24"/>
      <w:shd w:val="clear" w:color="auto" w:fill="000080"/>
      <w:lang w:eastAsia="en-US"/>
    </w:rPr>
  </w:style>
  <w:style w:type="character" w:styleId="EndnoteReference">
    <w:name w:val="endnote reference"/>
    <w:basedOn w:val="DefaultParagraphFont"/>
    <w:uiPriority w:val="99"/>
    <w:semiHidden/>
    <w:rsid w:val="001529CE"/>
    <w:rPr>
      <w:vertAlign w:val="superscript"/>
    </w:rPr>
  </w:style>
  <w:style w:type="paragraph" w:styleId="EndnoteText">
    <w:name w:val="endnote text"/>
    <w:basedOn w:val="Normal"/>
    <w:link w:val="EndnoteTextChar"/>
    <w:uiPriority w:val="99"/>
    <w:semiHidden/>
    <w:rsid w:val="001529CE"/>
    <w:pPr>
      <w:spacing w:after="0" w:line="276" w:lineRule="auto"/>
      <w:jc w:val="both"/>
    </w:pPr>
    <w:rPr>
      <w:sz w:val="20"/>
    </w:rPr>
  </w:style>
  <w:style w:type="character" w:customStyle="1" w:styleId="EndnoteTextChar">
    <w:name w:val="Endnote Text Char"/>
    <w:basedOn w:val="DefaultParagraphFont"/>
    <w:link w:val="EndnoteText"/>
    <w:uiPriority w:val="99"/>
    <w:semiHidden/>
    <w:rsid w:val="001529CE"/>
    <w:rPr>
      <w:rFonts w:ascii="Arial" w:hAnsi="Arial"/>
      <w:szCs w:val="24"/>
      <w:lang w:eastAsia="en-US"/>
    </w:rPr>
  </w:style>
  <w:style w:type="paragraph" w:styleId="Index2">
    <w:name w:val="index 2"/>
    <w:basedOn w:val="Normal"/>
    <w:next w:val="Normal"/>
    <w:autoRedefine/>
    <w:semiHidden/>
    <w:rsid w:val="001529CE"/>
    <w:pPr>
      <w:spacing w:after="0" w:line="276" w:lineRule="auto"/>
      <w:ind w:left="440" w:hanging="220"/>
      <w:jc w:val="both"/>
    </w:pPr>
    <w:rPr>
      <w:sz w:val="20"/>
    </w:rPr>
  </w:style>
  <w:style w:type="paragraph" w:styleId="Index3">
    <w:name w:val="index 3"/>
    <w:basedOn w:val="Normal"/>
    <w:next w:val="Normal"/>
    <w:autoRedefine/>
    <w:semiHidden/>
    <w:rsid w:val="001529CE"/>
    <w:pPr>
      <w:spacing w:after="0" w:line="276" w:lineRule="auto"/>
      <w:ind w:left="660" w:hanging="220"/>
      <w:jc w:val="both"/>
    </w:pPr>
    <w:rPr>
      <w:sz w:val="20"/>
    </w:rPr>
  </w:style>
  <w:style w:type="paragraph" w:styleId="Index4">
    <w:name w:val="index 4"/>
    <w:basedOn w:val="Normal"/>
    <w:next w:val="Normal"/>
    <w:autoRedefine/>
    <w:semiHidden/>
    <w:rsid w:val="001529CE"/>
    <w:pPr>
      <w:spacing w:after="0" w:line="276" w:lineRule="auto"/>
      <w:ind w:left="880" w:hanging="220"/>
      <w:jc w:val="both"/>
    </w:pPr>
    <w:rPr>
      <w:sz w:val="20"/>
    </w:rPr>
  </w:style>
  <w:style w:type="paragraph" w:styleId="Index5">
    <w:name w:val="index 5"/>
    <w:basedOn w:val="Normal"/>
    <w:next w:val="Normal"/>
    <w:autoRedefine/>
    <w:semiHidden/>
    <w:rsid w:val="001529CE"/>
    <w:pPr>
      <w:spacing w:after="0" w:line="276" w:lineRule="auto"/>
      <w:ind w:left="1100" w:hanging="220"/>
      <w:jc w:val="both"/>
    </w:pPr>
    <w:rPr>
      <w:sz w:val="20"/>
    </w:rPr>
  </w:style>
  <w:style w:type="paragraph" w:styleId="Index6">
    <w:name w:val="index 6"/>
    <w:basedOn w:val="Normal"/>
    <w:next w:val="Normal"/>
    <w:autoRedefine/>
    <w:semiHidden/>
    <w:rsid w:val="001529CE"/>
    <w:pPr>
      <w:spacing w:after="0" w:line="276" w:lineRule="auto"/>
      <w:ind w:left="1320" w:hanging="220"/>
      <w:jc w:val="both"/>
    </w:pPr>
    <w:rPr>
      <w:sz w:val="20"/>
    </w:rPr>
  </w:style>
  <w:style w:type="paragraph" w:styleId="Index7">
    <w:name w:val="index 7"/>
    <w:basedOn w:val="Normal"/>
    <w:next w:val="Normal"/>
    <w:autoRedefine/>
    <w:semiHidden/>
    <w:rsid w:val="001529CE"/>
    <w:pPr>
      <w:spacing w:after="0" w:line="276" w:lineRule="auto"/>
      <w:ind w:left="1540" w:hanging="220"/>
      <w:jc w:val="both"/>
    </w:pPr>
    <w:rPr>
      <w:sz w:val="20"/>
    </w:rPr>
  </w:style>
  <w:style w:type="paragraph" w:styleId="Index8">
    <w:name w:val="index 8"/>
    <w:basedOn w:val="Normal"/>
    <w:next w:val="Normal"/>
    <w:autoRedefine/>
    <w:semiHidden/>
    <w:rsid w:val="001529CE"/>
    <w:pPr>
      <w:spacing w:after="0" w:line="276" w:lineRule="auto"/>
      <w:ind w:left="1760" w:hanging="220"/>
      <w:jc w:val="both"/>
    </w:pPr>
    <w:rPr>
      <w:sz w:val="20"/>
    </w:rPr>
  </w:style>
  <w:style w:type="paragraph" w:styleId="Index9">
    <w:name w:val="index 9"/>
    <w:basedOn w:val="Normal"/>
    <w:next w:val="Normal"/>
    <w:autoRedefine/>
    <w:semiHidden/>
    <w:rsid w:val="001529CE"/>
    <w:pPr>
      <w:spacing w:after="0" w:line="276" w:lineRule="auto"/>
      <w:ind w:left="1980" w:hanging="220"/>
      <w:jc w:val="both"/>
    </w:pPr>
    <w:rPr>
      <w:sz w:val="20"/>
    </w:rPr>
  </w:style>
  <w:style w:type="character" w:customStyle="1" w:styleId="MacroTextChar">
    <w:name w:val="Macro Text Char"/>
    <w:basedOn w:val="DefaultParagraphFont"/>
    <w:link w:val="MacroText"/>
    <w:uiPriority w:val="2"/>
    <w:semiHidden/>
    <w:rsid w:val="001529CE"/>
    <w:rPr>
      <w:rFonts w:ascii="Courier New" w:hAnsi="Courier New"/>
      <w:sz w:val="16"/>
      <w:lang w:eastAsia="en-US"/>
    </w:rPr>
  </w:style>
  <w:style w:type="paragraph" w:styleId="TableofAuthorities">
    <w:name w:val="table of authorities"/>
    <w:basedOn w:val="Normal"/>
    <w:next w:val="Normal"/>
    <w:uiPriority w:val="2"/>
    <w:semiHidden/>
    <w:rsid w:val="001529CE"/>
    <w:pPr>
      <w:spacing w:after="0" w:line="276" w:lineRule="auto"/>
      <w:ind w:left="220" w:hanging="220"/>
      <w:jc w:val="both"/>
    </w:pPr>
    <w:rPr>
      <w:sz w:val="20"/>
    </w:rPr>
  </w:style>
  <w:style w:type="numbering" w:styleId="111111">
    <w:name w:val="Outline List 2"/>
    <w:basedOn w:val="NoList"/>
    <w:semiHidden/>
    <w:rsid w:val="001529CE"/>
    <w:pPr>
      <w:numPr>
        <w:numId w:val="22"/>
      </w:numPr>
    </w:pPr>
  </w:style>
  <w:style w:type="numbering" w:styleId="1ai">
    <w:name w:val="Outline List 1"/>
    <w:basedOn w:val="NoList"/>
    <w:semiHidden/>
    <w:rsid w:val="001529CE"/>
    <w:pPr>
      <w:numPr>
        <w:numId w:val="23"/>
      </w:numPr>
    </w:pPr>
  </w:style>
  <w:style w:type="paragraph" w:styleId="Closing">
    <w:name w:val="Closing"/>
    <w:basedOn w:val="Normal"/>
    <w:link w:val="ClosingChar"/>
    <w:uiPriority w:val="2"/>
    <w:semiHidden/>
    <w:rsid w:val="001529CE"/>
    <w:pPr>
      <w:spacing w:after="0" w:line="276" w:lineRule="auto"/>
      <w:ind w:left="4252"/>
      <w:jc w:val="both"/>
    </w:pPr>
    <w:rPr>
      <w:sz w:val="20"/>
    </w:rPr>
  </w:style>
  <w:style w:type="character" w:customStyle="1" w:styleId="ClosingChar">
    <w:name w:val="Closing Char"/>
    <w:basedOn w:val="DefaultParagraphFont"/>
    <w:link w:val="Closing"/>
    <w:uiPriority w:val="2"/>
    <w:semiHidden/>
    <w:rsid w:val="001529CE"/>
    <w:rPr>
      <w:rFonts w:ascii="Arial" w:hAnsi="Arial"/>
      <w:szCs w:val="24"/>
      <w:lang w:eastAsia="en-US"/>
    </w:rPr>
  </w:style>
  <w:style w:type="paragraph" w:styleId="Date">
    <w:name w:val="Date"/>
    <w:basedOn w:val="Normal"/>
    <w:next w:val="Normal"/>
    <w:link w:val="DateChar"/>
    <w:uiPriority w:val="2"/>
    <w:semiHidden/>
    <w:rsid w:val="001529CE"/>
    <w:pPr>
      <w:spacing w:after="0" w:line="276" w:lineRule="auto"/>
      <w:jc w:val="both"/>
    </w:pPr>
    <w:rPr>
      <w:sz w:val="20"/>
    </w:rPr>
  </w:style>
  <w:style w:type="character" w:customStyle="1" w:styleId="DateChar">
    <w:name w:val="Date Char"/>
    <w:basedOn w:val="DefaultParagraphFont"/>
    <w:link w:val="Date"/>
    <w:uiPriority w:val="2"/>
    <w:semiHidden/>
    <w:rsid w:val="001529CE"/>
    <w:rPr>
      <w:rFonts w:ascii="Arial" w:hAnsi="Arial"/>
      <w:szCs w:val="24"/>
      <w:lang w:eastAsia="en-US"/>
    </w:rPr>
  </w:style>
  <w:style w:type="paragraph" w:styleId="E-mailSignature">
    <w:name w:val="E-mail Signature"/>
    <w:basedOn w:val="Normal"/>
    <w:link w:val="E-mailSignatureChar"/>
    <w:uiPriority w:val="2"/>
    <w:semiHidden/>
    <w:rsid w:val="001529CE"/>
    <w:pPr>
      <w:spacing w:after="0" w:line="276" w:lineRule="auto"/>
      <w:jc w:val="both"/>
    </w:pPr>
    <w:rPr>
      <w:sz w:val="20"/>
    </w:rPr>
  </w:style>
  <w:style w:type="character" w:customStyle="1" w:styleId="E-mailSignatureChar">
    <w:name w:val="E-mail Signature Char"/>
    <w:basedOn w:val="DefaultParagraphFont"/>
    <w:link w:val="E-mailSignature"/>
    <w:uiPriority w:val="2"/>
    <w:semiHidden/>
    <w:rsid w:val="001529CE"/>
    <w:rPr>
      <w:rFonts w:ascii="Arial" w:hAnsi="Arial"/>
      <w:szCs w:val="24"/>
      <w:lang w:eastAsia="en-US"/>
    </w:rPr>
  </w:style>
  <w:style w:type="character" w:styleId="Emphasis">
    <w:name w:val="Emphasis"/>
    <w:basedOn w:val="DefaultParagraphFont"/>
    <w:uiPriority w:val="2"/>
    <w:qFormat/>
    <w:rsid w:val="001529CE"/>
    <w:rPr>
      <w:i/>
      <w:iCs/>
    </w:rPr>
  </w:style>
  <w:style w:type="paragraph" w:styleId="EnvelopeAddress">
    <w:name w:val="envelope address"/>
    <w:basedOn w:val="Normal"/>
    <w:uiPriority w:val="2"/>
    <w:semiHidden/>
    <w:rsid w:val="001529CE"/>
    <w:pPr>
      <w:framePr w:w="7920" w:h="1980" w:hRule="exact" w:hSpace="180" w:wrap="auto" w:hAnchor="page" w:xAlign="center" w:yAlign="bottom"/>
      <w:spacing w:after="0" w:line="276" w:lineRule="auto"/>
      <w:ind w:left="2880"/>
      <w:jc w:val="both"/>
    </w:pPr>
    <w:rPr>
      <w:rFonts w:cs="Arial"/>
    </w:rPr>
  </w:style>
  <w:style w:type="paragraph" w:styleId="EnvelopeReturn">
    <w:name w:val="envelope return"/>
    <w:basedOn w:val="Normal"/>
    <w:uiPriority w:val="2"/>
    <w:semiHidden/>
    <w:rsid w:val="001529CE"/>
    <w:pPr>
      <w:spacing w:after="0" w:line="276" w:lineRule="auto"/>
      <w:jc w:val="both"/>
    </w:pPr>
    <w:rPr>
      <w:rFonts w:cs="Arial"/>
      <w:sz w:val="20"/>
    </w:rPr>
  </w:style>
  <w:style w:type="character" w:styleId="LineNumber">
    <w:name w:val="line number"/>
    <w:basedOn w:val="DefaultParagraphFont"/>
    <w:uiPriority w:val="2"/>
    <w:semiHidden/>
    <w:rsid w:val="001529CE"/>
  </w:style>
  <w:style w:type="paragraph" w:styleId="List3">
    <w:name w:val="List 3"/>
    <w:basedOn w:val="Normal"/>
    <w:uiPriority w:val="2"/>
    <w:semiHidden/>
    <w:rsid w:val="001529CE"/>
    <w:pPr>
      <w:spacing w:after="0" w:line="276" w:lineRule="auto"/>
      <w:ind w:left="849" w:hanging="283"/>
      <w:jc w:val="both"/>
    </w:pPr>
    <w:rPr>
      <w:sz w:val="20"/>
    </w:rPr>
  </w:style>
  <w:style w:type="paragraph" w:styleId="List4">
    <w:name w:val="List 4"/>
    <w:basedOn w:val="Normal"/>
    <w:uiPriority w:val="2"/>
    <w:semiHidden/>
    <w:rsid w:val="001529CE"/>
    <w:pPr>
      <w:spacing w:after="0" w:line="276" w:lineRule="auto"/>
      <w:ind w:left="1132" w:hanging="283"/>
      <w:jc w:val="both"/>
    </w:pPr>
    <w:rPr>
      <w:sz w:val="20"/>
    </w:rPr>
  </w:style>
  <w:style w:type="paragraph" w:styleId="List5">
    <w:name w:val="List 5"/>
    <w:basedOn w:val="Normal"/>
    <w:uiPriority w:val="2"/>
    <w:semiHidden/>
    <w:rsid w:val="001529CE"/>
    <w:pPr>
      <w:spacing w:after="0" w:line="276" w:lineRule="auto"/>
      <w:ind w:left="1415" w:hanging="283"/>
      <w:jc w:val="both"/>
    </w:pPr>
    <w:rPr>
      <w:sz w:val="20"/>
    </w:rPr>
  </w:style>
  <w:style w:type="paragraph" w:styleId="ListContinue">
    <w:name w:val="List Continue"/>
    <w:basedOn w:val="Normal"/>
    <w:uiPriority w:val="2"/>
    <w:semiHidden/>
    <w:rsid w:val="001529CE"/>
    <w:pPr>
      <w:spacing w:line="276" w:lineRule="auto"/>
      <w:ind w:left="283"/>
      <w:jc w:val="both"/>
    </w:pPr>
    <w:rPr>
      <w:sz w:val="20"/>
    </w:rPr>
  </w:style>
  <w:style w:type="paragraph" w:styleId="ListContinue2">
    <w:name w:val="List Continue 2"/>
    <w:basedOn w:val="Normal"/>
    <w:uiPriority w:val="2"/>
    <w:semiHidden/>
    <w:rsid w:val="001529CE"/>
    <w:pPr>
      <w:spacing w:line="276" w:lineRule="auto"/>
      <w:ind w:left="566"/>
      <w:jc w:val="both"/>
    </w:pPr>
    <w:rPr>
      <w:sz w:val="20"/>
    </w:rPr>
  </w:style>
  <w:style w:type="paragraph" w:styleId="ListContinue3">
    <w:name w:val="List Continue 3"/>
    <w:basedOn w:val="Normal"/>
    <w:uiPriority w:val="2"/>
    <w:semiHidden/>
    <w:rsid w:val="001529CE"/>
    <w:pPr>
      <w:spacing w:line="276" w:lineRule="auto"/>
      <w:ind w:left="849"/>
      <w:jc w:val="both"/>
    </w:pPr>
    <w:rPr>
      <w:sz w:val="20"/>
    </w:rPr>
  </w:style>
  <w:style w:type="paragraph" w:styleId="ListContinue4">
    <w:name w:val="List Continue 4"/>
    <w:basedOn w:val="Normal"/>
    <w:uiPriority w:val="2"/>
    <w:semiHidden/>
    <w:rsid w:val="001529CE"/>
    <w:pPr>
      <w:spacing w:line="276" w:lineRule="auto"/>
      <w:ind w:left="1132"/>
      <w:jc w:val="both"/>
    </w:pPr>
    <w:rPr>
      <w:sz w:val="20"/>
    </w:rPr>
  </w:style>
  <w:style w:type="paragraph" w:styleId="ListContinue5">
    <w:name w:val="List Continue 5"/>
    <w:basedOn w:val="Normal"/>
    <w:uiPriority w:val="2"/>
    <w:semiHidden/>
    <w:rsid w:val="001529CE"/>
    <w:pPr>
      <w:spacing w:line="276" w:lineRule="auto"/>
      <w:ind w:left="1415"/>
      <w:jc w:val="both"/>
    </w:pPr>
    <w:rPr>
      <w:sz w:val="20"/>
    </w:rPr>
  </w:style>
  <w:style w:type="character" w:customStyle="1" w:styleId="MessageHeaderChar">
    <w:name w:val="Message Header Char"/>
    <w:basedOn w:val="DefaultParagraphFont"/>
    <w:link w:val="MessageHeader"/>
    <w:uiPriority w:val="2"/>
    <w:semiHidden/>
    <w:rsid w:val="001529CE"/>
    <w:rPr>
      <w:rFonts w:ascii="Frutiger 55 Roman" w:hAnsi="Frutiger 55 Roman"/>
      <w:sz w:val="18"/>
      <w:lang w:eastAsia="en-US"/>
    </w:rPr>
  </w:style>
  <w:style w:type="paragraph" w:styleId="NormalWeb">
    <w:name w:val="Normal (Web)"/>
    <w:basedOn w:val="Normal"/>
    <w:uiPriority w:val="99"/>
    <w:semiHidden/>
    <w:rsid w:val="001529CE"/>
    <w:pPr>
      <w:spacing w:after="0" w:line="276" w:lineRule="auto"/>
      <w:jc w:val="both"/>
    </w:pPr>
    <w:rPr>
      <w:rFonts w:ascii="Times New Roman" w:hAnsi="Times New Roman"/>
    </w:rPr>
  </w:style>
  <w:style w:type="paragraph" w:styleId="NoteHeading">
    <w:name w:val="Note Heading"/>
    <w:basedOn w:val="Normal"/>
    <w:next w:val="Normal"/>
    <w:link w:val="NoteHeadingChar"/>
    <w:uiPriority w:val="2"/>
    <w:semiHidden/>
    <w:rsid w:val="001529CE"/>
    <w:pPr>
      <w:spacing w:after="0" w:line="276" w:lineRule="auto"/>
      <w:jc w:val="both"/>
    </w:pPr>
    <w:rPr>
      <w:sz w:val="20"/>
    </w:rPr>
  </w:style>
  <w:style w:type="character" w:customStyle="1" w:styleId="NoteHeadingChar">
    <w:name w:val="Note Heading Char"/>
    <w:basedOn w:val="DefaultParagraphFont"/>
    <w:link w:val="NoteHeading"/>
    <w:uiPriority w:val="2"/>
    <w:semiHidden/>
    <w:rsid w:val="001529CE"/>
    <w:rPr>
      <w:rFonts w:ascii="Arial" w:hAnsi="Arial"/>
      <w:szCs w:val="24"/>
      <w:lang w:eastAsia="en-US"/>
    </w:rPr>
  </w:style>
  <w:style w:type="paragraph" w:styleId="PlainText">
    <w:name w:val="Plain Text"/>
    <w:basedOn w:val="Normal"/>
    <w:link w:val="PlainTextChar"/>
    <w:uiPriority w:val="2"/>
    <w:semiHidden/>
    <w:rsid w:val="001529CE"/>
    <w:pPr>
      <w:spacing w:after="0" w:line="276" w:lineRule="auto"/>
      <w:jc w:val="both"/>
    </w:pPr>
    <w:rPr>
      <w:rFonts w:ascii="Courier New" w:hAnsi="Courier New" w:cs="Courier New"/>
      <w:sz w:val="20"/>
    </w:rPr>
  </w:style>
  <w:style w:type="character" w:customStyle="1" w:styleId="PlainTextChar">
    <w:name w:val="Plain Text Char"/>
    <w:basedOn w:val="DefaultParagraphFont"/>
    <w:link w:val="PlainText"/>
    <w:uiPriority w:val="2"/>
    <w:semiHidden/>
    <w:rsid w:val="001529CE"/>
    <w:rPr>
      <w:rFonts w:ascii="Courier New" w:hAnsi="Courier New" w:cs="Courier New"/>
      <w:szCs w:val="24"/>
      <w:lang w:eastAsia="en-US"/>
    </w:rPr>
  </w:style>
  <w:style w:type="paragraph" w:styleId="Salutation">
    <w:name w:val="Salutation"/>
    <w:basedOn w:val="Normal"/>
    <w:next w:val="Normal"/>
    <w:link w:val="SalutationChar"/>
    <w:uiPriority w:val="2"/>
    <w:semiHidden/>
    <w:rsid w:val="001529CE"/>
    <w:pPr>
      <w:spacing w:after="0" w:line="276" w:lineRule="auto"/>
      <w:jc w:val="both"/>
    </w:pPr>
    <w:rPr>
      <w:sz w:val="20"/>
    </w:rPr>
  </w:style>
  <w:style w:type="character" w:customStyle="1" w:styleId="SalutationChar">
    <w:name w:val="Salutation Char"/>
    <w:basedOn w:val="DefaultParagraphFont"/>
    <w:link w:val="Salutation"/>
    <w:uiPriority w:val="2"/>
    <w:semiHidden/>
    <w:rsid w:val="001529CE"/>
    <w:rPr>
      <w:rFonts w:ascii="Arial" w:hAnsi="Arial"/>
      <w:szCs w:val="24"/>
      <w:lang w:eastAsia="en-US"/>
    </w:rPr>
  </w:style>
  <w:style w:type="paragraph" w:styleId="Signature">
    <w:name w:val="Signature"/>
    <w:basedOn w:val="Normal"/>
    <w:link w:val="SignatureChar"/>
    <w:uiPriority w:val="2"/>
    <w:semiHidden/>
    <w:rsid w:val="001529CE"/>
    <w:pPr>
      <w:spacing w:after="0" w:line="276" w:lineRule="auto"/>
      <w:ind w:left="4252"/>
      <w:jc w:val="both"/>
    </w:pPr>
    <w:rPr>
      <w:sz w:val="20"/>
    </w:rPr>
  </w:style>
  <w:style w:type="character" w:customStyle="1" w:styleId="SignatureChar">
    <w:name w:val="Signature Char"/>
    <w:basedOn w:val="DefaultParagraphFont"/>
    <w:link w:val="Signature"/>
    <w:uiPriority w:val="2"/>
    <w:semiHidden/>
    <w:rsid w:val="001529CE"/>
    <w:rPr>
      <w:rFonts w:ascii="Arial" w:hAnsi="Arial"/>
      <w:szCs w:val="24"/>
      <w:lang w:eastAsia="en-US"/>
    </w:rPr>
  </w:style>
  <w:style w:type="character" w:customStyle="1" w:styleId="SubtitleChar">
    <w:name w:val="Subtitle Char"/>
    <w:basedOn w:val="DefaultParagraphFont"/>
    <w:link w:val="Subtitle"/>
    <w:uiPriority w:val="2"/>
    <w:rsid w:val="001529CE"/>
    <w:rPr>
      <w:rFonts w:ascii="Frutiger 55 Roman" w:hAnsi="Frutiger 55 Roman"/>
      <w:sz w:val="18"/>
      <w:lang w:eastAsia="en-US"/>
    </w:rPr>
  </w:style>
  <w:style w:type="table" w:styleId="Table3Deffects1">
    <w:name w:val="Table 3D effects 1"/>
    <w:basedOn w:val="TableNormal"/>
    <w:semiHidden/>
    <w:rsid w:val="001529CE"/>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529CE"/>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529CE"/>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itleChar">
    <w:name w:val="Title Char"/>
    <w:basedOn w:val="DefaultParagraphFont"/>
    <w:link w:val="Title"/>
    <w:uiPriority w:val="2"/>
    <w:rsid w:val="001529CE"/>
    <w:rPr>
      <w:rFonts w:ascii="Frutiger 55 Roman" w:hAnsi="Frutiger 55 Roman"/>
      <w:b/>
      <w:kern w:val="28"/>
      <w:sz w:val="28"/>
      <w:lang w:eastAsia="en-US"/>
    </w:rPr>
  </w:style>
  <w:style w:type="paragraph" w:customStyle="1" w:styleId="RicardoDisclaimer">
    <w:name w:val="Ricardo Disclaimer"/>
    <w:basedOn w:val="RCloseText"/>
    <w:uiPriority w:val="7"/>
    <w:rsid w:val="001529CE"/>
    <w:pPr>
      <w:framePr w:hSpace="181" w:vSpace="284" w:wrap="around" w:hAnchor="margin" w:x="-850" w:yAlign="bottom"/>
    </w:pPr>
    <w:rPr>
      <w:i/>
      <w:noProof/>
      <w:color w:val="A7A9AC"/>
      <w:sz w:val="16"/>
    </w:rPr>
  </w:style>
  <w:style w:type="table" w:customStyle="1" w:styleId="RTableFilled-NoHeading">
    <w:name w:val="R Table Filled - No Heading"/>
    <w:basedOn w:val="RTableClear"/>
    <w:uiPriority w:val="99"/>
    <w:rsid w:val="001529CE"/>
    <w:pPr>
      <w:spacing w:before="0" w:after="0" w:line="240" w:lineRule="auto"/>
    </w:pPr>
    <w:tblP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left w:w="85" w:type="dxa"/>
        <w:right w:w="85" w:type="dxa"/>
      </w:tblCellMar>
    </w:tblPr>
    <w:tcPr>
      <w:shd w:val="clear" w:color="auto" w:fill="D0D2D2"/>
    </w:tcPr>
  </w:style>
  <w:style w:type="table" w:customStyle="1" w:styleId="RTableFilled-HeadingRow">
    <w:name w:val="R Table Filled - Heading Row"/>
    <w:basedOn w:val="RTableFilled-NoHeading"/>
    <w:uiPriority w:val="99"/>
    <w:rsid w:val="001529CE"/>
    <w:pPr>
      <w:spacing w:before="180" w:after="180" w:line="360" w:lineRule="auto"/>
    </w:pPr>
    <w:tblPr/>
    <w:tcPr>
      <w:shd w:val="clear" w:color="auto" w:fill="D0D2D2"/>
    </w:tcPr>
    <w:tblStylePr w:type="firstRow">
      <w:pPr>
        <w:jc w:val="center"/>
      </w:pPr>
      <w:rPr>
        <w:rFonts w:ascii="Arial" w:hAnsi="Arial"/>
        <w:b/>
        <w:sz w:val="20"/>
      </w:rPr>
      <w:tblPr/>
      <w:tcPr>
        <w:shd w:val="clear" w:color="auto" w:fill="1F1646"/>
      </w:tcPr>
    </w:tblStylePr>
  </w:style>
  <w:style w:type="table" w:customStyle="1" w:styleId="RTableGrey-NoHeading">
    <w:name w:val="R Table Grey - No Heading"/>
    <w:basedOn w:val="RTableClear"/>
    <w:uiPriority w:val="99"/>
    <w:rsid w:val="001529CE"/>
    <w:tblPr>
      <w:tblBorders>
        <w:top w:val="single" w:sz="4" w:space="0" w:color="A3AAAE"/>
        <w:left w:val="single" w:sz="4" w:space="0" w:color="A3AAAE"/>
        <w:bottom w:val="single" w:sz="4" w:space="0" w:color="A3AAAE"/>
        <w:right w:val="single" w:sz="4" w:space="0" w:color="A3AAAE"/>
        <w:insideH w:val="single" w:sz="4" w:space="0" w:color="A3AAAE"/>
        <w:insideV w:val="single" w:sz="4" w:space="0" w:color="A3AAAE"/>
      </w:tblBorders>
    </w:tblPr>
  </w:style>
  <w:style w:type="table" w:customStyle="1" w:styleId="RTableGrey-HeadingColumn">
    <w:name w:val="R Table Grey - Heading Column"/>
    <w:basedOn w:val="RTableGrey-NoHeading"/>
    <w:uiPriority w:val="99"/>
    <w:rsid w:val="001529CE"/>
    <w:tblPr/>
    <w:tblStylePr w:type="firstCol">
      <w:pPr>
        <w:jc w:val="left"/>
      </w:pPr>
      <w:rPr>
        <w:rFonts w:ascii="Arial" w:hAnsi="Arial"/>
        <w:b/>
        <w:color w:val="000000"/>
        <w:sz w:val="20"/>
      </w:rPr>
      <w:tblPr/>
      <w:tcPr>
        <w:shd w:val="clear" w:color="auto" w:fill="D0D2D2"/>
      </w:tcPr>
    </w:tblStylePr>
  </w:style>
  <w:style w:type="table" w:customStyle="1" w:styleId="RTableGrey-HeadingRow">
    <w:name w:val="R Table Grey - Heading Row"/>
    <w:basedOn w:val="RTableGrey-NoHeading"/>
    <w:uiPriority w:val="99"/>
    <w:rsid w:val="001529CE"/>
    <w:tblPr/>
    <w:tblStylePr w:type="firstRow">
      <w:pPr>
        <w:jc w:val="center"/>
      </w:pPr>
      <w:rPr>
        <w:rFonts w:ascii="Arial" w:hAnsi="Arial"/>
        <w:b/>
        <w:sz w:val="20"/>
      </w:rPr>
      <w:tblPr/>
      <w:tcPr>
        <w:shd w:val="clear" w:color="auto" w:fill="D0D2D2"/>
      </w:tcPr>
    </w:tblStylePr>
  </w:style>
  <w:style w:type="table" w:styleId="GridTable1Light">
    <w:name w:val="Grid Table 1 Light"/>
    <w:basedOn w:val="TableNormal"/>
    <w:uiPriority w:val="46"/>
    <w:rsid w:val="001529C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ootnotes">
    <w:name w:val="Footnotes"/>
    <w:basedOn w:val="Normal"/>
    <w:qFormat/>
    <w:rsid w:val="001529CE"/>
    <w:pPr>
      <w:tabs>
        <w:tab w:val="left" w:pos="142"/>
      </w:tabs>
      <w:spacing w:after="0" w:line="240" w:lineRule="auto"/>
      <w:ind w:left="142" w:hanging="142"/>
      <w:jc w:val="both"/>
    </w:pPr>
    <w:rPr>
      <w:rFonts w:cs="Arial"/>
      <w:sz w:val="15"/>
      <w:szCs w:val="15"/>
    </w:rPr>
  </w:style>
  <w:style w:type="character" w:customStyle="1" w:styleId="BalloonTextChar">
    <w:name w:val="Balloon Text Char"/>
    <w:basedOn w:val="DefaultParagraphFont"/>
    <w:link w:val="BalloonText"/>
    <w:uiPriority w:val="99"/>
    <w:semiHidden/>
    <w:rsid w:val="00BB19E2"/>
    <w:rPr>
      <w:rFonts w:ascii="Tahoma" w:hAnsi="Tahoma" w:cs="Tahoma"/>
      <w:sz w:val="16"/>
      <w:szCs w:val="16"/>
      <w:lang w:eastAsia="en-US"/>
    </w:rPr>
  </w:style>
  <w:style w:type="character" w:customStyle="1" w:styleId="subscripttext">
    <w:name w:val="subscript_text"/>
    <w:basedOn w:val="DefaultParagraphFont"/>
    <w:rsid w:val="00BB19E2"/>
  </w:style>
  <w:style w:type="paragraph" w:customStyle="1" w:styleId="AQAPText">
    <w:name w:val="AQAP Text"/>
    <w:basedOn w:val="Normal"/>
    <w:link w:val="AQAPTextChar"/>
    <w:qFormat/>
    <w:rsid w:val="00EF0C21"/>
    <w:pPr>
      <w:spacing w:before="0" w:after="160" w:line="240" w:lineRule="auto"/>
    </w:pPr>
    <w:rPr>
      <w:rFonts w:eastAsiaTheme="minorHAnsi" w:cs="Arial"/>
      <w:kern w:val="2"/>
      <w14:ligatures w14:val="standardContextual"/>
    </w:rPr>
  </w:style>
  <w:style w:type="character" w:customStyle="1" w:styleId="AQAPTextChar">
    <w:name w:val="AQAP Text Char"/>
    <w:basedOn w:val="DefaultParagraphFont"/>
    <w:link w:val="AQAPText"/>
    <w:rsid w:val="00EF0C21"/>
    <w:rPr>
      <w:rFonts w:ascii="Arial" w:eastAsiaTheme="minorHAnsi" w:hAnsi="Arial" w:cs="Arial"/>
      <w:kern w:val="2"/>
      <w:sz w:val="24"/>
      <w:szCs w:val="24"/>
      <w:lang w:eastAsia="en-US"/>
      <w14:ligatures w14:val="standardContextual"/>
    </w:rPr>
  </w:style>
  <w:style w:type="paragraph" w:customStyle="1" w:styleId="Style2">
    <w:name w:val="Style2"/>
    <w:basedOn w:val="Normal"/>
    <w:link w:val="Style2Char"/>
    <w:qFormat/>
    <w:rsid w:val="00EF0C21"/>
    <w:pPr>
      <w:spacing w:before="0" w:after="0" w:line="240" w:lineRule="auto"/>
      <w:ind w:left="360" w:hanging="360"/>
    </w:pPr>
    <w:rPr>
      <w:rFonts w:eastAsiaTheme="minorHAnsi" w:cstheme="minorBidi"/>
      <w:kern w:val="2"/>
      <w:szCs w:val="22"/>
      <w14:ligatures w14:val="standardContextual"/>
    </w:rPr>
  </w:style>
  <w:style w:type="character" w:customStyle="1" w:styleId="Style2Char">
    <w:name w:val="Style2 Char"/>
    <w:basedOn w:val="DefaultParagraphFont"/>
    <w:link w:val="Style2"/>
    <w:rsid w:val="00EF0C21"/>
    <w:rPr>
      <w:rFonts w:ascii="Arial" w:eastAsiaTheme="minorHAnsi" w:hAnsi="Arial" w:cstheme="minorBidi"/>
      <w:kern w:val="2"/>
      <w:sz w:val="24"/>
      <w:szCs w:val="22"/>
      <w:lang w:eastAsia="en-US"/>
      <w14:ligatures w14:val="standardContextual"/>
    </w:rPr>
  </w:style>
  <w:style w:type="paragraph" w:customStyle="1" w:styleId="Figures">
    <w:name w:val="Figures"/>
    <w:basedOn w:val="Caption"/>
    <w:link w:val="FiguresChar"/>
    <w:qFormat/>
    <w:rsid w:val="006132B8"/>
  </w:style>
  <w:style w:type="paragraph" w:customStyle="1" w:styleId="Tables">
    <w:name w:val="Tables"/>
    <w:basedOn w:val="Caption"/>
    <w:link w:val="TablesChar"/>
    <w:qFormat/>
    <w:rsid w:val="006132B8"/>
    <w:pPr>
      <w:spacing w:after="0"/>
    </w:pPr>
  </w:style>
  <w:style w:type="character" w:customStyle="1" w:styleId="CaptionChar">
    <w:name w:val="Caption Char"/>
    <w:aliases w:val="R Caption Char"/>
    <w:basedOn w:val="DefaultParagraphFont"/>
    <w:link w:val="Caption"/>
    <w:uiPriority w:val="4"/>
    <w:rsid w:val="006132B8"/>
    <w:rPr>
      <w:rFonts w:ascii="Arial" w:hAnsi="Arial"/>
      <w:b/>
      <w:bCs/>
      <w:color w:val="008938"/>
      <w:sz w:val="24"/>
      <w:lang w:eastAsia="en-US"/>
    </w:rPr>
  </w:style>
  <w:style w:type="character" w:customStyle="1" w:styleId="FiguresChar">
    <w:name w:val="Figures Char"/>
    <w:basedOn w:val="CaptionChar"/>
    <w:link w:val="Figures"/>
    <w:rsid w:val="006132B8"/>
    <w:rPr>
      <w:rFonts w:ascii="Arial" w:hAnsi="Arial"/>
      <w:b/>
      <w:bCs/>
      <w:color w:val="008938"/>
      <w:sz w:val="24"/>
      <w:lang w:eastAsia="en-US"/>
    </w:rPr>
  </w:style>
  <w:style w:type="character" w:customStyle="1" w:styleId="TablesChar">
    <w:name w:val="Tables Char"/>
    <w:basedOn w:val="CaptionChar"/>
    <w:link w:val="Tables"/>
    <w:rsid w:val="006132B8"/>
    <w:rPr>
      <w:rFonts w:ascii="Arial" w:hAnsi="Arial"/>
      <w:b/>
      <w:bCs/>
      <w:color w:val="008938"/>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3297">
      <w:bodyDiv w:val="1"/>
      <w:marLeft w:val="0"/>
      <w:marRight w:val="0"/>
      <w:marTop w:val="0"/>
      <w:marBottom w:val="0"/>
      <w:divBdr>
        <w:top w:val="none" w:sz="0" w:space="0" w:color="auto"/>
        <w:left w:val="none" w:sz="0" w:space="0" w:color="auto"/>
        <w:bottom w:val="none" w:sz="0" w:space="0" w:color="auto"/>
        <w:right w:val="none" w:sz="0" w:space="0" w:color="auto"/>
      </w:divBdr>
    </w:div>
    <w:div w:id="83577672">
      <w:bodyDiv w:val="1"/>
      <w:marLeft w:val="0"/>
      <w:marRight w:val="0"/>
      <w:marTop w:val="0"/>
      <w:marBottom w:val="0"/>
      <w:divBdr>
        <w:top w:val="none" w:sz="0" w:space="0" w:color="auto"/>
        <w:left w:val="none" w:sz="0" w:space="0" w:color="auto"/>
        <w:bottom w:val="none" w:sz="0" w:space="0" w:color="auto"/>
        <w:right w:val="none" w:sz="0" w:space="0" w:color="auto"/>
      </w:divBdr>
    </w:div>
    <w:div w:id="83693041">
      <w:bodyDiv w:val="1"/>
      <w:marLeft w:val="0"/>
      <w:marRight w:val="0"/>
      <w:marTop w:val="0"/>
      <w:marBottom w:val="0"/>
      <w:divBdr>
        <w:top w:val="none" w:sz="0" w:space="0" w:color="auto"/>
        <w:left w:val="none" w:sz="0" w:space="0" w:color="auto"/>
        <w:bottom w:val="none" w:sz="0" w:space="0" w:color="auto"/>
        <w:right w:val="none" w:sz="0" w:space="0" w:color="auto"/>
      </w:divBdr>
    </w:div>
    <w:div w:id="84109552">
      <w:bodyDiv w:val="1"/>
      <w:marLeft w:val="0"/>
      <w:marRight w:val="0"/>
      <w:marTop w:val="0"/>
      <w:marBottom w:val="0"/>
      <w:divBdr>
        <w:top w:val="none" w:sz="0" w:space="0" w:color="auto"/>
        <w:left w:val="none" w:sz="0" w:space="0" w:color="auto"/>
        <w:bottom w:val="none" w:sz="0" w:space="0" w:color="auto"/>
        <w:right w:val="none" w:sz="0" w:space="0" w:color="auto"/>
      </w:divBdr>
    </w:div>
    <w:div w:id="100339943">
      <w:bodyDiv w:val="1"/>
      <w:marLeft w:val="0"/>
      <w:marRight w:val="0"/>
      <w:marTop w:val="0"/>
      <w:marBottom w:val="0"/>
      <w:divBdr>
        <w:top w:val="none" w:sz="0" w:space="0" w:color="auto"/>
        <w:left w:val="none" w:sz="0" w:space="0" w:color="auto"/>
        <w:bottom w:val="none" w:sz="0" w:space="0" w:color="auto"/>
        <w:right w:val="none" w:sz="0" w:space="0" w:color="auto"/>
      </w:divBdr>
    </w:div>
    <w:div w:id="156114994">
      <w:bodyDiv w:val="1"/>
      <w:marLeft w:val="0"/>
      <w:marRight w:val="0"/>
      <w:marTop w:val="0"/>
      <w:marBottom w:val="0"/>
      <w:divBdr>
        <w:top w:val="none" w:sz="0" w:space="0" w:color="auto"/>
        <w:left w:val="none" w:sz="0" w:space="0" w:color="auto"/>
        <w:bottom w:val="none" w:sz="0" w:space="0" w:color="auto"/>
        <w:right w:val="none" w:sz="0" w:space="0" w:color="auto"/>
      </w:divBdr>
    </w:div>
    <w:div w:id="182398451">
      <w:bodyDiv w:val="1"/>
      <w:marLeft w:val="0"/>
      <w:marRight w:val="0"/>
      <w:marTop w:val="0"/>
      <w:marBottom w:val="0"/>
      <w:divBdr>
        <w:top w:val="none" w:sz="0" w:space="0" w:color="auto"/>
        <w:left w:val="none" w:sz="0" w:space="0" w:color="auto"/>
        <w:bottom w:val="none" w:sz="0" w:space="0" w:color="auto"/>
        <w:right w:val="none" w:sz="0" w:space="0" w:color="auto"/>
      </w:divBdr>
    </w:div>
    <w:div w:id="255872565">
      <w:bodyDiv w:val="1"/>
      <w:marLeft w:val="0"/>
      <w:marRight w:val="0"/>
      <w:marTop w:val="0"/>
      <w:marBottom w:val="0"/>
      <w:divBdr>
        <w:top w:val="none" w:sz="0" w:space="0" w:color="auto"/>
        <w:left w:val="none" w:sz="0" w:space="0" w:color="auto"/>
        <w:bottom w:val="none" w:sz="0" w:space="0" w:color="auto"/>
        <w:right w:val="none" w:sz="0" w:space="0" w:color="auto"/>
      </w:divBdr>
    </w:div>
    <w:div w:id="274797096">
      <w:bodyDiv w:val="1"/>
      <w:marLeft w:val="0"/>
      <w:marRight w:val="0"/>
      <w:marTop w:val="0"/>
      <w:marBottom w:val="0"/>
      <w:divBdr>
        <w:top w:val="none" w:sz="0" w:space="0" w:color="auto"/>
        <w:left w:val="none" w:sz="0" w:space="0" w:color="auto"/>
        <w:bottom w:val="none" w:sz="0" w:space="0" w:color="auto"/>
        <w:right w:val="none" w:sz="0" w:space="0" w:color="auto"/>
      </w:divBdr>
    </w:div>
    <w:div w:id="348064684">
      <w:bodyDiv w:val="1"/>
      <w:marLeft w:val="0"/>
      <w:marRight w:val="0"/>
      <w:marTop w:val="0"/>
      <w:marBottom w:val="0"/>
      <w:divBdr>
        <w:top w:val="none" w:sz="0" w:space="0" w:color="auto"/>
        <w:left w:val="none" w:sz="0" w:space="0" w:color="auto"/>
        <w:bottom w:val="none" w:sz="0" w:space="0" w:color="auto"/>
        <w:right w:val="none" w:sz="0" w:space="0" w:color="auto"/>
      </w:divBdr>
    </w:div>
    <w:div w:id="366492407">
      <w:bodyDiv w:val="1"/>
      <w:marLeft w:val="0"/>
      <w:marRight w:val="0"/>
      <w:marTop w:val="0"/>
      <w:marBottom w:val="0"/>
      <w:divBdr>
        <w:top w:val="none" w:sz="0" w:space="0" w:color="auto"/>
        <w:left w:val="none" w:sz="0" w:space="0" w:color="auto"/>
        <w:bottom w:val="none" w:sz="0" w:space="0" w:color="auto"/>
        <w:right w:val="none" w:sz="0" w:space="0" w:color="auto"/>
      </w:divBdr>
    </w:div>
    <w:div w:id="373165872">
      <w:bodyDiv w:val="1"/>
      <w:marLeft w:val="0"/>
      <w:marRight w:val="0"/>
      <w:marTop w:val="0"/>
      <w:marBottom w:val="0"/>
      <w:divBdr>
        <w:top w:val="none" w:sz="0" w:space="0" w:color="auto"/>
        <w:left w:val="none" w:sz="0" w:space="0" w:color="auto"/>
        <w:bottom w:val="none" w:sz="0" w:space="0" w:color="auto"/>
        <w:right w:val="none" w:sz="0" w:space="0" w:color="auto"/>
      </w:divBdr>
    </w:div>
    <w:div w:id="373970703">
      <w:bodyDiv w:val="1"/>
      <w:marLeft w:val="0"/>
      <w:marRight w:val="0"/>
      <w:marTop w:val="0"/>
      <w:marBottom w:val="0"/>
      <w:divBdr>
        <w:top w:val="none" w:sz="0" w:space="0" w:color="auto"/>
        <w:left w:val="none" w:sz="0" w:space="0" w:color="auto"/>
        <w:bottom w:val="none" w:sz="0" w:space="0" w:color="auto"/>
        <w:right w:val="none" w:sz="0" w:space="0" w:color="auto"/>
      </w:divBdr>
    </w:div>
    <w:div w:id="487090626">
      <w:bodyDiv w:val="1"/>
      <w:marLeft w:val="0"/>
      <w:marRight w:val="0"/>
      <w:marTop w:val="0"/>
      <w:marBottom w:val="0"/>
      <w:divBdr>
        <w:top w:val="none" w:sz="0" w:space="0" w:color="auto"/>
        <w:left w:val="none" w:sz="0" w:space="0" w:color="auto"/>
        <w:bottom w:val="none" w:sz="0" w:space="0" w:color="auto"/>
        <w:right w:val="none" w:sz="0" w:space="0" w:color="auto"/>
      </w:divBdr>
    </w:div>
    <w:div w:id="562644936">
      <w:bodyDiv w:val="1"/>
      <w:marLeft w:val="0"/>
      <w:marRight w:val="0"/>
      <w:marTop w:val="0"/>
      <w:marBottom w:val="0"/>
      <w:divBdr>
        <w:top w:val="none" w:sz="0" w:space="0" w:color="auto"/>
        <w:left w:val="none" w:sz="0" w:space="0" w:color="auto"/>
        <w:bottom w:val="none" w:sz="0" w:space="0" w:color="auto"/>
        <w:right w:val="none" w:sz="0" w:space="0" w:color="auto"/>
      </w:divBdr>
    </w:div>
    <w:div w:id="615527085">
      <w:bodyDiv w:val="1"/>
      <w:marLeft w:val="0"/>
      <w:marRight w:val="0"/>
      <w:marTop w:val="0"/>
      <w:marBottom w:val="0"/>
      <w:divBdr>
        <w:top w:val="none" w:sz="0" w:space="0" w:color="auto"/>
        <w:left w:val="none" w:sz="0" w:space="0" w:color="auto"/>
        <w:bottom w:val="none" w:sz="0" w:space="0" w:color="auto"/>
        <w:right w:val="none" w:sz="0" w:space="0" w:color="auto"/>
      </w:divBdr>
    </w:div>
    <w:div w:id="716322532">
      <w:bodyDiv w:val="1"/>
      <w:marLeft w:val="0"/>
      <w:marRight w:val="0"/>
      <w:marTop w:val="0"/>
      <w:marBottom w:val="0"/>
      <w:divBdr>
        <w:top w:val="none" w:sz="0" w:space="0" w:color="auto"/>
        <w:left w:val="none" w:sz="0" w:space="0" w:color="auto"/>
        <w:bottom w:val="none" w:sz="0" w:space="0" w:color="auto"/>
        <w:right w:val="none" w:sz="0" w:space="0" w:color="auto"/>
      </w:divBdr>
    </w:div>
    <w:div w:id="763303473">
      <w:bodyDiv w:val="1"/>
      <w:marLeft w:val="0"/>
      <w:marRight w:val="0"/>
      <w:marTop w:val="0"/>
      <w:marBottom w:val="0"/>
      <w:divBdr>
        <w:top w:val="none" w:sz="0" w:space="0" w:color="auto"/>
        <w:left w:val="none" w:sz="0" w:space="0" w:color="auto"/>
        <w:bottom w:val="none" w:sz="0" w:space="0" w:color="auto"/>
        <w:right w:val="none" w:sz="0" w:space="0" w:color="auto"/>
      </w:divBdr>
    </w:div>
    <w:div w:id="782461741">
      <w:bodyDiv w:val="1"/>
      <w:marLeft w:val="0"/>
      <w:marRight w:val="0"/>
      <w:marTop w:val="0"/>
      <w:marBottom w:val="0"/>
      <w:divBdr>
        <w:top w:val="none" w:sz="0" w:space="0" w:color="auto"/>
        <w:left w:val="none" w:sz="0" w:space="0" w:color="auto"/>
        <w:bottom w:val="none" w:sz="0" w:space="0" w:color="auto"/>
        <w:right w:val="none" w:sz="0" w:space="0" w:color="auto"/>
      </w:divBdr>
    </w:div>
    <w:div w:id="829833382">
      <w:bodyDiv w:val="1"/>
      <w:marLeft w:val="0"/>
      <w:marRight w:val="0"/>
      <w:marTop w:val="0"/>
      <w:marBottom w:val="0"/>
      <w:divBdr>
        <w:top w:val="none" w:sz="0" w:space="0" w:color="auto"/>
        <w:left w:val="none" w:sz="0" w:space="0" w:color="auto"/>
        <w:bottom w:val="none" w:sz="0" w:space="0" w:color="auto"/>
        <w:right w:val="none" w:sz="0" w:space="0" w:color="auto"/>
      </w:divBdr>
    </w:div>
    <w:div w:id="869219115">
      <w:bodyDiv w:val="1"/>
      <w:marLeft w:val="0"/>
      <w:marRight w:val="0"/>
      <w:marTop w:val="0"/>
      <w:marBottom w:val="0"/>
      <w:divBdr>
        <w:top w:val="none" w:sz="0" w:space="0" w:color="auto"/>
        <w:left w:val="none" w:sz="0" w:space="0" w:color="auto"/>
        <w:bottom w:val="none" w:sz="0" w:space="0" w:color="auto"/>
        <w:right w:val="none" w:sz="0" w:space="0" w:color="auto"/>
      </w:divBdr>
    </w:div>
    <w:div w:id="885482267">
      <w:bodyDiv w:val="1"/>
      <w:marLeft w:val="0"/>
      <w:marRight w:val="0"/>
      <w:marTop w:val="0"/>
      <w:marBottom w:val="0"/>
      <w:divBdr>
        <w:top w:val="none" w:sz="0" w:space="0" w:color="auto"/>
        <w:left w:val="none" w:sz="0" w:space="0" w:color="auto"/>
        <w:bottom w:val="none" w:sz="0" w:space="0" w:color="auto"/>
        <w:right w:val="none" w:sz="0" w:space="0" w:color="auto"/>
      </w:divBdr>
    </w:div>
    <w:div w:id="913972153">
      <w:bodyDiv w:val="1"/>
      <w:marLeft w:val="0"/>
      <w:marRight w:val="0"/>
      <w:marTop w:val="0"/>
      <w:marBottom w:val="0"/>
      <w:divBdr>
        <w:top w:val="none" w:sz="0" w:space="0" w:color="auto"/>
        <w:left w:val="none" w:sz="0" w:space="0" w:color="auto"/>
        <w:bottom w:val="none" w:sz="0" w:space="0" w:color="auto"/>
        <w:right w:val="none" w:sz="0" w:space="0" w:color="auto"/>
      </w:divBdr>
    </w:div>
    <w:div w:id="1057826656">
      <w:bodyDiv w:val="1"/>
      <w:marLeft w:val="0"/>
      <w:marRight w:val="0"/>
      <w:marTop w:val="0"/>
      <w:marBottom w:val="0"/>
      <w:divBdr>
        <w:top w:val="none" w:sz="0" w:space="0" w:color="auto"/>
        <w:left w:val="none" w:sz="0" w:space="0" w:color="auto"/>
        <w:bottom w:val="none" w:sz="0" w:space="0" w:color="auto"/>
        <w:right w:val="none" w:sz="0" w:space="0" w:color="auto"/>
      </w:divBdr>
    </w:div>
    <w:div w:id="1117870677">
      <w:bodyDiv w:val="1"/>
      <w:marLeft w:val="0"/>
      <w:marRight w:val="0"/>
      <w:marTop w:val="0"/>
      <w:marBottom w:val="0"/>
      <w:divBdr>
        <w:top w:val="none" w:sz="0" w:space="0" w:color="auto"/>
        <w:left w:val="none" w:sz="0" w:space="0" w:color="auto"/>
        <w:bottom w:val="none" w:sz="0" w:space="0" w:color="auto"/>
        <w:right w:val="none" w:sz="0" w:space="0" w:color="auto"/>
      </w:divBdr>
    </w:div>
    <w:div w:id="1241520201">
      <w:bodyDiv w:val="1"/>
      <w:marLeft w:val="0"/>
      <w:marRight w:val="0"/>
      <w:marTop w:val="0"/>
      <w:marBottom w:val="0"/>
      <w:divBdr>
        <w:top w:val="none" w:sz="0" w:space="0" w:color="auto"/>
        <w:left w:val="none" w:sz="0" w:space="0" w:color="auto"/>
        <w:bottom w:val="none" w:sz="0" w:space="0" w:color="auto"/>
        <w:right w:val="none" w:sz="0" w:space="0" w:color="auto"/>
      </w:divBdr>
    </w:div>
    <w:div w:id="1267999453">
      <w:bodyDiv w:val="1"/>
      <w:marLeft w:val="0"/>
      <w:marRight w:val="0"/>
      <w:marTop w:val="0"/>
      <w:marBottom w:val="0"/>
      <w:divBdr>
        <w:top w:val="none" w:sz="0" w:space="0" w:color="auto"/>
        <w:left w:val="none" w:sz="0" w:space="0" w:color="auto"/>
        <w:bottom w:val="none" w:sz="0" w:space="0" w:color="auto"/>
        <w:right w:val="none" w:sz="0" w:space="0" w:color="auto"/>
      </w:divBdr>
    </w:div>
    <w:div w:id="1281884214">
      <w:bodyDiv w:val="1"/>
      <w:marLeft w:val="0"/>
      <w:marRight w:val="0"/>
      <w:marTop w:val="0"/>
      <w:marBottom w:val="0"/>
      <w:divBdr>
        <w:top w:val="none" w:sz="0" w:space="0" w:color="auto"/>
        <w:left w:val="none" w:sz="0" w:space="0" w:color="auto"/>
        <w:bottom w:val="none" w:sz="0" w:space="0" w:color="auto"/>
        <w:right w:val="none" w:sz="0" w:space="0" w:color="auto"/>
      </w:divBdr>
    </w:div>
    <w:div w:id="1284264122">
      <w:bodyDiv w:val="1"/>
      <w:marLeft w:val="0"/>
      <w:marRight w:val="0"/>
      <w:marTop w:val="0"/>
      <w:marBottom w:val="0"/>
      <w:divBdr>
        <w:top w:val="none" w:sz="0" w:space="0" w:color="auto"/>
        <w:left w:val="none" w:sz="0" w:space="0" w:color="auto"/>
        <w:bottom w:val="none" w:sz="0" w:space="0" w:color="auto"/>
        <w:right w:val="none" w:sz="0" w:space="0" w:color="auto"/>
      </w:divBdr>
    </w:div>
    <w:div w:id="1444300100">
      <w:bodyDiv w:val="1"/>
      <w:marLeft w:val="0"/>
      <w:marRight w:val="0"/>
      <w:marTop w:val="0"/>
      <w:marBottom w:val="0"/>
      <w:divBdr>
        <w:top w:val="none" w:sz="0" w:space="0" w:color="auto"/>
        <w:left w:val="none" w:sz="0" w:space="0" w:color="auto"/>
        <w:bottom w:val="none" w:sz="0" w:space="0" w:color="auto"/>
        <w:right w:val="none" w:sz="0" w:space="0" w:color="auto"/>
      </w:divBdr>
    </w:div>
    <w:div w:id="1451822336">
      <w:bodyDiv w:val="1"/>
      <w:marLeft w:val="0"/>
      <w:marRight w:val="0"/>
      <w:marTop w:val="0"/>
      <w:marBottom w:val="0"/>
      <w:divBdr>
        <w:top w:val="none" w:sz="0" w:space="0" w:color="auto"/>
        <w:left w:val="none" w:sz="0" w:space="0" w:color="auto"/>
        <w:bottom w:val="none" w:sz="0" w:space="0" w:color="auto"/>
        <w:right w:val="none" w:sz="0" w:space="0" w:color="auto"/>
      </w:divBdr>
    </w:div>
    <w:div w:id="1481263621">
      <w:bodyDiv w:val="1"/>
      <w:marLeft w:val="0"/>
      <w:marRight w:val="0"/>
      <w:marTop w:val="0"/>
      <w:marBottom w:val="0"/>
      <w:divBdr>
        <w:top w:val="none" w:sz="0" w:space="0" w:color="auto"/>
        <w:left w:val="none" w:sz="0" w:space="0" w:color="auto"/>
        <w:bottom w:val="none" w:sz="0" w:space="0" w:color="auto"/>
        <w:right w:val="none" w:sz="0" w:space="0" w:color="auto"/>
      </w:divBdr>
    </w:div>
    <w:div w:id="1573664700">
      <w:bodyDiv w:val="1"/>
      <w:marLeft w:val="0"/>
      <w:marRight w:val="0"/>
      <w:marTop w:val="0"/>
      <w:marBottom w:val="0"/>
      <w:divBdr>
        <w:top w:val="none" w:sz="0" w:space="0" w:color="auto"/>
        <w:left w:val="none" w:sz="0" w:space="0" w:color="auto"/>
        <w:bottom w:val="none" w:sz="0" w:space="0" w:color="auto"/>
        <w:right w:val="none" w:sz="0" w:space="0" w:color="auto"/>
      </w:divBdr>
    </w:div>
    <w:div w:id="1701512339">
      <w:bodyDiv w:val="1"/>
      <w:marLeft w:val="0"/>
      <w:marRight w:val="0"/>
      <w:marTop w:val="0"/>
      <w:marBottom w:val="0"/>
      <w:divBdr>
        <w:top w:val="none" w:sz="0" w:space="0" w:color="auto"/>
        <w:left w:val="none" w:sz="0" w:space="0" w:color="auto"/>
        <w:bottom w:val="none" w:sz="0" w:space="0" w:color="auto"/>
        <w:right w:val="none" w:sz="0" w:space="0" w:color="auto"/>
      </w:divBdr>
    </w:div>
    <w:div w:id="1711800862">
      <w:bodyDiv w:val="1"/>
      <w:marLeft w:val="0"/>
      <w:marRight w:val="0"/>
      <w:marTop w:val="0"/>
      <w:marBottom w:val="0"/>
      <w:divBdr>
        <w:top w:val="none" w:sz="0" w:space="0" w:color="auto"/>
        <w:left w:val="none" w:sz="0" w:space="0" w:color="auto"/>
        <w:bottom w:val="none" w:sz="0" w:space="0" w:color="auto"/>
        <w:right w:val="none" w:sz="0" w:space="0" w:color="auto"/>
      </w:divBdr>
    </w:div>
    <w:div w:id="1814448090">
      <w:bodyDiv w:val="1"/>
      <w:marLeft w:val="0"/>
      <w:marRight w:val="0"/>
      <w:marTop w:val="0"/>
      <w:marBottom w:val="0"/>
      <w:divBdr>
        <w:top w:val="none" w:sz="0" w:space="0" w:color="auto"/>
        <w:left w:val="none" w:sz="0" w:space="0" w:color="auto"/>
        <w:bottom w:val="none" w:sz="0" w:space="0" w:color="auto"/>
        <w:right w:val="none" w:sz="0" w:space="0" w:color="auto"/>
      </w:divBdr>
    </w:div>
    <w:div w:id="1834372262">
      <w:bodyDiv w:val="1"/>
      <w:marLeft w:val="0"/>
      <w:marRight w:val="0"/>
      <w:marTop w:val="0"/>
      <w:marBottom w:val="0"/>
      <w:divBdr>
        <w:top w:val="none" w:sz="0" w:space="0" w:color="auto"/>
        <w:left w:val="none" w:sz="0" w:space="0" w:color="auto"/>
        <w:bottom w:val="none" w:sz="0" w:space="0" w:color="auto"/>
        <w:right w:val="none" w:sz="0" w:space="0" w:color="auto"/>
      </w:divBdr>
    </w:div>
    <w:div w:id="1997489427">
      <w:bodyDiv w:val="1"/>
      <w:marLeft w:val="0"/>
      <w:marRight w:val="0"/>
      <w:marTop w:val="0"/>
      <w:marBottom w:val="0"/>
      <w:divBdr>
        <w:top w:val="none" w:sz="0" w:space="0" w:color="auto"/>
        <w:left w:val="none" w:sz="0" w:space="0" w:color="auto"/>
        <w:bottom w:val="none" w:sz="0" w:space="0" w:color="auto"/>
        <w:right w:val="none" w:sz="0" w:space="0" w:color="auto"/>
      </w:divBdr>
    </w:div>
    <w:div w:id="1999260298">
      <w:bodyDiv w:val="1"/>
      <w:marLeft w:val="0"/>
      <w:marRight w:val="0"/>
      <w:marTop w:val="0"/>
      <w:marBottom w:val="0"/>
      <w:divBdr>
        <w:top w:val="none" w:sz="0" w:space="0" w:color="auto"/>
        <w:left w:val="none" w:sz="0" w:space="0" w:color="auto"/>
        <w:bottom w:val="none" w:sz="0" w:space="0" w:color="auto"/>
        <w:right w:val="none" w:sz="0" w:space="0" w:color="auto"/>
      </w:divBdr>
    </w:div>
    <w:div w:id="2017681816">
      <w:bodyDiv w:val="1"/>
      <w:marLeft w:val="0"/>
      <w:marRight w:val="0"/>
      <w:marTop w:val="0"/>
      <w:marBottom w:val="0"/>
      <w:divBdr>
        <w:top w:val="none" w:sz="0" w:space="0" w:color="auto"/>
        <w:left w:val="none" w:sz="0" w:space="0" w:color="auto"/>
        <w:bottom w:val="none" w:sz="0" w:space="0" w:color="auto"/>
        <w:right w:val="none" w:sz="0" w:space="0" w:color="auto"/>
      </w:divBdr>
    </w:div>
    <w:div w:id="2038775035">
      <w:bodyDiv w:val="1"/>
      <w:marLeft w:val="0"/>
      <w:marRight w:val="0"/>
      <w:marTop w:val="0"/>
      <w:marBottom w:val="0"/>
      <w:divBdr>
        <w:top w:val="none" w:sz="0" w:space="0" w:color="auto"/>
        <w:left w:val="none" w:sz="0" w:space="0" w:color="auto"/>
        <w:bottom w:val="none" w:sz="0" w:space="0" w:color="auto"/>
        <w:right w:val="none" w:sz="0" w:space="0" w:color="auto"/>
      </w:divBdr>
    </w:div>
    <w:div w:id="2070884823">
      <w:bodyDiv w:val="1"/>
      <w:marLeft w:val="0"/>
      <w:marRight w:val="0"/>
      <w:marTop w:val="0"/>
      <w:marBottom w:val="0"/>
      <w:divBdr>
        <w:top w:val="none" w:sz="0" w:space="0" w:color="auto"/>
        <w:left w:val="none" w:sz="0" w:space="0" w:color="auto"/>
        <w:bottom w:val="none" w:sz="0" w:space="0" w:color="auto"/>
        <w:right w:val="none" w:sz="0" w:space="0" w:color="auto"/>
      </w:divBdr>
    </w:div>
    <w:div w:id="2084449789">
      <w:bodyDiv w:val="1"/>
      <w:marLeft w:val="0"/>
      <w:marRight w:val="0"/>
      <w:marTop w:val="0"/>
      <w:marBottom w:val="0"/>
      <w:divBdr>
        <w:top w:val="none" w:sz="0" w:space="0" w:color="auto"/>
        <w:left w:val="none" w:sz="0" w:space="0" w:color="auto"/>
        <w:bottom w:val="none" w:sz="0" w:space="0" w:color="auto"/>
        <w:right w:val="none" w:sz="0" w:space="0" w:color="auto"/>
      </w:divBdr>
    </w:div>
    <w:div w:id="2085444994">
      <w:bodyDiv w:val="1"/>
      <w:marLeft w:val="0"/>
      <w:marRight w:val="0"/>
      <w:marTop w:val="0"/>
      <w:marBottom w:val="0"/>
      <w:divBdr>
        <w:top w:val="none" w:sz="0" w:space="0" w:color="auto"/>
        <w:left w:val="none" w:sz="0" w:space="0" w:color="auto"/>
        <w:bottom w:val="none" w:sz="0" w:space="0" w:color="auto"/>
        <w:right w:val="none" w:sz="0" w:space="0" w:color="auto"/>
      </w:divBdr>
    </w:div>
    <w:div w:id="2100561222">
      <w:bodyDiv w:val="1"/>
      <w:marLeft w:val="0"/>
      <w:marRight w:val="0"/>
      <w:marTop w:val="0"/>
      <w:marBottom w:val="0"/>
      <w:divBdr>
        <w:top w:val="none" w:sz="0" w:space="0" w:color="auto"/>
        <w:left w:val="none" w:sz="0" w:space="0" w:color="auto"/>
        <w:bottom w:val="none" w:sz="0" w:space="0" w:color="auto"/>
        <w:right w:val="none" w:sz="0" w:space="0" w:color="auto"/>
      </w:divBdr>
    </w:div>
    <w:div w:id="2104496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5.png"/><Relationship Id="rId42" Type="http://schemas.openxmlformats.org/officeDocument/2006/relationships/chart" Target="charts/chart5.xml"/><Relationship Id="rId47" Type="http://schemas.openxmlformats.org/officeDocument/2006/relationships/chart" Target="charts/chart9.xml"/><Relationship Id="rId63" Type="http://schemas.openxmlformats.org/officeDocument/2006/relationships/chart" Target="charts/chart24.xml"/><Relationship Id="rId68" Type="http://schemas.openxmlformats.org/officeDocument/2006/relationships/image" Target="media/image19.png"/><Relationship Id="rId84" Type="http://schemas.openxmlformats.org/officeDocument/2006/relationships/hyperlink" Target="https://www.slough.gov.uk/downloads/file/922/carbon-management-plan-2020-2030" TargetMode="External"/><Relationship Id="rId89" Type="http://schemas.openxmlformats.org/officeDocument/2006/relationships/hyperlink" Target="https://democracy.slough.gov.uk/documents/s62970/Appendix%20B%20-%20Slough%202040%20Vision.pdf" TargetMode="External"/><Relationship Id="rId16" Type="http://schemas.openxmlformats.org/officeDocument/2006/relationships/chart" Target="charts/chart1.xml"/><Relationship Id="rId11" Type="http://schemas.openxmlformats.org/officeDocument/2006/relationships/endnotes" Target="endnotes.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chart" Target="charts/chart15.xml"/><Relationship Id="rId58" Type="http://schemas.openxmlformats.org/officeDocument/2006/relationships/chart" Target="charts/chart19.xml"/><Relationship Id="rId74" Type="http://schemas.openxmlformats.org/officeDocument/2006/relationships/image" Target="media/image23.jpeg"/><Relationship Id="rId79" Type="http://schemas.openxmlformats.org/officeDocument/2006/relationships/hyperlink" Target="https://laqm.defra.gov.uk/wp-content/uploads/2022/08/LAQM-TG22-August-22-v1.0.pdf" TargetMode="External"/><Relationship Id="rId5" Type="http://schemas.openxmlformats.org/officeDocument/2006/relationships/customXml" Target="../customXml/item5.xml"/><Relationship Id="rId90" Type="http://schemas.openxmlformats.org/officeDocument/2006/relationships/hyperlink" Target="https://www.slough.gov.uk/downloads/file/866/slough-wellbeing-board-strategy-2020-2025" TargetMode="External"/><Relationship Id="rId22" Type="http://schemas.openxmlformats.org/officeDocument/2006/relationships/footer" Target="footer3.xml"/><Relationship Id="rId27" Type="http://schemas.openxmlformats.org/officeDocument/2006/relationships/image" Target="media/image9.jpeg"/><Relationship Id="rId43" Type="http://schemas.openxmlformats.org/officeDocument/2006/relationships/chart" Target="charts/chart6.xml"/><Relationship Id="rId48" Type="http://schemas.openxmlformats.org/officeDocument/2006/relationships/chart" Target="charts/chart10.xml"/><Relationship Id="rId64" Type="http://schemas.openxmlformats.org/officeDocument/2006/relationships/chart" Target="charts/chart25.xml"/><Relationship Id="rId69" Type="http://schemas.openxmlformats.org/officeDocument/2006/relationships/image" Target="media/image20.png"/><Relationship Id="rId8" Type="http://schemas.openxmlformats.org/officeDocument/2006/relationships/settings" Target="settings.xml"/><Relationship Id="rId51" Type="http://schemas.openxmlformats.org/officeDocument/2006/relationships/chart" Target="charts/chart13.xml"/><Relationship Id="rId72" Type="http://schemas.openxmlformats.org/officeDocument/2006/relationships/chart" Target="charts/chart30.xml"/><Relationship Id="rId80" Type="http://schemas.openxmlformats.org/officeDocument/2006/relationships/hyperlink" Target="https://assets.publishing.service.gov.uk/media/65a11af7e8f5ec000f1f8c46/NPPF_December_2023.pdf" TargetMode="External"/><Relationship Id="rId85" Type="http://schemas.openxmlformats.org/officeDocument/2006/relationships/hyperlink" Target="https://slough.citizenspace.com/corporate/corporate-plan-consultation/"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hyperlink" Target="http://www.slough.gov.uk/downloads/SBC-five-year-plan-2020-2025.pdf" TargetMode="External"/><Relationship Id="rId46" Type="http://schemas.openxmlformats.org/officeDocument/2006/relationships/chart" Target="charts/chart8.xml"/><Relationship Id="rId59" Type="http://schemas.openxmlformats.org/officeDocument/2006/relationships/chart" Target="charts/chart20.xml"/><Relationship Id="rId67" Type="http://schemas.openxmlformats.org/officeDocument/2006/relationships/chart" Target="charts/chart28.xml"/><Relationship Id="rId20" Type="http://schemas.openxmlformats.org/officeDocument/2006/relationships/image" Target="media/image4.png"/><Relationship Id="rId41" Type="http://schemas.openxmlformats.org/officeDocument/2006/relationships/chart" Target="charts/chart4.xml"/><Relationship Id="rId54" Type="http://schemas.openxmlformats.org/officeDocument/2006/relationships/chart" Target="charts/chart16.xml"/><Relationship Id="rId62" Type="http://schemas.openxmlformats.org/officeDocument/2006/relationships/chart" Target="charts/chart23.xml"/><Relationship Id="rId70" Type="http://schemas.openxmlformats.org/officeDocument/2006/relationships/image" Target="media/image21.png"/><Relationship Id="rId75" Type="http://schemas.openxmlformats.org/officeDocument/2006/relationships/image" Target="media/image24.jpeg"/><Relationship Id="rId83" Type="http://schemas.openxmlformats.org/officeDocument/2006/relationships/hyperlink" Target="https://www.slough.gov.uk/downloads/download/63/air-quality-reports-annual-status-reports" TargetMode="External"/><Relationship Id="rId88" Type="http://schemas.openxmlformats.org/officeDocument/2006/relationships/hyperlink" Target="https://www.slough.gov.uk/strategies-plans-policies/local-cycling-walking-infrastructure-plan" TargetMode="External"/><Relationship Id="rId91" Type="http://schemas.openxmlformats.org/officeDocument/2006/relationships/hyperlink" Target="https://democracy.slough.gov.uk/documents/s77374/Vehicle%20Policy%20Report.pdf"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chart" Target="charts/chart11.xml"/><Relationship Id="rId57" Type="http://schemas.openxmlformats.org/officeDocument/2006/relationships/chart" Target="charts/chart18.xml"/><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footer" Target="footer7.xml"/><Relationship Id="rId52" Type="http://schemas.openxmlformats.org/officeDocument/2006/relationships/chart" Target="charts/chart14.xml"/><Relationship Id="rId60" Type="http://schemas.openxmlformats.org/officeDocument/2006/relationships/chart" Target="charts/chart21.xml"/><Relationship Id="rId65" Type="http://schemas.openxmlformats.org/officeDocument/2006/relationships/chart" Target="charts/chart26.xml"/><Relationship Id="rId73" Type="http://schemas.openxmlformats.org/officeDocument/2006/relationships/image" Target="media/image22.jpeg"/><Relationship Id="rId78" Type="http://schemas.openxmlformats.org/officeDocument/2006/relationships/hyperlink" Target="https://uk-air.defra.gov.uk/air-pollution/daqi" TargetMode="External"/><Relationship Id="rId81" Type="http://schemas.openxmlformats.org/officeDocument/2006/relationships/hyperlink" Target="https://laqm.defra.gov.uk/air-quality/air-quality-assessment/emissions-factors-toolkit/" TargetMode="External"/><Relationship Id="rId86" Type="http://schemas.openxmlformats.org/officeDocument/2006/relationships/hyperlink" Target="https://www.slough.gov.uk/downloads/file/2266/motion-on-climate-change"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environmentalquality@slough.gov.uk" TargetMode="External"/><Relationship Id="rId18" Type="http://schemas.openxmlformats.org/officeDocument/2006/relationships/image" Target="media/image2.png"/><Relationship Id="rId39" Type="http://schemas.openxmlformats.org/officeDocument/2006/relationships/chart" Target="charts/chart2.xml"/><Relationship Id="rId34" Type="http://schemas.openxmlformats.org/officeDocument/2006/relationships/image" Target="media/image14.png"/><Relationship Id="rId50" Type="http://schemas.openxmlformats.org/officeDocument/2006/relationships/chart" Target="charts/chart12.xml"/><Relationship Id="rId55" Type="http://schemas.openxmlformats.org/officeDocument/2006/relationships/image" Target="media/image18.png"/><Relationship Id="rId76" Type="http://schemas.openxmlformats.org/officeDocument/2006/relationships/footer" Target="footer8.xml"/><Relationship Id="rId7" Type="http://schemas.openxmlformats.org/officeDocument/2006/relationships/styles" Target="styles.xml"/><Relationship Id="rId71" Type="http://schemas.openxmlformats.org/officeDocument/2006/relationships/chart" Target="charts/chart29.xml"/><Relationship Id="rId92" Type="http://schemas.openxmlformats.org/officeDocument/2006/relationships/hyperlink" Target="https://www.who.int/news-room/feature-stories/detail/what-are-the-who-air-quality-guidelines" TargetMode="External"/><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image" Target="media/image6.png"/><Relationship Id="rId40" Type="http://schemas.openxmlformats.org/officeDocument/2006/relationships/chart" Target="charts/chart3.xml"/><Relationship Id="rId45" Type="http://schemas.openxmlformats.org/officeDocument/2006/relationships/chart" Target="charts/chart7.xml"/><Relationship Id="rId66" Type="http://schemas.openxmlformats.org/officeDocument/2006/relationships/chart" Target="charts/chart27.xml"/><Relationship Id="rId87" Type="http://schemas.openxmlformats.org/officeDocument/2006/relationships/hyperlink" Target="https://www.slough.gov.uk/downloads/file/2164/inclusive-growth-strategy-2020-2025" TargetMode="External"/><Relationship Id="rId61" Type="http://schemas.openxmlformats.org/officeDocument/2006/relationships/chart" Target="charts/chart22.xml"/><Relationship Id="rId82" Type="http://schemas.openxmlformats.org/officeDocument/2006/relationships/hyperlink" Target="https://laqm.defra.gov.uk/air-quality/air-quality-assessment/nox-to-no2-calculator/" TargetMode="External"/><Relationship Id="rId19" Type="http://schemas.openxmlformats.org/officeDocument/2006/relationships/image" Target="media/image3.png"/><Relationship Id="rId14" Type="http://schemas.openxmlformats.org/officeDocument/2006/relationships/header" Target="header1.xml"/><Relationship Id="rId30" Type="http://schemas.openxmlformats.org/officeDocument/2006/relationships/footer" Target="footer6.xml"/><Relationship Id="rId35" Type="http://schemas.openxmlformats.org/officeDocument/2006/relationships/image" Target="media/image15.png"/><Relationship Id="rId56" Type="http://schemas.openxmlformats.org/officeDocument/2006/relationships/chart" Target="charts/chart17.xml"/><Relationship Id="rId77" Type="http://schemas.openxmlformats.org/officeDocument/2006/relationships/hyperlink" Target="https://laqm.defra.gov.uk/air-quality/air-quality-assessment/background-map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publications/the-air-quality-strategy-for-england/air-quality-strategy-framework-for-local-authority-delivery" TargetMode="External"/><Relationship Id="rId13" Type="http://schemas.openxmlformats.org/officeDocument/2006/relationships/hyperlink" Target="https://www.london.gov.uk/who-we-are/what-london-assembly-does/questions-mayor/find-an-answer/20mph-speed-limit-and-air-pollution" TargetMode="External"/><Relationship Id="rId18" Type="http://schemas.openxmlformats.org/officeDocument/2006/relationships/hyperlink" Target="https://slough.citizenspace.com/corporate/corporate-plan-consultation/" TargetMode="External"/><Relationship Id="rId26" Type="http://schemas.openxmlformats.org/officeDocument/2006/relationships/hyperlink" Target="https://www.slough.gov.uk/downloads/file/2266/motion-on-climate-change" TargetMode="External"/><Relationship Id="rId3" Type="http://schemas.openxmlformats.org/officeDocument/2006/relationships/hyperlink" Target="https://www.who.int/news-room/feature-stories/detail/what-are-the-who-air-quality-guidelines" TargetMode="External"/><Relationship Id="rId21" Type="http://schemas.openxmlformats.org/officeDocument/2006/relationships/hyperlink" Target="https://uk-air.defra.gov.uk/assets/documents/no2ten/Local_zone31_Slough_AQActionplan_1.pdf" TargetMode="External"/><Relationship Id="rId7" Type="http://schemas.openxmlformats.org/officeDocument/2006/relationships/hyperlink" Target="https://www.judiciary.uk/prevention-of-future-death-reports/ella-kissi-debrah/" TargetMode="External"/><Relationship Id="rId12" Type="http://schemas.openxmlformats.org/officeDocument/2006/relationships/hyperlink" Target="https://assets.publishing.service.gov.uk/media/5ffa1f96d3bf7f65d9e35825/cycle-infrastructure-design-ltn-1-20.pdf" TargetMode="External"/><Relationship Id="rId17" Type="http://schemas.openxmlformats.org/officeDocument/2006/relationships/hyperlink" Target="https://laqm.defra.gov.uk/air-quality/air-quality-assessment/nox-to-no2-calculator/" TargetMode="External"/><Relationship Id="rId25" Type="http://schemas.openxmlformats.org/officeDocument/2006/relationships/hyperlink" Target="https://www.slough.gov.uk/strategies-plans-policies/local-cycling-walking-infrastructure-plan" TargetMode="External"/><Relationship Id="rId2" Type="http://schemas.openxmlformats.org/officeDocument/2006/relationships/hyperlink" Target="https://www.slough.gov.uk/downloads/download/63/air-quality-reports-annual-status-reports" TargetMode="External"/><Relationship Id="rId16" Type="http://schemas.openxmlformats.org/officeDocument/2006/relationships/hyperlink" Target="https://laqm.defra.gov.uk/air-quality/air-quality-assessment/emissions-factors-toolkit/" TargetMode="External"/><Relationship Id="rId20" Type="http://schemas.openxmlformats.org/officeDocument/2006/relationships/hyperlink" Target="https://democracy.slough.gov.uk/documents/s62970/Appendix%20B%20-%20Slough%202040%20Vision.pdf" TargetMode="External"/><Relationship Id="rId29" Type="http://schemas.openxmlformats.org/officeDocument/2006/relationships/hyperlink" Target="https://www.slough.gov.uk/transport-travel/national-bus-strategy-bus-back-better/3" TargetMode="External"/><Relationship Id="rId1" Type="http://schemas.openxmlformats.org/officeDocument/2006/relationships/hyperlink" Target="https://laqm.defra.gov.uk/wp-content/uploads/2022/08/LAQM-TG22-August-22-v1.0.pdf" TargetMode="External"/><Relationship Id="rId6" Type="http://schemas.openxmlformats.org/officeDocument/2006/relationships/hyperlink" Target="https://assets.publishing.service.gov.uk/media/639aeb81e90e0721889bbf2f/chief-medical-officers-annual-report-air-pollution-dec-2022.pdf" TargetMode="External"/><Relationship Id="rId11" Type="http://schemas.openxmlformats.org/officeDocument/2006/relationships/hyperlink" Target="https://laqm.defra.gov.uk/air-quality/air-quality-assessment/background-maps/" TargetMode="External"/><Relationship Id="rId24" Type="http://schemas.openxmlformats.org/officeDocument/2006/relationships/hyperlink" Target="https://democracy.slough.gov.uk/documents/s77374/Vehicle%20Policy%20Report.pdf" TargetMode="External"/><Relationship Id="rId32" Type="http://schemas.openxmlformats.org/officeDocument/2006/relationships/hyperlink" Target="https://www.slough.gov.uk/downloads/download/780/developer-guide---part-3-transport-and-highways-guidance" TargetMode="External"/><Relationship Id="rId5" Type="http://schemas.openxmlformats.org/officeDocument/2006/relationships/hyperlink" Target="https://www.gov.uk/government/statistics/air-quality-statistics/ntrogen-dioxide" TargetMode="External"/><Relationship Id="rId15" Type="http://schemas.openxmlformats.org/officeDocument/2006/relationships/hyperlink" Target="https://nationalhighways.co.uk/our-work/environment/air-quality-and-noise/air-quality/air-quality-speed-limit-trials/" TargetMode="External"/><Relationship Id="rId23" Type="http://schemas.openxmlformats.org/officeDocument/2006/relationships/hyperlink" Target="https://www.slough.gov.uk/downloads/file/866/slough-wellbeing-board-strategy-2020-2025" TargetMode="External"/><Relationship Id="rId28" Type="http://schemas.openxmlformats.org/officeDocument/2006/relationships/hyperlink" Target="https://democracy.slough.gov.uk/documents/s55135/Appendix%20A%20-%20Transport%20Vision%20Supplementary.pdf" TargetMode="External"/><Relationship Id="rId10" Type="http://schemas.openxmlformats.org/officeDocument/2006/relationships/hyperlink" Target="https://www.gov.uk/government/collections/planning-practice-guidance" TargetMode="External"/><Relationship Id="rId19" Type="http://schemas.openxmlformats.org/officeDocument/2006/relationships/hyperlink" Target="https://www.slough.gov.uk/downloads/file/2164/inclusive-growth-strategy-2020-2025" TargetMode="External"/><Relationship Id="rId31" Type="http://schemas.openxmlformats.org/officeDocument/2006/relationships/hyperlink" Target="https://slough.citizenspace.com/planning-policy/the-proposed-spatial-strategy/" TargetMode="External"/><Relationship Id="rId4" Type="http://schemas.openxmlformats.org/officeDocument/2006/relationships/hyperlink" Target="https://uk-air.defra.gov.uk/air-pollution/daqi" TargetMode="External"/><Relationship Id="rId9" Type="http://schemas.openxmlformats.org/officeDocument/2006/relationships/hyperlink" Target="https://assets.publishing.service.gov.uk/media/65a11af7e8f5ec000f1f8c46/NPPF_December_2023.pdf" TargetMode="External"/><Relationship Id="rId14" Type="http://schemas.openxmlformats.org/officeDocument/2006/relationships/hyperlink" Target="https://www.birmingham.ac.uk/news/2023/reducing-motorway-speed-may-improve-air-quality-but-more-real-world-studies-are-needed" TargetMode="External"/><Relationship Id="rId22" Type="http://schemas.openxmlformats.org/officeDocument/2006/relationships/hyperlink" Target="https://democracy.slough.gov.uk/documents/s52744/Appendix%201%20-%20Summary%20LES%20final%20draft.pdf" TargetMode="External"/><Relationship Id="rId27" Type="http://schemas.openxmlformats.org/officeDocument/2006/relationships/hyperlink" Target="https://www.slough.gov.uk/downloads/file/922/carbon-management-plan-2020-2030" TargetMode="External"/><Relationship Id="rId30" Type="http://schemas.openxmlformats.org/officeDocument/2006/relationships/hyperlink" Target="https://www.slough.gov.uk/planning-policy/local-development-plan-slough"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2.%20Modelling%20&amp;%20SA\Outputs\Final%20modelling%20outputs\NO2%20outputs%20corrected%20AQMA%20allocations.xlsm"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Hands%20Up%20Surveys\Historic%20Data\Consolidated%20All%20Schools%20Historic%20Data.xlsm"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Hands%20Up%20Surveys\Comparison%20of%20sample%20schools.xlsm"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Hands%20Up%20Surveys\Comparison%20of%20sample%20schools.xlsm"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Hands%20Up%20Surveys\James%20Elliman%20March%202022.xlsm"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Hands%20Up%20Surveys\Castle%20View%20Primary%20May%202022.xlsm"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CISHA%20Survey%20Results\CISHA%20Survey%20-%20Slough%20Specific.xlsm"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CISHA%20Survey%20Results\CISHA%20Survey%20-%20Slough%20Specific.xlsm"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CISHA%20Survey%20Results\CISHA%20Survey%20-%20Slough%20Specific.xlsm"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Healthy%20Behaviours%20Survey%20-%20Graphs.xlsm"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Engagement\CISHA%20Survey%20Results\CISHA%20Survey%20-%20Slough%20Specific.xlsm"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population%20density%20vs%20vehicle%20ownership.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population%20density%20vs%20vehicle%20ownership.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Evidence%20Base\Slough%20Stats\ONS%20-%20distance%20travelled%20for%20work%20by%20mode.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Evidence%20Base\Slough%20Stats\ONS%20-%20distance%20travelled%20for%20work%20by%20mode.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distance%20travelled%20for%20work%20by%20mode.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distance%20travelled%20for%20work%20by%20mode.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distance%20travelled%20for%20work%20by%20mode.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distance%20travelled%20for%20work%20by%20mode.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travel%20to%20work%20mode%20stats%20202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Healthy%20Behaviours%20Survey%20-%20Graphs.xlsm"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1.%20Report\3.%20Evidence%20Base%20Data\Slough%20Stats\ONS%20-%20travel%20to%20work%20mode%20stats%202021.xlsx" TargetMode="External"/><Relationship Id="rId2" Type="http://schemas.microsoft.com/office/2011/relationships/chartColorStyle" Target="colors30.xml"/><Relationship Id="rId1" Type="http://schemas.microsoft.com/office/2011/relationships/chartStyle" Target="style30.xml"/></Relationships>
</file>

<file path=word/charts/_rels/chart4.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X:\EnvironmentP\A_ENVIRONMENTAL%20QUALITY\Air%20Quality\3.%20AQ%20PROJECTS\1.%20Clean%20Air%20Plan\3.%20AQAP\AQAP%202024-2028\3.%20Progress\Report\3.%20Evidence%20Base%20Data\Prior%20Consultation%20Reviews\Consultation%20Responses%20Final%20-%20Positive%20vs%20Negative%20Commen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d.slough.gov.uk\staff\EnvironmentP\A_ENVIRONMENTAL%20QUALITY\Air%20Quality\3.%20AQ%20PROJECTS\1.%20Clean%20Air%20Plan\3.%20AQAP\AQAP%202024-2028\3.%20Progress\Report\3.%20Evidence%20Base%20Data\Prior%20Consultation%20Reviews\A4%20Cycle%20Lane%20Consultation%20Responses%20Fina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Scenario</a:t>
            </a:r>
            <a:r>
              <a:rPr lang="en-GB" baseline="0"/>
              <a:t> Impacts - NO</a:t>
            </a:r>
            <a:r>
              <a:rPr lang="en-GB" baseline="-25000"/>
              <a:t>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Consolidated!$U$2</c:f>
              <c:strCache>
                <c:ptCount val="1"/>
                <c:pt idx="0">
                  <c:v>#1a</c:v>
                </c:pt>
              </c:strCache>
            </c:strRef>
          </c:tx>
          <c:spPr>
            <a:solidFill>
              <a:srgbClr val="002060"/>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Consolidated!$U$3:$U$9</c:f>
              <c:numCache>
                <c:formatCode>0.0</c:formatCode>
                <c:ptCount val="7"/>
                <c:pt idx="0">
                  <c:v>-0.56166666666666687</c:v>
                </c:pt>
                <c:pt idx="1">
                  <c:v>-0.74285714285714177</c:v>
                </c:pt>
                <c:pt idx="2">
                  <c:v>-0.62142857142857211</c:v>
                </c:pt>
                <c:pt idx="3">
                  <c:v>-0.62545454545454637</c:v>
                </c:pt>
                <c:pt idx="4">
                  <c:v>-0.44399999999999978</c:v>
                </c:pt>
                <c:pt idx="5">
                  <c:v>-0.59875000000000067</c:v>
                </c:pt>
                <c:pt idx="6">
                  <c:v>-0.1039999999999992</c:v>
                </c:pt>
              </c:numCache>
            </c:numRef>
          </c:val>
          <c:extLst>
            <c:ext xmlns:c16="http://schemas.microsoft.com/office/drawing/2014/chart" uri="{C3380CC4-5D6E-409C-BE32-E72D297353CC}">
              <c16:uniqueId val="{00000000-697A-4E77-9235-88A38E50A297}"/>
            </c:ext>
          </c:extLst>
        </c:ser>
        <c:ser>
          <c:idx val="1"/>
          <c:order val="1"/>
          <c:tx>
            <c:strRef>
              <c:f>Consolidated!$V$2</c:f>
              <c:strCache>
                <c:ptCount val="1"/>
                <c:pt idx="0">
                  <c:v>#1b</c:v>
                </c:pt>
              </c:strCache>
            </c:strRef>
          </c:tx>
          <c:spPr>
            <a:solidFill>
              <a:srgbClr val="A1EE4C"/>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Consolidated!$V$3:$V$9</c:f>
              <c:numCache>
                <c:formatCode>0.0</c:formatCode>
                <c:ptCount val="7"/>
                <c:pt idx="0">
                  <c:v>-1.3927777777777788</c:v>
                </c:pt>
                <c:pt idx="1">
                  <c:v>-2.2999999999999998</c:v>
                </c:pt>
                <c:pt idx="2">
                  <c:v>-1.5171428571428567</c:v>
                </c:pt>
                <c:pt idx="3">
                  <c:v>-1.403636363636364</c:v>
                </c:pt>
                <c:pt idx="4">
                  <c:v>-1.1780000000000008</c:v>
                </c:pt>
                <c:pt idx="5">
                  <c:v>-1.2616666666666667</c:v>
                </c:pt>
                <c:pt idx="6">
                  <c:v>-0.26600000000000035</c:v>
                </c:pt>
              </c:numCache>
            </c:numRef>
          </c:val>
          <c:extLst>
            <c:ext xmlns:c16="http://schemas.microsoft.com/office/drawing/2014/chart" uri="{C3380CC4-5D6E-409C-BE32-E72D297353CC}">
              <c16:uniqueId val="{00000001-697A-4E77-9235-88A38E50A297}"/>
            </c:ext>
          </c:extLst>
        </c:ser>
        <c:ser>
          <c:idx val="2"/>
          <c:order val="2"/>
          <c:tx>
            <c:strRef>
              <c:f>Consolidated!$W$2</c:f>
              <c:strCache>
                <c:ptCount val="1"/>
                <c:pt idx="0">
                  <c:v>#1c</c:v>
                </c:pt>
              </c:strCache>
            </c:strRef>
          </c:tx>
          <c:spPr>
            <a:solidFill>
              <a:srgbClr val="F2A8E0"/>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Consolidated!$W$3:$W$9</c:f>
              <c:numCache>
                <c:formatCode>0.0</c:formatCode>
                <c:ptCount val="7"/>
                <c:pt idx="0">
                  <c:v>-1.6622222222222225</c:v>
                </c:pt>
                <c:pt idx="1">
                  <c:v>-2.6628571428571428</c:v>
                </c:pt>
                <c:pt idx="2">
                  <c:v>-1.8157142857142854</c:v>
                </c:pt>
                <c:pt idx="3">
                  <c:v>-1.7072727272727279</c:v>
                </c:pt>
                <c:pt idx="4">
                  <c:v>-1.3939999999999997</c:v>
                </c:pt>
                <c:pt idx="5">
                  <c:v>-1.5512500000000002</c:v>
                </c:pt>
                <c:pt idx="6">
                  <c:v>-0.31599999999999967</c:v>
                </c:pt>
              </c:numCache>
            </c:numRef>
          </c:val>
          <c:extLst>
            <c:ext xmlns:c16="http://schemas.microsoft.com/office/drawing/2014/chart" uri="{C3380CC4-5D6E-409C-BE32-E72D297353CC}">
              <c16:uniqueId val="{00000002-697A-4E77-9235-88A38E50A297}"/>
            </c:ext>
          </c:extLst>
        </c:ser>
        <c:ser>
          <c:idx val="6"/>
          <c:order val="6"/>
          <c:tx>
            <c:strRef>
              <c:f>Consolidated!$AA$2</c:f>
              <c:strCache>
                <c:ptCount val="1"/>
                <c:pt idx="0">
                  <c:v>#3</c:v>
                </c:pt>
              </c:strCache>
            </c:strRef>
          </c:tx>
          <c:spPr>
            <a:solidFill>
              <a:srgbClr val="92DCEE"/>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Consolidated!$AA$3:$AA$9</c:f>
              <c:numCache>
                <c:formatCode>0.0</c:formatCode>
                <c:ptCount val="7"/>
                <c:pt idx="0">
                  <c:v>-0.55888888888888921</c:v>
                </c:pt>
                <c:pt idx="1">
                  <c:v>-1.1914285714285704</c:v>
                </c:pt>
                <c:pt idx="2">
                  <c:v>-0.58857142857142819</c:v>
                </c:pt>
                <c:pt idx="3">
                  <c:v>-0.47545454545454552</c:v>
                </c:pt>
                <c:pt idx="4">
                  <c:v>-0.51800000000000002</c:v>
                </c:pt>
                <c:pt idx="5">
                  <c:v>-0.37416666666666726</c:v>
                </c:pt>
                <c:pt idx="6">
                  <c:v>-0.10799999999999983</c:v>
                </c:pt>
              </c:numCache>
            </c:numRef>
          </c:val>
          <c:extLst>
            <c:ext xmlns:c16="http://schemas.microsoft.com/office/drawing/2014/chart" uri="{C3380CC4-5D6E-409C-BE32-E72D297353CC}">
              <c16:uniqueId val="{00000003-697A-4E77-9235-88A38E50A297}"/>
            </c:ext>
          </c:extLst>
        </c:ser>
        <c:ser>
          <c:idx val="7"/>
          <c:order val="7"/>
          <c:tx>
            <c:strRef>
              <c:f>Consolidated!$AB$2</c:f>
              <c:strCache>
                <c:ptCount val="1"/>
                <c:pt idx="0">
                  <c:v>#4</c:v>
                </c:pt>
              </c:strCache>
            </c:strRef>
          </c:tx>
          <c:spPr>
            <a:solidFill>
              <a:srgbClr val="CC0099"/>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Consolidated!$AB$3:$AB$9</c:f>
              <c:numCache>
                <c:formatCode>0.0</c:formatCode>
                <c:ptCount val="7"/>
                <c:pt idx="0">
                  <c:v>-4.0000000000000334E-2</c:v>
                </c:pt>
                <c:pt idx="1">
                  <c:v>-0.65714285714285681</c:v>
                </c:pt>
                <c:pt idx="2">
                  <c:v>-0.45999999999999985</c:v>
                </c:pt>
                <c:pt idx="3">
                  <c:v>-0.96909090909090978</c:v>
                </c:pt>
                <c:pt idx="4">
                  <c:v>-0.16400000000000006</c:v>
                </c:pt>
                <c:pt idx="5">
                  <c:v>-0.47208333333333358</c:v>
                </c:pt>
                <c:pt idx="6">
                  <c:v>-6.1999999999999743E-2</c:v>
                </c:pt>
              </c:numCache>
            </c:numRef>
          </c:val>
          <c:extLst>
            <c:ext xmlns:c16="http://schemas.microsoft.com/office/drawing/2014/chart" uri="{C3380CC4-5D6E-409C-BE32-E72D297353CC}">
              <c16:uniqueId val="{00000004-697A-4E77-9235-88A38E50A297}"/>
            </c:ext>
          </c:extLst>
        </c:ser>
        <c:ser>
          <c:idx val="8"/>
          <c:order val="8"/>
          <c:tx>
            <c:strRef>
              <c:f>Consolidated!$AC$2</c:f>
              <c:strCache>
                <c:ptCount val="1"/>
                <c:pt idx="0">
                  <c:v>#5</c:v>
                </c:pt>
              </c:strCache>
            </c:strRef>
          </c:tx>
          <c:spPr>
            <a:solidFill>
              <a:srgbClr val="FFC000"/>
            </a:solidFill>
            <a:ln>
              <a:solidFill>
                <a:sysClr val="windowText" lastClr="000000"/>
              </a:solidFill>
            </a:ln>
            <a:effectLst/>
          </c:spPr>
          <c:invertIfNegative val="0"/>
          <c:cat>
            <c:strRef>
              <c:f>Consolidated!$A$3:$A$9</c:f>
              <c:strCache>
                <c:ptCount val="7"/>
                <c:pt idx="0">
                  <c:v>AQMA 1 </c:v>
                </c:pt>
                <c:pt idx="1">
                  <c:v>AQMA 2 </c:v>
                </c:pt>
                <c:pt idx="2">
                  <c:v>AQMA 3</c:v>
                </c:pt>
                <c:pt idx="3">
                  <c:v>AQMA 4 </c:v>
                </c:pt>
                <c:pt idx="4">
                  <c:v>Industrial</c:v>
                </c:pt>
                <c:pt idx="5">
                  <c:v>Kerbside / Roadside </c:v>
                </c:pt>
                <c:pt idx="6">
                  <c:v>Suburban / Urban Background</c:v>
                </c:pt>
              </c:strCache>
            </c:strRef>
          </c:cat>
          <c:val>
            <c:numRef>
              <c:f>Consolidated!$AC$3:$AC$9</c:f>
              <c:numCache>
                <c:formatCode>0.0</c:formatCode>
                <c:ptCount val="7"/>
                <c:pt idx="0">
                  <c:v>-2.0022222222222226</c:v>
                </c:pt>
                <c:pt idx="1">
                  <c:v>-3.95</c:v>
                </c:pt>
                <c:pt idx="2">
                  <c:v>-3.0685714285714285</c:v>
                </c:pt>
                <c:pt idx="3">
                  <c:v>-3.7472727272727271</c:v>
                </c:pt>
                <c:pt idx="4">
                  <c:v>-1.8660000000000003</c:v>
                </c:pt>
                <c:pt idx="5">
                  <c:v>-2.7650000000000001</c:v>
                </c:pt>
                <c:pt idx="6">
                  <c:v>-0.45400000000000063</c:v>
                </c:pt>
              </c:numCache>
            </c:numRef>
          </c:val>
          <c:extLst>
            <c:ext xmlns:c16="http://schemas.microsoft.com/office/drawing/2014/chart" uri="{C3380CC4-5D6E-409C-BE32-E72D297353CC}">
              <c16:uniqueId val="{00000005-697A-4E77-9235-88A38E50A297}"/>
            </c:ext>
          </c:extLst>
        </c:ser>
        <c:dLbls>
          <c:showLegendKey val="0"/>
          <c:showVal val="0"/>
          <c:showCatName val="0"/>
          <c:showSerName val="0"/>
          <c:showPercent val="0"/>
          <c:showBubbleSize val="0"/>
        </c:dLbls>
        <c:gapWidth val="219"/>
        <c:overlap val="-27"/>
        <c:axId val="1350406719"/>
        <c:axId val="1350408159"/>
        <c:extLst>
          <c:ext xmlns:c15="http://schemas.microsoft.com/office/drawing/2012/chart" uri="{02D57815-91ED-43cb-92C2-25804820EDAC}">
            <c15:filteredBarSeries>
              <c15:ser>
                <c:idx val="3"/>
                <c:order val="3"/>
                <c:tx>
                  <c:strRef>
                    <c:extLst>
                      <c:ext uri="{02D57815-91ED-43cb-92C2-25804820EDAC}">
                        <c15:formulaRef>
                          <c15:sqref>Consolidated!$X$2</c15:sqref>
                        </c15:formulaRef>
                      </c:ext>
                    </c:extLst>
                    <c:strCache>
                      <c:ptCount val="1"/>
                      <c:pt idx="0">
                        <c:v>#2a</c:v>
                      </c:pt>
                    </c:strCache>
                  </c:strRef>
                </c:tx>
                <c:spPr>
                  <a:solidFill>
                    <a:schemeClr val="accent4"/>
                  </a:solidFill>
                  <a:ln>
                    <a:noFill/>
                  </a:ln>
                  <a:effectLst/>
                </c:spPr>
                <c:invertIfNegative val="0"/>
                <c:cat>
                  <c:strRef>
                    <c:extLst>
                      <c:ext uri="{02D57815-91ED-43cb-92C2-25804820EDAC}">
                        <c15:formulaRef>
                          <c15:sqref>Consolidated!$A$3:$A$9</c15:sqref>
                        </c15:formulaRef>
                      </c:ext>
                    </c:extLst>
                    <c:strCache>
                      <c:ptCount val="7"/>
                      <c:pt idx="0">
                        <c:v>AQMA 1 </c:v>
                      </c:pt>
                      <c:pt idx="1">
                        <c:v>AQMA 2 </c:v>
                      </c:pt>
                      <c:pt idx="2">
                        <c:v>AQMA 3</c:v>
                      </c:pt>
                      <c:pt idx="3">
                        <c:v>AQMA 4 </c:v>
                      </c:pt>
                      <c:pt idx="4">
                        <c:v>Industrial</c:v>
                      </c:pt>
                      <c:pt idx="5">
                        <c:v>Kerbside / Roadside </c:v>
                      </c:pt>
                      <c:pt idx="6">
                        <c:v>Suburban / Urban Background</c:v>
                      </c:pt>
                    </c:strCache>
                  </c:strRef>
                </c:cat>
                <c:val>
                  <c:numRef>
                    <c:extLst>
                      <c:ext uri="{02D57815-91ED-43cb-92C2-25804820EDAC}">
                        <c15:formulaRef>
                          <c15:sqref>Consolidated!$X$3:$X$9</c15:sqref>
                        </c15:formulaRef>
                      </c:ext>
                    </c:extLst>
                    <c:numCache>
                      <c:formatCode>0.0</c:formatCode>
                      <c:ptCount val="7"/>
                      <c:pt idx="0">
                        <c:v>0</c:v>
                      </c:pt>
                      <c:pt idx="1">
                        <c:v>0</c:v>
                      </c:pt>
                      <c:pt idx="2">
                        <c:v>-1.4285714285716519E-3</c:v>
                      </c:pt>
                      <c:pt idx="3">
                        <c:v>-7.3636363636363514E-2</c:v>
                      </c:pt>
                      <c:pt idx="4">
                        <c:v>0</c:v>
                      </c:pt>
                      <c:pt idx="5">
                        <c:v>0</c:v>
                      </c:pt>
                      <c:pt idx="6">
                        <c:v>0</c:v>
                      </c:pt>
                    </c:numCache>
                  </c:numRef>
                </c:val>
                <c:extLst>
                  <c:ext xmlns:c16="http://schemas.microsoft.com/office/drawing/2014/chart" uri="{C3380CC4-5D6E-409C-BE32-E72D297353CC}">
                    <c16:uniqueId val="{00000006-697A-4E77-9235-88A38E50A297}"/>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Consolidated!$Y$2</c15:sqref>
                        </c15:formulaRef>
                      </c:ext>
                    </c:extLst>
                    <c:strCache>
                      <c:ptCount val="1"/>
                      <c:pt idx="0">
                        <c:v>#2b</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Consolidated!$A$3:$A$9</c15:sqref>
                        </c15:formulaRef>
                      </c:ext>
                    </c:extLst>
                    <c:strCache>
                      <c:ptCount val="7"/>
                      <c:pt idx="0">
                        <c:v>AQMA 1 </c:v>
                      </c:pt>
                      <c:pt idx="1">
                        <c:v>AQMA 2 </c:v>
                      </c:pt>
                      <c:pt idx="2">
                        <c:v>AQMA 3</c:v>
                      </c:pt>
                      <c:pt idx="3">
                        <c:v>AQMA 4 </c:v>
                      </c:pt>
                      <c:pt idx="4">
                        <c:v>Industrial</c:v>
                      </c:pt>
                      <c:pt idx="5">
                        <c:v>Kerbside / Roadside </c:v>
                      </c:pt>
                      <c:pt idx="6">
                        <c:v>Suburban / Urban Background</c:v>
                      </c:pt>
                    </c:strCache>
                  </c:strRef>
                </c:cat>
                <c:val>
                  <c:numRef>
                    <c:extLst xmlns:c15="http://schemas.microsoft.com/office/drawing/2012/chart">
                      <c:ext xmlns:c15="http://schemas.microsoft.com/office/drawing/2012/chart" uri="{02D57815-91ED-43cb-92C2-25804820EDAC}">
                        <c15:formulaRef>
                          <c15:sqref>Consolidated!$Y$3:$Y$9</c15:sqref>
                        </c15:formulaRef>
                      </c:ext>
                    </c:extLst>
                    <c:numCache>
                      <c:formatCode>0.0</c:formatCode>
                      <c:ptCount val="7"/>
                      <c:pt idx="0">
                        <c:v>0</c:v>
                      </c:pt>
                      <c:pt idx="1">
                        <c:v>0</c:v>
                      </c:pt>
                      <c:pt idx="2">
                        <c:v>-1.4285714285716519E-3</c:v>
                      </c:pt>
                      <c:pt idx="3">
                        <c:v>-7.7272727272727396E-2</c:v>
                      </c:pt>
                      <c:pt idx="4">
                        <c:v>0</c:v>
                      </c:pt>
                      <c:pt idx="5">
                        <c:v>0</c:v>
                      </c:pt>
                      <c:pt idx="6">
                        <c:v>0</c:v>
                      </c:pt>
                    </c:numCache>
                  </c:numRef>
                </c:val>
                <c:extLst xmlns:c15="http://schemas.microsoft.com/office/drawing/2012/chart">
                  <c:ext xmlns:c16="http://schemas.microsoft.com/office/drawing/2014/chart" uri="{C3380CC4-5D6E-409C-BE32-E72D297353CC}">
                    <c16:uniqueId val="{00000007-697A-4E77-9235-88A38E50A297}"/>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Consolidated!$Z$2</c15:sqref>
                        </c15:formulaRef>
                      </c:ext>
                    </c:extLst>
                    <c:strCache>
                      <c:ptCount val="1"/>
                      <c:pt idx="0">
                        <c:v>#2c</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Consolidated!$A$3:$A$9</c15:sqref>
                        </c15:formulaRef>
                      </c:ext>
                    </c:extLst>
                    <c:strCache>
                      <c:ptCount val="7"/>
                      <c:pt idx="0">
                        <c:v>AQMA 1 </c:v>
                      </c:pt>
                      <c:pt idx="1">
                        <c:v>AQMA 2 </c:v>
                      </c:pt>
                      <c:pt idx="2">
                        <c:v>AQMA 3</c:v>
                      </c:pt>
                      <c:pt idx="3">
                        <c:v>AQMA 4 </c:v>
                      </c:pt>
                      <c:pt idx="4">
                        <c:v>Industrial</c:v>
                      </c:pt>
                      <c:pt idx="5">
                        <c:v>Kerbside / Roadside </c:v>
                      </c:pt>
                      <c:pt idx="6">
                        <c:v>Suburban / Urban Background</c:v>
                      </c:pt>
                    </c:strCache>
                  </c:strRef>
                </c:cat>
                <c:val>
                  <c:numRef>
                    <c:extLst xmlns:c15="http://schemas.microsoft.com/office/drawing/2012/chart">
                      <c:ext xmlns:c15="http://schemas.microsoft.com/office/drawing/2012/chart" uri="{02D57815-91ED-43cb-92C2-25804820EDAC}">
                        <c15:formulaRef>
                          <c15:sqref>Consolidated!$Z$3:$Z$9</c15:sqref>
                        </c15:formulaRef>
                      </c:ext>
                    </c:extLst>
                    <c:numCache>
                      <c:formatCode>0.0</c:formatCode>
                      <c:ptCount val="7"/>
                      <c:pt idx="0">
                        <c:v>0</c:v>
                      </c:pt>
                      <c:pt idx="1">
                        <c:v>0</c:v>
                      </c:pt>
                      <c:pt idx="2">
                        <c:v>-8.5714285714288962E-3</c:v>
                      </c:pt>
                      <c:pt idx="3">
                        <c:v>-0.32909090909090916</c:v>
                      </c:pt>
                      <c:pt idx="4">
                        <c:v>0</c:v>
                      </c:pt>
                      <c:pt idx="5">
                        <c:v>-8.333333333334636E-4</c:v>
                      </c:pt>
                      <c:pt idx="6">
                        <c:v>0</c:v>
                      </c:pt>
                    </c:numCache>
                  </c:numRef>
                </c:val>
                <c:extLst xmlns:c15="http://schemas.microsoft.com/office/drawing/2012/chart">
                  <c:ext xmlns:c16="http://schemas.microsoft.com/office/drawing/2014/chart" uri="{C3380CC4-5D6E-409C-BE32-E72D297353CC}">
                    <c16:uniqueId val="{00000008-697A-4E77-9235-88A38E50A297}"/>
                  </c:ext>
                </c:extLst>
              </c15:ser>
            </c15:filteredBarSeries>
          </c:ext>
        </c:extLst>
      </c:barChart>
      <c:catAx>
        <c:axId val="1350406719"/>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50408159"/>
        <c:crosses val="autoZero"/>
        <c:auto val="1"/>
        <c:lblAlgn val="ctr"/>
        <c:lblOffset val="100"/>
        <c:noMultiLvlLbl val="0"/>
      </c:catAx>
      <c:valAx>
        <c:axId val="13504081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NO</a:t>
                </a:r>
                <a:r>
                  <a:rPr lang="en-GB" baseline="-25000"/>
                  <a:t>2</a:t>
                </a:r>
                <a:r>
                  <a:rPr lang="en-GB"/>
                  <a:t> Reduction (</a:t>
                </a:r>
                <a:r>
                  <a:rPr lang="en-GB" sz="1000" b="0" i="0" u="none" strike="noStrike" baseline="0">
                    <a:effectLst/>
                  </a:rPr>
                  <a:t>µ</a:t>
                </a:r>
                <a:r>
                  <a:rPr lang="en-GB"/>
                  <a:t>g/m</a:t>
                </a:r>
                <a:r>
                  <a:rPr lang="en-GB" baseline="30000"/>
                  <a:t>3</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50406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t>Excluding car only modes: Would the proposed scheme enable and encourage you / your constituents / members to... </a:t>
            </a:r>
          </a:p>
        </c:rich>
      </c:tx>
      <c:overlay val="0"/>
      <c:spPr>
        <a:noFill/>
        <a:ln>
          <a:noFill/>
        </a:ln>
        <a:effectLst/>
      </c:spPr>
      <c:txPr>
        <a:bodyPr rot="0" spcFirstLastPara="1" vertOverflow="ellipsis" vert="horz" wrap="square" anchor="ctr" anchorCtr="1"/>
        <a:lstStyle/>
        <a:p>
          <a:pPr algn="ctr" rtl="0">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tx>
            <c:strRef>
              <c:f>Refined!$A$57</c:f>
              <c:strCache>
                <c:ptCount val="1"/>
                <c:pt idx="0">
                  <c:v>Yes</c:v>
                </c:pt>
              </c:strCache>
            </c:strRef>
          </c:tx>
          <c:spPr>
            <a:solidFill>
              <a:schemeClr val="accent1"/>
            </a:solidFill>
            <a:ln>
              <a:noFill/>
            </a:ln>
            <a:effectLst/>
          </c:spPr>
          <c:invertIfNegative val="0"/>
          <c:cat>
            <c:strRef>
              <c:f>Refined!$B$56:$J$56</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Refined!$B$57:$J$57</c:f>
              <c:numCache>
                <c:formatCode>General</c:formatCode>
                <c:ptCount val="9"/>
                <c:pt idx="0">
                  <c:v>53</c:v>
                </c:pt>
                <c:pt idx="1">
                  <c:v>47</c:v>
                </c:pt>
                <c:pt idx="2">
                  <c:v>47</c:v>
                </c:pt>
                <c:pt idx="3">
                  <c:v>49</c:v>
                </c:pt>
                <c:pt idx="4">
                  <c:v>11</c:v>
                </c:pt>
                <c:pt idx="5">
                  <c:v>10</c:v>
                </c:pt>
                <c:pt idx="6">
                  <c:v>16</c:v>
                </c:pt>
                <c:pt idx="7">
                  <c:v>14</c:v>
                </c:pt>
                <c:pt idx="8">
                  <c:v>42</c:v>
                </c:pt>
              </c:numCache>
            </c:numRef>
          </c:val>
          <c:extLst>
            <c:ext xmlns:c16="http://schemas.microsoft.com/office/drawing/2014/chart" uri="{C3380CC4-5D6E-409C-BE32-E72D297353CC}">
              <c16:uniqueId val="{00000000-20AA-4168-9A3E-6BB8716F2C40}"/>
            </c:ext>
          </c:extLst>
        </c:ser>
        <c:ser>
          <c:idx val="1"/>
          <c:order val="1"/>
          <c:tx>
            <c:strRef>
              <c:f>Refined!$A$58</c:f>
              <c:strCache>
                <c:ptCount val="1"/>
                <c:pt idx="0">
                  <c:v>No</c:v>
                </c:pt>
              </c:strCache>
            </c:strRef>
          </c:tx>
          <c:spPr>
            <a:solidFill>
              <a:schemeClr val="accent2"/>
            </a:solidFill>
            <a:ln>
              <a:noFill/>
            </a:ln>
            <a:effectLst/>
          </c:spPr>
          <c:invertIfNegative val="0"/>
          <c:cat>
            <c:strRef>
              <c:f>Refined!$B$56:$J$56</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Refined!$B$58:$J$58</c:f>
              <c:numCache>
                <c:formatCode>General</c:formatCode>
                <c:ptCount val="9"/>
                <c:pt idx="0">
                  <c:v>50</c:v>
                </c:pt>
                <c:pt idx="1">
                  <c:v>55</c:v>
                </c:pt>
                <c:pt idx="2">
                  <c:v>53</c:v>
                </c:pt>
                <c:pt idx="3">
                  <c:v>52</c:v>
                </c:pt>
                <c:pt idx="4">
                  <c:v>77</c:v>
                </c:pt>
                <c:pt idx="5">
                  <c:v>78</c:v>
                </c:pt>
                <c:pt idx="6">
                  <c:v>75</c:v>
                </c:pt>
                <c:pt idx="7">
                  <c:v>77</c:v>
                </c:pt>
                <c:pt idx="8">
                  <c:v>53</c:v>
                </c:pt>
              </c:numCache>
            </c:numRef>
          </c:val>
          <c:extLst>
            <c:ext xmlns:c16="http://schemas.microsoft.com/office/drawing/2014/chart" uri="{C3380CC4-5D6E-409C-BE32-E72D297353CC}">
              <c16:uniqueId val="{00000001-20AA-4168-9A3E-6BB8716F2C40}"/>
            </c:ext>
          </c:extLst>
        </c:ser>
        <c:ser>
          <c:idx val="2"/>
          <c:order val="2"/>
          <c:tx>
            <c:strRef>
              <c:f>Refined!$A$59</c:f>
              <c:strCache>
                <c:ptCount val="1"/>
                <c:pt idx="0">
                  <c:v>Don't know</c:v>
                </c:pt>
              </c:strCache>
            </c:strRef>
          </c:tx>
          <c:spPr>
            <a:solidFill>
              <a:schemeClr val="accent3"/>
            </a:solidFill>
            <a:ln>
              <a:noFill/>
            </a:ln>
            <a:effectLst/>
          </c:spPr>
          <c:invertIfNegative val="0"/>
          <c:cat>
            <c:strRef>
              <c:f>Refined!$B$56:$J$56</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Refined!$B$59:$J$59</c:f>
              <c:numCache>
                <c:formatCode>General</c:formatCode>
                <c:ptCount val="9"/>
                <c:pt idx="0">
                  <c:v>5</c:v>
                </c:pt>
                <c:pt idx="1">
                  <c:v>6</c:v>
                </c:pt>
                <c:pt idx="2">
                  <c:v>8</c:v>
                </c:pt>
                <c:pt idx="3">
                  <c:v>7</c:v>
                </c:pt>
                <c:pt idx="4">
                  <c:v>20</c:v>
                </c:pt>
                <c:pt idx="5">
                  <c:v>20</c:v>
                </c:pt>
                <c:pt idx="6">
                  <c:v>17</c:v>
                </c:pt>
                <c:pt idx="7">
                  <c:v>17</c:v>
                </c:pt>
                <c:pt idx="8">
                  <c:v>13</c:v>
                </c:pt>
              </c:numCache>
            </c:numRef>
          </c:val>
          <c:extLst>
            <c:ext xmlns:c16="http://schemas.microsoft.com/office/drawing/2014/chart" uri="{C3380CC4-5D6E-409C-BE32-E72D297353CC}">
              <c16:uniqueId val="{00000002-20AA-4168-9A3E-6BB8716F2C40}"/>
            </c:ext>
          </c:extLst>
        </c:ser>
        <c:dLbls>
          <c:showLegendKey val="0"/>
          <c:showVal val="0"/>
          <c:showCatName val="0"/>
          <c:showSerName val="0"/>
          <c:showPercent val="0"/>
          <c:showBubbleSize val="0"/>
        </c:dLbls>
        <c:gapWidth val="182"/>
        <c:axId val="310345279"/>
        <c:axId val="310342399"/>
      </c:barChart>
      <c:catAx>
        <c:axId val="3103452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10342399"/>
        <c:crosses val="autoZero"/>
        <c:auto val="1"/>
        <c:lblAlgn val="ctr"/>
        <c:lblOffset val="100"/>
        <c:noMultiLvlLbl val="0"/>
      </c:catAx>
      <c:valAx>
        <c:axId val="3103423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Number</a:t>
                </a:r>
                <a:r>
                  <a:rPr lang="en-GB" baseline="0"/>
                  <a:t> of Respondents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10345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b="1"/>
              <a:t>School Attitudes Towards Health, Active Travel and Air Quality</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Sheet1!$B$1</c:f>
              <c:strCache>
                <c:ptCount val="1"/>
                <c:pt idx="0">
                  <c:v>Strongly Agree</c:v>
                </c:pt>
              </c:strCache>
            </c:strRef>
          </c:tx>
          <c:spPr>
            <a:solidFill>
              <a:srgbClr val="00B050"/>
            </a:solidFill>
            <a:ln>
              <a:noFill/>
            </a:ln>
            <a:effectLst/>
          </c:spPr>
          <c:invertIfNegative val="0"/>
          <c:cat>
            <c:strRef>
              <c:f>Sheet1!$A$2:$A$5</c:f>
              <c:strCache>
                <c:ptCount val="4"/>
                <c:pt idx="0">
                  <c:v>My school puts value on improving children’s health</c:v>
                </c:pt>
                <c:pt idx="1">
                  <c:v>My school values and promotes sustainable behaviours</c:v>
                </c:pt>
                <c:pt idx="2">
                  <c:v>My school actively promotes active travel initiatives (e.g. Walk to School Week)</c:v>
                </c:pt>
                <c:pt idx="3">
                  <c:v>Improving or reducing exposure to poor air quality is part of my school's agenda</c:v>
                </c:pt>
              </c:strCache>
            </c:strRef>
          </c:cat>
          <c:val>
            <c:numRef>
              <c:f>Sheet1!$B$2:$B$5</c:f>
              <c:numCache>
                <c:formatCode>General</c:formatCode>
                <c:ptCount val="4"/>
                <c:pt idx="0">
                  <c:v>5</c:v>
                </c:pt>
                <c:pt idx="1">
                  <c:v>3</c:v>
                </c:pt>
                <c:pt idx="2">
                  <c:v>1</c:v>
                </c:pt>
              </c:numCache>
            </c:numRef>
          </c:val>
          <c:extLst>
            <c:ext xmlns:c16="http://schemas.microsoft.com/office/drawing/2014/chart" uri="{C3380CC4-5D6E-409C-BE32-E72D297353CC}">
              <c16:uniqueId val="{00000000-E7AB-4C5A-B986-894A3D681375}"/>
            </c:ext>
          </c:extLst>
        </c:ser>
        <c:ser>
          <c:idx val="1"/>
          <c:order val="1"/>
          <c:tx>
            <c:strRef>
              <c:f>Sheet1!$C$1</c:f>
              <c:strCache>
                <c:ptCount val="1"/>
                <c:pt idx="0">
                  <c:v>Agree</c:v>
                </c:pt>
              </c:strCache>
            </c:strRef>
          </c:tx>
          <c:spPr>
            <a:solidFill>
              <a:schemeClr val="accent6">
                <a:lumMod val="40000"/>
                <a:lumOff val="60000"/>
              </a:schemeClr>
            </a:solidFill>
            <a:ln>
              <a:noFill/>
            </a:ln>
            <a:effectLst/>
          </c:spPr>
          <c:invertIfNegative val="0"/>
          <c:cat>
            <c:strRef>
              <c:f>Sheet1!$A$2:$A$5</c:f>
              <c:strCache>
                <c:ptCount val="4"/>
                <c:pt idx="0">
                  <c:v>My school puts value on improving children’s health</c:v>
                </c:pt>
                <c:pt idx="1">
                  <c:v>My school values and promotes sustainable behaviours</c:v>
                </c:pt>
                <c:pt idx="2">
                  <c:v>My school actively promotes active travel initiatives (e.g. Walk to School Week)</c:v>
                </c:pt>
                <c:pt idx="3">
                  <c:v>Improving or reducing exposure to poor air quality is part of my school's agenda</c:v>
                </c:pt>
              </c:strCache>
            </c:strRef>
          </c:cat>
          <c:val>
            <c:numRef>
              <c:f>Sheet1!$C$2:$C$5</c:f>
              <c:numCache>
                <c:formatCode>General</c:formatCode>
                <c:ptCount val="4"/>
                <c:pt idx="0">
                  <c:v>4</c:v>
                </c:pt>
                <c:pt idx="1">
                  <c:v>5</c:v>
                </c:pt>
                <c:pt idx="2">
                  <c:v>5</c:v>
                </c:pt>
                <c:pt idx="3">
                  <c:v>1</c:v>
                </c:pt>
              </c:numCache>
            </c:numRef>
          </c:val>
          <c:extLst>
            <c:ext xmlns:c16="http://schemas.microsoft.com/office/drawing/2014/chart" uri="{C3380CC4-5D6E-409C-BE32-E72D297353CC}">
              <c16:uniqueId val="{00000001-E7AB-4C5A-B986-894A3D681375}"/>
            </c:ext>
          </c:extLst>
        </c:ser>
        <c:ser>
          <c:idx val="2"/>
          <c:order val="2"/>
          <c:tx>
            <c:strRef>
              <c:f>Sheet1!$D$1</c:f>
              <c:strCache>
                <c:ptCount val="1"/>
                <c:pt idx="0">
                  <c:v>Not sure</c:v>
                </c:pt>
              </c:strCache>
            </c:strRef>
          </c:tx>
          <c:spPr>
            <a:solidFill>
              <a:schemeClr val="accent4">
                <a:lumMod val="40000"/>
                <a:lumOff val="60000"/>
              </a:schemeClr>
            </a:solidFill>
            <a:ln>
              <a:noFill/>
            </a:ln>
            <a:effectLst/>
          </c:spPr>
          <c:invertIfNegative val="0"/>
          <c:cat>
            <c:strRef>
              <c:f>Sheet1!$A$2:$A$5</c:f>
              <c:strCache>
                <c:ptCount val="4"/>
                <c:pt idx="0">
                  <c:v>My school puts value on improving children’s health</c:v>
                </c:pt>
                <c:pt idx="1">
                  <c:v>My school values and promotes sustainable behaviours</c:v>
                </c:pt>
                <c:pt idx="2">
                  <c:v>My school actively promotes active travel initiatives (e.g. Walk to School Week)</c:v>
                </c:pt>
                <c:pt idx="3">
                  <c:v>Improving or reducing exposure to poor air quality is part of my school's agenda</c:v>
                </c:pt>
              </c:strCache>
            </c:strRef>
          </c:cat>
          <c:val>
            <c:numRef>
              <c:f>Sheet1!$D$2:$D$5</c:f>
              <c:numCache>
                <c:formatCode>General</c:formatCode>
                <c:ptCount val="4"/>
                <c:pt idx="1">
                  <c:v>1</c:v>
                </c:pt>
                <c:pt idx="2">
                  <c:v>1</c:v>
                </c:pt>
                <c:pt idx="3">
                  <c:v>3</c:v>
                </c:pt>
              </c:numCache>
            </c:numRef>
          </c:val>
          <c:extLst>
            <c:ext xmlns:c16="http://schemas.microsoft.com/office/drawing/2014/chart" uri="{C3380CC4-5D6E-409C-BE32-E72D297353CC}">
              <c16:uniqueId val="{00000002-E7AB-4C5A-B986-894A3D681375}"/>
            </c:ext>
          </c:extLst>
        </c:ser>
        <c:ser>
          <c:idx val="3"/>
          <c:order val="3"/>
          <c:tx>
            <c:strRef>
              <c:f>Sheet1!$E$1</c:f>
              <c:strCache>
                <c:ptCount val="1"/>
                <c:pt idx="0">
                  <c:v>Disagree</c:v>
                </c:pt>
              </c:strCache>
            </c:strRef>
          </c:tx>
          <c:spPr>
            <a:solidFill>
              <a:schemeClr val="accent2">
                <a:lumMod val="60000"/>
                <a:lumOff val="40000"/>
              </a:schemeClr>
            </a:solidFill>
            <a:ln>
              <a:noFill/>
            </a:ln>
            <a:effectLst/>
          </c:spPr>
          <c:invertIfNegative val="0"/>
          <c:cat>
            <c:strRef>
              <c:f>Sheet1!$A$2:$A$5</c:f>
              <c:strCache>
                <c:ptCount val="4"/>
                <c:pt idx="0">
                  <c:v>My school puts value on improving children’s health</c:v>
                </c:pt>
                <c:pt idx="1">
                  <c:v>My school values and promotes sustainable behaviours</c:v>
                </c:pt>
                <c:pt idx="2">
                  <c:v>My school actively promotes active travel initiatives (e.g. Walk to School Week)</c:v>
                </c:pt>
                <c:pt idx="3">
                  <c:v>Improving or reducing exposure to poor air quality is part of my school's agenda</c:v>
                </c:pt>
              </c:strCache>
            </c:strRef>
          </c:cat>
          <c:val>
            <c:numRef>
              <c:f>Sheet1!$E$2:$E$5</c:f>
              <c:numCache>
                <c:formatCode>General</c:formatCode>
                <c:ptCount val="4"/>
                <c:pt idx="2">
                  <c:v>2</c:v>
                </c:pt>
                <c:pt idx="3">
                  <c:v>5</c:v>
                </c:pt>
              </c:numCache>
            </c:numRef>
          </c:val>
          <c:extLst>
            <c:ext xmlns:c16="http://schemas.microsoft.com/office/drawing/2014/chart" uri="{C3380CC4-5D6E-409C-BE32-E72D297353CC}">
              <c16:uniqueId val="{00000003-E7AB-4C5A-B986-894A3D681375}"/>
            </c:ext>
          </c:extLst>
        </c:ser>
        <c:dLbls>
          <c:showLegendKey val="0"/>
          <c:showVal val="0"/>
          <c:showCatName val="0"/>
          <c:showSerName val="0"/>
          <c:showPercent val="0"/>
          <c:showBubbleSize val="0"/>
        </c:dLbls>
        <c:gapWidth val="182"/>
        <c:axId val="1986826431"/>
        <c:axId val="1986828351"/>
        <c:extLst>
          <c:ext xmlns:c15="http://schemas.microsoft.com/office/drawing/2012/chart" uri="{02D57815-91ED-43cb-92C2-25804820EDAC}">
            <c15:filteredBarSeries>
              <c15:ser>
                <c:idx val="4"/>
                <c:order val="4"/>
                <c:tx>
                  <c:strRef>
                    <c:extLst>
                      <c:ext uri="{02D57815-91ED-43cb-92C2-25804820EDAC}">
                        <c15:formulaRef>
                          <c15:sqref>Sheet1!$F$1</c15:sqref>
                        </c15:formulaRef>
                      </c:ext>
                    </c:extLst>
                    <c:strCache>
                      <c:ptCount val="1"/>
                      <c:pt idx="0">
                        <c:v>Strongly disagree</c:v>
                      </c:pt>
                    </c:strCache>
                  </c:strRef>
                </c:tx>
                <c:spPr>
                  <a:solidFill>
                    <a:schemeClr val="accent5"/>
                  </a:solidFill>
                  <a:ln>
                    <a:noFill/>
                  </a:ln>
                  <a:effectLst/>
                </c:spPr>
                <c:invertIfNegative val="0"/>
                <c:cat>
                  <c:strRef>
                    <c:extLst>
                      <c:ext uri="{02D57815-91ED-43cb-92C2-25804820EDAC}">
                        <c15:formulaRef>
                          <c15:sqref>Sheet1!$A$2:$A$5</c15:sqref>
                        </c15:formulaRef>
                      </c:ext>
                    </c:extLst>
                    <c:strCache>
                      <c:ptCount val="4"/>
                      <c:pt idx="0">
                        <c:v>My school puts value on improving children’s health</c:v>
                      </c:pt>
                      <c:pt idx="1">
                        <c:v>My school values and promotes sustainable behaviours</c:v>
                      </c:pt>
                      <c:pt idx="2">
                        <c:v>My school actively promotes active travel initiatives (e.g. Walk to School Week)</c:v>
                      </c:pt>
                      <c:pt idx="3">
                        <c:v>Improving or reducing exposure to poor air quality is part of my school's agenda</c:v>
                      </c:pt>
                    </c:strCache>
                  </c:strRef>
                </c:cat>
                <c:val>
                  <c:numRef>
                    <c:extLst>
                      <c:ext uri="{02D57815-91ED-43cb-92C2-25804820EDAC}">
                        <c15:formulaRef>
                          <c15:sqref>Sheet1!$F$2:$F$5</c15:sqref>
                        </c15:formulaRef>
                      </c:ext>
                    </c:extLst>
                    <c:numCache>
                      <c:formatCode>General</c:formatCode>
                      <c:ptCount val="4"/>
                    </c:numCache>
                  </c:numRef>
                </c:val>
                <c:extLst>
                  <c:ext xmlns:c16="http://schemas.microsoft.com/office/drawing/2014/chart" uri="{C3380CC4-5D6E-409C-BE32-E72D297353CC}">
                    <c16:uniqueId val="{00000004-E7AB-4C5A-B986-894A3D681375}"/>
                  </c:ext>
                </c:extLst>
              </c15:ser>
            </c15:filteredBarSeries>
          </c:ext>
        </c:extLst>
      </c:barChart>
      <c:catAx>
        <c:axId val="1986826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86828351"/>
        <c:crosses val="autoZero"/>
        <c:auto val="1"/>
        <c:lblAlgn val="ctr"/>
        <c:lblOffset val="100"/>
        <c:noMultiLvlLbl val="0"/>
      </c:catAx>
      <c:valAx>
        <c:axId val="19868283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Number</a:t>
                </a:r>
                <a:r>
                  <a:rPr lang="en-GB" baseline="0"/>
                  <a:t> of Respondents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86826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b="0"/>
              <a:t>Annual School Travel Mode from 2018/19 to 2022/23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2"/>
          <c:order val="0"/>
          <c:tx>
            <c:strRef>
              <c:f>'Individual Schools'!$I$211</c:f>
              <c:strCache>
                <c:ptCount val="1"/>
                <c:pt idx="0">
                  <c:v>Walk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Schools'!$J$211:$N$211</c:f>
              <c:numCache>
                <c:formatCode>0%</c:formatCode>
                <c:ptCount val="5"/>
                <c:pt idx="0">
                  <c:v>0.39482661351096687</c:v>
                </c:pt>
                <c:pt idx="1">
                  <c:v>0.4352989156040723</c:v>
                </c:pt>
                <c:pt idx="2">
                  <c:v>0.51285887411761</c:v>
                </c:pt>
                <c:pt idx="3">
                  <c:v>0.48609250122423303</c:v>
                </c:pt>
                <c:pt idx="4">
                  <c:v>0.41547335466221158</c:v>
                </c:pt>
              </c:numCache>
            </c:numRef>
          </c:val>
          <c:smooth val="0"/>
          <c:extLst>
            <c:ext xmlns:c16="http://schemas.microsoft.com/office/drawing/2014/chart" uri="{C3380CC4-5D6E-409C-BE32-E72D297353CC}">
              <c16:uniqueId val="{00000000-E76A-4811-A297-B49EFC211597}"/>
            </c:ext>
          </c:extLst>
        </c:ser>
        <c:ser>
          <c:idx val="0"/>
          <c:order val="1"/>
          <c:tx>
            <c:strRef>
              <c:f>'Individual Schools'!$I$209</c:f>
              <c:strCache>
                <c:ptCount val="1"/>
                <c:pt idx="0">
                  <c:v>Cycle </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Schools'!$J$209:$N$209</c:f>
              <c:numCache>
                <c:formatCode>0%</c:formatCode>
                <c:ptCount val="5"/>
                <c:pt idx="0">
                  <c:v>3.7629688747396584E-2</c:v>
                </c:pt>
                <c:pt idx="1">
                  <c:v>6.5075189375297549E-2</c:v>
                </c:pt>
                <c:pt idx="2">
                  <c:v>4.3591467284922608E-2</c:v>
                </c:pt>
                <c:pt idx="3">
                  <c:v>7.6157389581984425E-2</c:v>
                </c:pt>
                <c:pt idx="4">
                  <c:v>3.3328252714134698E-2</c:v>
                </c:pt>
              </c:numCache>
            </c:numRef>
          </c:val>
          <c:smooth val="0"/>
          <c:extLst>
            <c:ext xmlns:c16="http://schemas.microsoft.com/office/drawing/2014/chart" uri="{C3380CC4-5D6E-409C-BE32-E72D297353CC}">
              <c16:uniqueId val="{00000001-E76A-4811-A297-B49EFC211597}"/>
            </c:ext>
          </c:extLst>
        </c:ser>
        <c:ser>
          <c:idx val="1"/>
          <c:order val="2"/>
          <c:tx>
            <c:strRef>
              <c:f>'Individual Schools'!$I$210</c:f>
              <c:strCache>
                <c:ptCount val="1"/>
                <c:pt idx="0">
                  <c:v>Scooter </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Schools'!$J$210:$N$210</c:f>
              <c:numCache>
                <c:formatCode>0%</c:formatCode>
                <c:ptCount val="5"/>
                <c:pt idx="0">
                  <c:v>4.0693734808356564E-2</c:v>
                </c:pt>
                <c:pt idx="1">
                  <c:v>7.7044414342819195E-2</c:v>
                </c:pt>
                <c:pt idx="2">
                  <c:v>9.8997712546804464E-2</c:v>
                </c:pt>
                <c:pt idx="3">
                  <c:v>0.10347322248211943</c:v>
                </c:pt>
                <c:pt idx="4">
                  <c:v>2.8496001824194973E-2</c:v>
                </c:pt>
              </c:numCache>
            </c:numRef>
          </c:val>
          <c:smooth val="0"/>
          <c:extLst>
            <c:ext xmlns:c16="http://schemas.microsoft.com/office/drawing/2014/chart" uri="{C3380CC4-5D6E-409C-BE32-E72D297353CC}">
              <c16:uniqueId val="{00000002-E76A-4811-A297-B49EFC211597}"/>
            </c:ext>
          </c:extLst>
        </c:ser>
        <c:ser>
          <c:idx val="3"/>
          <c:order val="3"/>
          <c:tx>
            <c:strRef>
              <c:f>'Individual Schools'!$I$212</c:f>
              <c:strCache>
                <c:ptCount val="1"/>
                <c:pt idx="0">
                  <c:v>Car share </c:v>
                </c:pt>
              </c:strCache>
            </c:strRef>
          </c:tx>
          <c:spPr>
            <a:ln w="28575" cap="rnd">
              <a:solidFill>
                <a:schemeClr val="accent4"/>
              </a:solidFill>
              <a:round/>
            </a:ln>
            <a:effectLst/>
          </c:spPr>
          <c:marker>
            <c:symbol val="square"/>
            <c:size val="5"/>
            <c:spPr>
              <a:solidFill>
                <a:schemeClr val="accent4"/>
              </a:solidFill>
              <a:ln w="9525">
                <a:solidFill>
                  <a:schemeClr val="accent4"/>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Schools'!$J$212:$N$212</c:f>
              <c:numCache>
                <c:formatCode>0%</c:formatCode>
                <c:ptCount val="5"/>
                <c:pt idx="0">
                  <c:v>0.22567160681440138</c:v>
                </c:pt>
                <c:pt idx="1">
                  <c:v>0.23531877948768104</c:v>
                </c:pt>
                <c:pt idx="2">
                  <c:v>0.22445443969539866</c:v>
                </c:pt>
                <c:pt idx="3">
                  <c:v>6.7299154188866561E-2</c:v>
                </c:pt>
                <c:pt idx="4">
                  <c:v>2.8040867797138554E-2</c:v>
                </c:pt>
              </c:numCache>
            </c:numRef>
          </c:val>
          <c:smooth val="0"/>
          <c:extLst>
            <c:ext xmlns:c16="http://schemas.microsoft.com/office/drawing/2014/chart" uri="{C3380CC4-5D6E-409C-BE32-E72D297353CC}">
              <c16:uniqueId val="{00000003-E76A-4811-A297-B49EFC211597}"/>
            </c:ext>
          </c:extLst>
        </c:ser>
        <c:ser>
          <c:idx val="4"/>
          <c:order val="4"/>
          <c:tx>
            <c:strRef>
              <c:f>'Individual Schools'!$I$213</c:f>
              <c:strCache>
                <c:ptCount val="1"/>
                <c:pt idx="0">
                  <c:v>Car (single child)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Schools'!$J$213:$N$213</c:f>
              <c:numCache>
                <c:formatCode>0%</c:formatCode>
                <c:ptCount val="5"/>
                <c:pt idx="0">
                  <c:v>0.18367523648774486</c:v>
                </c:pt>
                <c:pt idx="1">
                  <c:v>0.10417079527889721</c:v>
                </c:pt>
                <c:pt idx="2">
                  <c:v>0.10950941356361207</c:v>
                </c:pt>
                <c:pt idx="3">
                  <c:v>0.2236265874569367</c:v>
                </c:pt>
                <c:pt idx="4">
                  <c:v>0.37693664134705607</c:v>
                </c:pt>
              </c:numCache>
            </c:numRef>
          </c:val>
          <c:smooth val="0"/>
          <c:extLst>
            <c:ext xmlns:c16="http://schemas.microsoft.com/office/drawing/2014/chart" uri="{C3380CC4-5D6E-409C-BE32-E72D297353CC}">
              <c16:uniqueId val="{00000004-E76A-4811-A297-B49EFC211597}"/>
            </c:ext>
          </c:extLst>
        </c:ser>
        <c:ser>
          <c:idx val="5"/>
          <c:order val="5"/>
          <c:tx>
            <c:strRef>
              <c:f>'Individual Schools'!$I$214</c:f>
              <c:strCache>
                <c:ptCount val="1"/>
                <c:pt idx="0">
                  <c:v>Public Bus</c:v>
                </c:pt>
              </c:strCache>
            </c:strRef>
          </c:tx>
          <c:spPr>
            <a:ln w="28575" cap="rnd">
              <a:solidFill>
                <a:schemeClr val="accent6"/>
              </a:solidFill>
              <a:round/>
            </a:ln>
            <a:effectLst/>
          </c:spPr>
          <c:marker>
            <c:symbol val="square"/>
            <c:size val="5"/>
            <c:spPr>
              <a:solidFill>
                <a:schemeClr val="accent6"/>
              </a:solidFill>
              <a:ln w="9525">
                <a:solidFill>
                  <a:schemeClr val="accent6"/>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Schools'!$J$214:$N$214</c:f>
              <c:numCache>
                <c:formatCode>0%</c:formatCode>
                <c:ptCount val="5"/>
                <c:pt idx="0">
                  <c:v>0.104415354428226</c:v>
                </c:pt>
                <c:pt idx="1">
                  <c:v>7.2650298365534119E-2</c:v>
                </c:pt>
                <c:pt idx="2">
                  <c:v>6.1238070773664095E-3</c:v>
                </c:pt>
                <c:pt idx="3">
                  <c:v>5.7680007586958515E-3</c:v>
                </c:pt>
                <c:pt idx="4">
                  <c:v>1.5187200010217427E-2</c:v>
                </c:pt>
              </c:numCache>
            </c:numRef>
          </c:val>
          <c:smooth val="0"/>
          <c:extLst>
            <c:ext xmlns:c16="http://schemas.microsoft.com/office/drawing/2014/chart" uri="{C3380CC4-5D6E-409C-BE32-E72D297353CC}">
              <c16:uniqueId val="{00000005-E76A-4811-A297-B49EFC211597}"/>
            </c:ext>
          </c:extLst>
        </c:ser>
        <c:ser>
          <c:idx val="6"/>
          <c:order val="6"/>
          <c:tx>
            <c:strRef>
              <c:f>'Individual Schools'!$I$215</c:f>
              <c:strCache>
                <c:ptCount val="1"/>
                <c:pt idx="0">
                  <c:v>School Bus</c:v>
                </c:pt>
              </c:strCache>
            </c:strRef>
          </c:tx>
          <c:spPr>
            <a:ln w="28575" cap="rnd">
              <a:solidFill>
                <a:schemeClr val="accent1">
                  <a:lumMod val="60000"/>
                </a:schemeClr>
              </a:solidFill>
              <a:round/>
            </a:ln>
            <a:effectLst/>
          </c:spPr>
          <c:marker>
            <c:symbol val="square"/>
            <c:size val="5"/>
            <c:spPr>
              <a:solidFill>
                <a:schemeClr val="accent1">
                  <a:lumMod val="60000"/>
                </a:schemeClr>
              </a:solidFill>
              <a:ln w="9525">
                <a:solidFill>
                  <a:schemeClr val="accent1">
                    <a:lumMod val="60000"/>
                  </a:schemeClr>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Schools'!$J$215:$N$215</c:f>
              <c:numCache>
                <c:formatCode>0%</c:formatCode>
                <c:ptCount val="5"/>
                <c:pt idx="0">
                  <c:v>7.8547929402462136E-3</c:v>
                </c:pt>
                <c:pt idx="1">
                  <c:v>5.8451529992063853E-3</c:v>
                </c:pt>
                <c:pt idx="2">
                  <c:v>4.464285714285714E-3</c:v>
                </c:pt>
                <c:pt idx="3">
                  <c:v>1.1111111111111111E-3</c:v>
                </c:pt>
                <c:pt idx="4">
                  <c:v>4.0230435064514035E-2</c:v>
                </c:pt>
              </c:numCache>
            </c:numRef>
          </c:val>
          <c:smooth val="0"/>
          <c:extLst>
            <c:ext xmlns:c16="http://schemas.microsoft.com/office/drawing/2014/chart" uri="{C3380CC4-5D6E-409C-BE32-E72D297353CC}">
              <c16:uniqueId val="{00000006-E76A-4811-A297-B49EFC211597}"/>
            </c:ext>
          </c:extLst>
        </c:ser>
        <c:ser>
          <c:idx val="7"/>
          <c:order val="7"/>
          <c:tx>
            <c:strRef>
              <c:f>'Individual Schools'!$I$216</c:f>
              <c:strCache>
                <c:ptCount val="1"/>
                <c:pt idx="0">
                  <c:v>Park and Stride / Walk</c:v>
                </c:pt>
              </c:strCache>
            </c:strRef>
          </c:tx>
          <c:spPr>
            <a:ln w="28575" cap="rnd">
              <a:solidFill>
                <a:schemeClr val="accent2">
                  <a:lumMod val="60000"/>
                </a:schemeClr>
              </a:solidFill>
              <a:round/>
            </a:ln>
            <a:effectLst/>
          </c:spPr>
          <c:marker>
            <c:symbol val="square"/>
            <c:size val="5"/>
            <c:spPr>
              <a:solidFill>
                <a:schemeClr val="accent2">
                  <a:lumMod val="60000"/>
                </a:schemeClr>
              </a:solidFill>
              <a:ln w="9525">
                <a:solidFill>
                  <a:schemeClr val="accent2">
                    <a:lumMod val="60000"/>
                  </a:schemeClr>
                </a:solidFill>
              </a:ln>
              <a:effectLst/>
            </c:spPr>
          </c:marker>
          <c:cat>
            <c:strRef>
              <c:f>'Individual Schools'!$J$208:$N$208</c:f>
              <c:strCache>
                <c:ptCount val="5"/>
                <c:pt idx="0">
                  <c:v>2018/19</c:v>
                </c:pt>
                <c:pt idx="1">
                  <c:v>2019/20</c:v>
                </c:pt>
                <c:pt idx="2">
                  <c:v>2020/21</c:v>
                </c:pt>
                <c:pt idx="3">
                  <c:v>2021/22</c:v>
                </c:pt>
                <c:pt idx="4">
                  <c:v>2022/23</c:v>
                </c:pt>
              </c:strCache>
            </c:strRef>
          </c:cat>
          <c:val>
            <c:numRef>
              <c:f>'Individual Schools'!$J$216:$N$216</c:f>
              <c:numCache>
                <c:formatCode>0%</c:formatCode>
                <c:ptCount val="5"/>
                <c:pt idx="0">
                  <c:v>3.9308176100628933E-4</c:v>
                </c:pt>
                <c:pt idx="1">
                  <c:v>2.0128824476650564E-4</c:v>
                </c:pt>
                <c:pt idx="2">
                  <c:v>0</c:v>
                </c:pt>
                <c:pt idx="3">
                  <c:v>3.4805366529386247E-2</c:v>
                </c:pt>
                <c:pt idx="4">
                  <c:v>0.10152265451004856</c:v>
                </c:pt>
              </c:numCache>
            </c:numRef>
          </c:val>
          <c:smooth val="0"/>
          <c:extLst>
            <c:ext xmlns:c16="http://schemas.microsoft.com/office/drawing/2014/chart" uri="{C3380CC4-5D6E-409C-BE32-E72D297353CC}">
              <c16:uniqueId val="{00000007-E76A-4811-A297-B49EFC211597}"/>
            </c:ext>
          </c:extLst>
        </c:ser>
        <c:dLbls>
          <c:showLegendKey val="0"/>
          <c:showVal val="0"/>
          <c:showCatName val="0"/>
          <c:showSerName val="0"/>
          <c:showPercent val="0"/>
          <c:showBubbleSize val="0"/>
        </c:dLbls>
        <c:marker val="1"/>
        <c:smooth val="0"/>
        <c:axId val="130235455"/>
        <c:axId val="130220095"/>
        <c:extLst>
          <c:ext xmlns:c15="http://schemas.microsoft.com/office/drawing/2012/chart" uri="{02D57815-91ED-43cb-92C2-25804820EDAC}">
            <c15:filteredLineSeries>
              <c15:ser>
                <c:idx val="8"/>
                <c:order val="8"/>
                <c:tx>
                  <c:strRef>
                    <c:extLst>
                      <c:ext uri="{02D57815-91ED-43cb-92C2-25804820EDAC}">
                        <c15:formulaRef>
                          <c15:sqref>'Individual Schools'!$I$217</c15:sqref>
                        </c15:formulaRef>
                      </c:ext>
                    </c:extLst>
                    <c:strCache>
                      <c:ptCount val="1"/>
                      <c:pt idx="0">
                        <c:v>Train/Tube/Metro</c:v>
                      </c:pt>
                    </c:strCache>
                  </c:strRef>
                </c:tx>
                <c:spPr>
                  <a:ln w="28575" cap="rnd">
                    <a:solidFill>
                      <a:schemeClr val="accent3">
                        <a:lumMod val="60000"/>
                      </a:schemeClr>
                    </a:solidFill>
                    <a:round/>
                  </a:ln>
                  <a:effectLst/>
                </c:spPr>
                <c:marker>
                  <c:symbol val="none"/>
                </c:marker>
                <c:cat>
                  <c:strRef>
                    <c:extLst>
                      <c:ext uri="{02D57815-91ED-43cb-92C2-25804820EDAC}">
                        <c15:formulaRef>
                          <c15:sqref>'Individual Schools'!$J$208:$N$208</c15:sqref>
                        </c15:formulaRef>
                      </c:ext>
                    </c:extLst>
                    <c:strCache>
                      <c:ptCount val="5"/>
                      <c:pt idx="0">
                        <c:v>2018/19</c:v>
                      </c:pt>
                      <c:pt idx="1">
                        <c:v>2019/20</c:v>
                      </c:pt>
                      <c:pt idx="2">
                        <c:v>2020/21</c:v>
                      </c:pt>
                      <c:pt idx="3">
                        <c:v>2021/22</c:v>
                      </c:pt>
                      <c:pt idx="4">
                        <c:v>2022/23</c:v>
                      </c:pt>
                    </c:strCache>
                  </c:strRef>
                </c:cat>
                <c:val>
                  <c:numRef>
                    <c:extLst>
                      <c:ext uri="{02D57815-91ED-43cb-92C2-25804820EDAC}">
                        <c15:formulaRef>
                          <c15:sqref>'Individual Schools'!$J$217:$N$217</c15:sqref>
                        </c15:formulaRef>
                      </c:ext>
                    </c:extLst>
                    <c:numCache>
                      <c:formatCode>0%</c:formatCode>
                      <c:ptCount val="5"/>
                      <c:pt idx="0">
                        <c:v>0</c:v>
                      </c:pt>
                      <c:pt idx="1">
                        <c:v>1.6128185240842181E-3</c:v>
                      </c:pt>
                      <c:pt idx="2">
                        <c:v>0</c:v>
                      </c:pt>
                      <c:pt idx="3">
                        <c:v>0</c:v>
                      </c:pt>
                      <c:pt idx="4">
                        <c:v>2.3025928686306045E-3</c:v>
                      </c:pt>
                    </c:numCache>
                  </c:numRef>
                </c:val>
                <c:smooth val="0"/>
                <c:extLst>
                  <c:ext xmlns:c16="http://schemas.microsoft.com/office/drawing/2014/chart" uri="{C3380CC4-5D6E-409C-BE32-E72D297353CC}">
                    <c16:uniqueId val="{00000008-E76A-4811-A297-B49EFC211597}"/>
                  </c:ext>
                </c:extLst>
              </c15:ser>
            </c15:filteredLineSeries>
          </c:ext>
        </c:extLst>
      </c:lineChart>
      <c:catAx>
        <c:axId val="13023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0220095"/>
        <c:crosses val="autoZero"/>
        <c:auto val="1"/>
        <c:lblAlgn val="ctr"/>
        <c:lblOffset val="100"/>
        <c:noMultiLvlLbl val="0"/>
      </c:catAx>
      <c:valAx>
        <c:axId val="1302200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0235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latin typeface="Arial" panose="020B0604020202020204" pitchFamily="34" charset="0"/>
                <a:cs typeface="Arial" panose="020B0604020202020204" pitchFamily="34" charset="0"/>
              </a:rPr>
              <a:t>Comparison</a:t>
            </a:r>
            <a:r>
              <a:rPr lang="en-GB" sz="1200" baseline="0">
                <a:latin typeface="Arial" panose="020B0604020202020204" pitchFamily="34" charset="0"/>
                <a:cs typeface="Arial" panose="020B0604020202020204" pitchFamily="34" charset="0"/>
              </a:rPr>
              <a:t> of Usual Travel Mode</a:t>
            </a:r>
            <a:endParaRPr lang="en-GB" sz="12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370204361503344E-2"/>
          <c:y val="0.1340014847809948"/>
          <c:w val="0.90825576506016736"/>
          <c:h val="0.64867538829361249"/>
        </c:manualLayout>
      </c:layout>
      <c:barChart>
        <c:barDir val="col"/>
        <c:grouping val="clustered"/>
        <c:varyColors val="0"/>
        <c:ser>
          <c:idx val="9"/>
          <c:order val="0"/>
          <c:tx>
            <c:strRef>
              <c:f>'School A-C Usual'!$F$12</c:f>
              <c:strCache>
                <c:ptCount val="1"/>
                <c:pt idx="0">
                  <c:v>Walk</c:v>
                </c:pt>
              </c:strCache>
            </c:strRef>
          </c:tx>
          <c:spPr>
            <a:solidFill>
              <a:srgbClr val="4C9C44"/>
            </a:solidFill>
            <a:ln>
              <a:solidFill>
                <a:schemeClr val="tx1"/>
              </a:solidFill>
            </a:ln>
            <a:effectLst/>
          </c:spPr>
          <c:invertIfNegative val="0"/>
          <c:cat>
            <c:strRef>
              <c:f>'School A-C Usual'!$G$2:$I$2</c:f>
              <c:strCache>
                <c:ptCount val="3"/>
                <c:pt idx="0">
                  <c:v>School A</c:v>
                </c:pt>
                <c:pt idx="1">
                  <c:v>School B</c:v>
                </c:pt>
                <c:pt idx="2">
                  <c:v>School C</c:v>
                </c:pt>
              </c:strCache>
            </c:strRef>
          </c:cat>
          <c:val>
            <c:numRef>
              <c:f>'School A-C Usual'!$G$12:$I$12</c:f>
              <c:numCache>
                <c:formatCode>0%</c:formatCode>
                <c:ptCount val="3"/>
                <c:pt idx="0">
                  <c:v>0.57092198581560283</c:v>
                </c:pt>
                <c:pt idx="1">
                  <c:v>0.42058165548098436</c:v>
                </c:pt>
                <c:pt idx="2">
                  <c:v>0.28433734939759037</c:v>
                </c:pt>
              </c:numCache>
            </c:numRef>
          </c:val>
          <c:extLst>
            <c:ext xmlns:c16="http://schemas.microsoft.com/office/drawing/2014/chart" uri="{C3380CC4-5D6E-409C-BE32-E72D297353CC}">
              <c16:uniqueId val="{00000000-CFA3-4F53-9AFC-5A2FA6DD198C}"/>
            </c:ext>
          </c:extLst>
        </c:ser>
        <c:ser>
          <c:idx val="8"/>
          <c:order val="1"/>
          <c:tx>
            <c:strRef>
              <c:f>'School A-C Usual'!$F$11</c:f>
              <c:strCache>
                <c:ptCount val="1"/>
                <c:pt idx="0">
                  <c:v>Cycle</c:v>
                </c:pt>
              </c:strCache>
            </c:strRef>
          </c:tx>
          <c:spPr>
            <a:solidFill>
              <a:srgbClr val="97DCFF"/>
            </a:solidFill>
            <a:ln>
              <a:solidFill>
                <a:sysClr val="windowText" lastClr="000000"/>
              </a:solidFill>
            </a:ln>
            <a:effectLst/>
          </c:spPr>
          <c:invertIfNegative val="0"/>
          <c:cat>
            <c:strRef>
              <c:f>'School A-C Usual'!$G$2:$I$2</c:f>
              <c:strCache>
                <c:ptCount val="3"/>
                <c:pt idx="0">
                  <c:v>School A</c:v>
                </c:pt>
                <c:pt idx="1">
                  <c:v>School B</c:v>
                </c:pt>
                <c:pt idx="2">
                  <c:v>School C</c:v>
                </c:pt>
              </c:strCache>
            </c:strRef>
          </c:cat>
          <c:val>
            <c:numRef>
              <c:f>'School A-C Usual'!$G$11:$I$11</c:f>
              <c:numCache>
                <c:formatCode>0%</c:formatCode>
                <c:ptCount val="3"/>
                <c:pt idx="0">
                  <c:v>2.3049645390070921E-2</c:v>
                </c:pt>
                <c:pt idx="1">
                  <c:v>0.12527964205816555</c:v>
                </c:pt>
                <c:pt idx="2">
                  <c:v>5.3012048192771083E-2</c:v>
                </c:pt>
              </c:numCache>
            </c:numRef>
          </c:val>
          <c:extLst>
            <c:ext xmlns:c16="http://schemas.microsoft.com/office/drawing/2014/chart" uri="{C3380CC4-5D6E-409C-BE32-E72D297353CC}">
              <c16:uniqueId val="{00000001-CFA3-4F53-9AFC-5A2FA6DD198C}"/>
            </c:ext>
          </c:extLst>
        </c:ser>
        <c:ser>
          <c:idx val="7"/>
          <c:order val="2"/>
          <c:tx>
            <c:strRef>
              <c:f>'School A-C Usual'!$F$10</c:f>
              <c:strCache>
                <c:ptCount val="1"/>
                <c:pt idx="0">
                  <c:v>Scooting/Skating</c:v>
                </c:pt>
              </c:strCache>
            </c:strRef>
          </c:tx>
          <c:spPr>
            <a:solidFill>
              <a:srgbClr val="DCFBCD"/>
            </a:solidFill>
            <a:ln>
              <a:solidFill>
                <a:sysClr val="windowText" lastClr="000000"/>
              </a:solidFill>
            </a:ln>
            <a:effectLst/>
          </c:spPr>
          <c:invertIfNegative val="0"/>
          <c:cat>
            <c:strRef>
              <c:f>'School A-C Usual'!$G$2:$I$2</c:f>
              <c:strCache>
                <c:ptCount val="3"/>
                <c:pt idx="0">
                  <c:v>School A</c:v>
                </c:pt>
                <c:pt idx="1">
                  <c:v>School B</c:v>
                </c:pt>
                <c:pt idx="2">
                  <c:v>School C</c:v>
                </c:pt>
              </c:strCache>
            </c:strRef>
          </c:cat>
          <c:val>
            <c:numRef>
              <c:f>'School A-C Usual'!$G$10:$I$10</c:f>
              <c:numCache>
                <c:formatCode>0%</c:formatCode>
                <c:ptCount val="3"/>
                <c:pt idx="0">
                  <c:v>3.3687943262411348E-2</c:v>
                </c:pt>
                <c:pt idx="1">
                  <c:v>0.1029082774049217</c:v>
                </c:pt>
                <c:pt idx="2">
                  <c:v>6.2650602409638559E-2</c:v>
                </c:pt>
              </c:numCache>
            </c:numRef>
          </c:val>
          <c:extLst>
            <c:ext xmlns:c16="http://schemas.microsoft.com/office/drawing/2014/chart" uri="{C3380CC4-5D6E-409C-BE32-E72D297353CC}">
              <c16:uniqueId val="{00000002-CFA3-4F53-9AFC-5A2FA6DD198C}"/>
            </c:ext>
          </c:extLst>
        </c:ser>
        <c:ser>
          <c:idx val="6"/>
          <c:order val="3"/>
          <c:tx>
            <c:strRef>
              <c:f>'School A-C Usual'!$F$9</c:f>
              <c:strCache>
                <c:ptCount val="1"/>
                <c:pt idx="0">
                  <c:v>Public Bus </c:v>
                </c:pt>
              </c:strCache>
            </c:strRef>
          </c:tx>
          <c:spPr>
            <a:solidFill>
              <a:srgbClr val="FFC000"/>
            </a:solidFill>
            <a:ln>
              <a:solidFill>
                <a:sysClr val="windowText" lastClr="000000"/>
              </a:solidFill>
            </a:ln>
            <a:effectLst/>
          </c:spPr>
          <c:invertIfNegative val="0"/>
          <c:cat>
            <c:strRef>
              <c:f>'School A-C Usual'!$G$2:$I$2</c:f>
              <c:strCache>
                <c:ptCount val="3"/>
                <c:pt idx="0">
                  <c:v>School A</c:v>
                </c:pt>
                <c:pt idx="1">
                  <c:v>School B</c:v>
                </c:pt>
                <c:pt idx="2">
                  <c:v>School C</c:v>
                </c:pt>
              </c:strCache>
            </c:strRef>
          </c:cat>
          <c:val>
            <c:numRef>
              <c:f>'School A-C Usual'!$G$9:$I$9</c:f>
              <c:numCache>
                <c:formatCode>0%</c:formatCode>
                <c:ptCount val="3"/>
                <c:pt idx="0">
                  <c:v>7.0921985815602835E-3</c:v>
                </c:pt>
                <c:pt idx="1">
                  <c:v>1.3422818791946308E-2</c:v>
                </c:pt>
                <c:pt idx="2">
                  <c:v>1.4457831325301205E-2</c:v>
                </c:pt>
              </c:numCache>
            </c:numRef>
          </c:val>
          <c:extLst>
            <c:ext xmlns:c16="http://schemas.microsoft.com/office/drawing/2014/chart" uri="{C3380CC4-5D6E-409C-BE32-E72D297353CC}">
              <c16:uniqueId val="{00000003-CFA3-4F53-9AFC-5A2FA6DD198C}"/>
            </c:ext>
          </c:extLst>
        </c:ser>
        <c:ser>
          <c:idx val="5"/>
          <c:order val="4"/>
          <c:tx>
            <c:strRef>
              <c:f>'School A-C Usual'!$F$8</c:f>
              <c:strCache>
                <c:ptCount val="1"/>
                <c:pt idx="0">
                  <c:v>School Bus </c:v>
                </c:pt>
              </c:strCache>
            </c:strRef>
          </c:tx>
          <c:spPr>
            <a:solidFill>
              <a:srgbClr val="7030A0"/>
            </a:solidFill>
            <a:ln>
              <a:noFill/>
            </a:ln>
            <a:effectLst/>
          </c:spPr>
          <c:invertIfNegative val="0"/>
          <c:cat>
            <c:strRef>
              <c:f>'School A-C Usual'!$G$2:$I$2</c:f>
              <c:strCache>
                <c:ptCount val="3"/>
                <c:pt idx="0">
                  <c:v>School A</c:v>
                </c:pt>
                <c:pt idx="1">
                  <c:v>School B</c:v>
                </c:pt>
                <c:pt idx="2">
                  <c:v>School C</c:v>
                </c:pt>
              </c:strCache>
            </c:strRef>
          </c:cat>
          <c:val>
            <c:numRef>
              <c:f>'School A-C Usual'!$G$8:$I$8</c:f>
              <c:numCache>
                <c:formatCode>0%</c:formatCode>
                <c:ptCount val="3"/>
                <c:pt idx="0">
                  <c:v>0</c:v>
                </c:pt>
                <c:pt idx="1">
                  <c:v>4.4742729306487695E-3</c:v>
                </c:pt>
                <c:pt idx="2">
                  <c:v>0</c:v>
                </c:pt>
              </c:numCache>
            </c:numRef>
          </c:val>
          <c:extLst>
            <c:ext xmlns:c16="http://schemas.microsoft.com/office/drawing/2014/chart" uri="{C3380CC4-5D6E-409C-BE32-E72D297353CC}">
              <c16:uniqueId val="{00000004-CFA3-4F53-9AFC-5A2FA6DD198C}"/>
            </c:ext>
          </c:extLst>
        </c:ser>
        <c:ser>
          <c:idx val="4"/>
          <c:order val="5"/>
          <c:tx>
            <c:strRef>
              <c:f>'School A-C Usual'!$F$7</c:f>
              <c:strCache>
                <c:ptCount val="1"/>
                <c:pt idx="0">
                  <c:v>Park &amp; Stride / Walk </c:v>
                </c:pt>
              </c:strCache>
            </c:strRef>
          </c:tx>
          <c:spPr>
            <a:solidFill>
              <a:srgbClr val="D8850A"/>
            </a:solidFill>
            <a:ln>
              <a:solidFill>
                <a:sysClr val="windowText" lastClr="000000"/>
              </a:solidFill>
            </a:ln>
            <a:effectLst/>
          </c:spPr>
          <c:invertIfNegative val="0"/>
          <c:cat>
            <c:strRef>
              <c:f>'School A-C Usual'!$G$2:$I$2</c:f>
              <c:strCache>
                <c:ptCount val="3"/>
                <c:pt idx="0">
                  <c:v>School A</c:v>
                </c:pt>
                <c:pt idx="1">
                  <c:v>School B</c:v>
                </c:pt>
                <c:pt idx="2">
                  <c:v>School C</c:v>
                </c:pt>
              </c:strCache>
            </c:strRef>
          </c:cat>
          <c:val>
            <c:numRef>
              <c:f>'School A-C Usual'!$G$7:$I$7</c:f>
              <c:numCache>
                <c:formatCode>0%</c:formatCode>
                <c:ptCount val="3"/>
                <c:pt idx="0">
                  <c:v>4.0780141843971635E-2</c:v>
                </c:pt>
                <c:pt idx="1">
                  <c:v>0</c:v>
                </c:pt>
                <c:pt idx="2">
                  <c:v>0.13012048192771083</c:v>
                </c:pt>
              </c:numCache>
            </c:numRef>
          </c:val>
          <c:extLst>
            <c:ext xmlns:c16="http://schemas.microsoft.com/office/drawing/2014/chart" uri="{C3380CC4-5D6E-409C-BE32-E72D297353CC}">
              <c16:uniqueId val="{00000005-CFA3-4F53-9AFC-5A2FA6DD198C}"/>
            </c:ext>
          </c:extLst>
        </c:ser>
        <c:ser>
          <c:idx val="3"/>
          <c:order val="6"/>
          <c:tx>
            <c:strRef>
              <c:f>'School A-C Usual'!$F$6</c:f>
              <c:strCache>
                <c:ptCount val="1"/>
                <c:pt idx="0">
                  <c:v>Train/Tube/Metro </c:v>
                </c:pt>
              </c:strCache>
            </c:strRef>
          </c:tx>
          <c:spPr>
            <a:solidFill>
              <a:schemeClr val="accent4"/>
            </a:solidFill>
            <a:ln>
              <a:noFill/>
            </a:ln>
            <a:effectLst/>
          </c:spPr>
          <c:invertIfNegative val="0"/>
          <c:cat>
            <c:strRef>
              <c:f>'School A-C Usual'!$G$2:$I$2</c:f>
              <c:strCache>
                <c:ptCount val="3"/>
                <c:pt idx="0">
                  <c:v>School A</c:v>
                </c:pt>
                <c:pt idx="1">
                  <c:v>School B</c:v>
                </c:pt>
                <c:pt idx="2">
                  <c:v>School C</c:v>
                </c:pt>
              </c:strCache>
            </c:strRef>
          </c:cat>
          <c:val>
            <c:numRef>
              <c:f>'School A-C Usual'!$G$6:$I$6</c:f>
              <c:numCache>
                <c:formatCode>0%</c:formatCode>
                <c:ptCount val="3"/>
                <c:pt idx="0">
                  <c:v>0</c:v>
                </c:pt>
                <c:pt idx="1">
                  <c:v>0</c:v>
                </c:pt>
                <c:pt idx="2">
                  <c:v>0</c:v>
                </c:pt>
              </c:numCache>
            </c:numRef>
          </c:val>
          <c:extLst>
            <c:ext xmlns:c16="http://schemas.microsoft.com/office/drawing/2014/chart" uri="{C3380CC4-5D6E-409C-BE32-E72D297353CC}">
              <c16:uniqueId val="{00000006-CFA3-4F53-9AFC-5A2FA6DD198C}"/>
            </c:ext>
          </c:extLst>
        </c:ser>
        <c:ser>
          <c:idx val="2"/>
          <c:order val="7"/>
          <c:tx>
            <c:strRef>
              <c:f>'School A-C Usual'!$F$5</c:f>
              <c:strCache>
                <c:ptCount val="1"/>
                <c:pt idx="0">
                  <c:v>Car Share </c:v>
                </c:pt>
              </c:strCache>
            </c:strRef>
          </c:tx>
          <c:spPr>
            <a:solidFill>
              <a:srgbClr val="E5B3E5"/>
            </a:solidFill>
            <a:ln>
              <a:solidFill>
                <a:schemeClr val="tx1"/>
              </a:solidFill>
            </a:ln>
            <a:effectLst/>
          </c:spPr>
          <c:invertIfNegative val="0"/>
          <c:cat>
            <c:strRef>
              <c:f>'School A-C Usual'!$G$2:$I$2</c:f>
              <c:strCache>
                <c:ptCount val="3"/>
                <c:pt idx="0">
                  <c:v>School A</c:v>
                </c:pt>
                <c:pt idx="1">
                  <c:v>School B</c:v>
                </c:pt>
                <c:pt idx="2">
                  <c:v>School C</c:v>
                </c:pt>
              </c:strCache>
            </c:strRef>
          </c:cat>
          <c:val>
            <c:numRef>
              <c:f>'School A-C Usual'!$G$5:$I$5</c:f>
              <c:numCache>
                <c:formatCode>0%</c:formatCode>
                <c:ptCount val="3"/>
                <c:pt idx="0">
                  <c:v>1.0638297872340425E-2</c:v>
                </c:pt>
                <c:pt idx="1">
                  <c:v>0.22595078299776286</c:v>
                </c:pt>
                <c:pt idx="2">
                  <c:v>1.6867469879518072E-2</c:v>
                </c:pt>
              </c:numCache>
            </c:numRef>
          </c:val>
          <c:extLst>
            <c:ext xmlns:c16="http://schemas.microsoft.com/office/drawing/2014/chart" uri="{C3380CC4-5D6E-409C-BE32-E72D297353CC}">
              <c16:uniqueId val="{00000007-CFA3-4F53-9AFC-5A2FA6DD198C}"/>
            </c:ext>
          </c:extLst>
        </c:ser>
        <c:ser>
          <c:idx val="1"/>
          <c:order val="8"/>
          <c:tx>
            <c:strRef>
              <c:f>'School A-C Usual'!$F$4</c:f>
              <c:strCache>
                <c:ptCount val="1"/>
                <c:pt idx="0">
                  <c:v>Car </c:v>
                </c:pt>
              </c:strCache>
            </c:strRef>
          </c:tx>
          <c:spPr>
            <a:solidFill>
              <a:srgbClr val="A71171"/>
            </a:solidFill>
            <a:ln>
              <a:solidFill>
                <a:sysClr val="windowText" lastClr="000000"/>
              </a:solidFill>
            </a:ln>
            <a:effectLst/>
          </c:spPr>
          <c:invertIfNegative val="0"/>
          <c:cat>
            <c:strRef>
              <c:f>'School A-C Usual'!$G$2:$I$2</c:f>
              <c:strCache>
                <c:ptCount val="3"/>
                <c:pt idx="0">
                  <c:v>School A</c:v>
                </c:pt>
                <c:pt idx="1">
                  <c:v>School B</c:v>
                </c:pt>
                <c:pt idx="2">
                  <c:v>School C</c:v>
                </c:pt>
              </c:strCache>
            </c:strRef>
          </c:cat>
          <c:val>
            <c:numRef>
              <c:f>'School A-C Usual'!$G$4:$I$4</c:f>
              <c:numCache>
                <c:formatCode>0%</c:formatCode>
                <c:ptCount val="3"/>
                <c:pt idx="0">
                  <c:v>0.31028368794326239</c:v>
                </c:pt>
                <c:pt idx="1">
                  <c:v>0.10738255033557047</c:v>
                </c:pt>
                <c:pt idx="2">
                  <c:v>0.43855421686746987</c:v>
                </c:pt>
              </c:numCache>
            </c:numRef>
          </c:val>
          <c:extLst>
            <c:ext xmlns:c16="http://schemas.microsoft.com/office/drawing/2014/chart" uri="{C3380CC4-5D6E-409C-BE32-E72D297353CC}">
              <c16:uniqueId val="{00000008-CFA3-4F53-9AFC-5A2FA6DD198C}"/>
            </c:ext>
          </c:extLst>
        </c:ser>
        <c:ser>
          <c:idx val="0"/>
          <c:order val="9"/>
          <c:tx>
            <c:strRef>
              <c:f>'School A-C Usual'!$F$3</c:f>
              <c:strCache>
                <c:ptCount val="1"/>
                <c:pt idx="0">
                  <c:v>Motorbike/Scooter </c:v>
                </c:pt>
              </c:strCache>
            </c:strRef>
          </c:tx>
          <c:spPr>
            <a:solidFill>
              <a:schemeClr val="bg1">
                <a:lumMod val="65000"/>
              </a:schemeClr>
            </a:solidFill>
            <a:ln>
              <a:noFill/>
            </a:ln>
            <a:effectLst/>
          </c:spPr>
          <c:invertIfNegative val="0"/>
          <c:cat>
            <c:strRef>
              <c:f>'School A-C Usual'!$G$2:$I$2</c:f>
              <c:strCache>
                <c:ptCount val="3"/>
                <c:pt idx="0">
                  <c:v>School A</c:v>
                </c:pt>
                <c:pt idx="1">
                  <c:v>School B</c:v>
                </c:pt>
                <c:pt idx="2">
                  <c:v>School C</c:v>
                </c:pt>
              </c:strCache>
            </c:strRef>
          </c:cat>
          <c:val>
            <c:numRef>
              <c:f>'School A-C Usual'!$G$3:$I$3</c:f>
              <c:numCache>
                <c:formatCode>0%</c:formatCode>
                <c:ptCount val="3"/>
                <c:pt idx="0">
                  <c:v>3.5460992907801418E-3</c:v>
                </c:pt>
                <c:pt idx="1">
                  <c:v>0</c:v>
                </c:pt>
                <c:pt idx="2">
                  <c:v>0</c:v>
                </c:pt>
              </c:numCache>
            </c:numRef>
          </c:val>
          <c:extLst>
            <c:ext xmlns:c16="http://schemas.microsoft.com/office/drawing/2014/chart" uri="{C3380CC4-5D6E-409C-BE32-E72D297353CC}">
              <c16:uniqueId val="{00000009-CFA3-4F53-9AFC-5A2FA6DD198C}"/>
            </c:ext>
          </c:extLst>
        </c:ser>
        <c:dLbls>
          <c:showLegendKey val="0"/>
          <c:showVal val="0"/>
          <c:showCatName val="0"/>
          <c:showSerName val="0"/>
          <c:showPercent val="0"/>
          <c:showBubbleSize val="0"/>
        </c:dLbls>
        <c:gapWidth val="219"/>
        <c:overlap val="-27"/>
        <c:axId val="2135420511"/>
        <c:axId val="2135419551"/>
      </c:barChart>
      <c:catAx>
        <c:axId val="2135420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35419551"/>
        <c:crosses val="autoZero"/>
        <c:auto val="1"/>
        <c:lblAlgn val="ctr"/>
        <c:lblOffset val="100"/>
        <c:noMultiLvlLbl val="0"/>
      </c:catAx>
      <c:valAx>
        <c:axId val="21354195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35420511"/>
        <c:crosses val="autoZero"/>
        <c:crossBetween val="between"/>
        <c:majorUnit val="5.000000000000001E-2"/>
      </c:valAx>
      <c:spPr>
        <a:noFill/>
        <a:ln>
          <a:noFill/>
        </a:ln>
        <a:effectLst/>
      </c:spPr>
    </c:plotArea>
    <c:legend>
      <c:legendPos val="b"/>
      <c:layout>
        <c:manualLayout>
          <c:xMode val="edge"/>
          <c:yMode val="edge"/>
          <c:x val="2.6746703748226911E-2"/>
          <c:y val="0.8809403768911227"/>
          <c:w val="0.96616825234536796"/>
          <c:h val="0.106042686545215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Comparison of Preferred Travel Mode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9"/>
          <c:order val="0"/>
          <c:tx>
            <c:strRef>
              <c:f>'School A-C Preferred'!$F$12</c:f>
              <c:strCache>
                <c:ptCount val="1"/>
                <c:pt idx="0">
                  <c:v>Walk</c:v>
                </c:pt>
              </c:strCache>
            </c:strRef>
          </c:tx>
          <c:spPr>
            <a:solidFill>
              <a:srgbClr val="4C9C44"/>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Preferred'!$G$12:$I$12</c:f>
              <c:numCache>
                <c:formatCode>0%</c:formatCode>
                <c:ptCount val="3"/>
                <c:pt idx="0">
                  <c:v>0.38967971530249113</c:v>
                </c:pt>
                <c:pt idx="1">
                  <c:v>0.22274881516587677</c:v>
                </c:pt>
                <c:pt idx="2">
                  <c:v>0.19902912621359223</c:v>
                </c:pt>
              </c:numCache>
            </c:numRef>
          </c:val>
          <c:extLst>
            <c:ext xmlns:c16="http://schemas.microsoft.com/office/drawing/2014/chart" uri="{C3380CC4-5D6E-409C-BE32-E72D297353CC}">
              <c16:uniqueId val="{00000000-F720-4C6A-B594-727D968F63F8}"/>
            </c:ext>
          </c:extLst>
        </c:ser>
        <c:ser>
          <c:idx val="8"/>
          <c:order val="1"/>
          <c:tx>
            <c:strRef>
              <c:f>'School A-C Preferred'!$F$11</c:f>
              <c:strCache>
                <c:ptCount val="1"/>
                <c:pt idx="0">
                  <c:v>Cycle</c:v>
                </c:pt>
              </c:strCache>
            </c:strRef>
          </c:tx>
          <c:spPr>
            <a:solidFill>
              <a:srgbClr val="97DCFF"/>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Preferred'!$G$11:$I$11</c:f>
              <c:numCache>
                <c:formatCode>0%</c:formatCode>
                <c:ptCount val="3"/>
                <c:pt idx="0">
                  <c:v>0.19395017793594305</c:v>
                </c:pt>
                <c:pt idx="1">
                  <c:v>0.45971563981042651</c:v>
                </c:pt>
                <c:pt idx="2">
                  <c:v>0.25485436893203883</c:v>
                </c:pt>
              </c:numCache>
            </c:numRef>
          </c:val>
          <c:extLst>
            <c:ext xmlns:c16="http://schemas.microsoft.com/office/drawing/2014/chart" uri="{C3380CC4-5D6E-409C-BE32-E72D297353CC}">
              <c16:uniqueId val="{00000001-F720-4C6A-B594-727D968F63F8}"/>
            </c:ext>
          </c:extLst>
        </c:ser>
        <c:ser>
          <c:idx val="7"/>
          <c:order val="2"/>
          <c:tx>
            <c:strRef>
              <c:f>'School A-C Preferred'!$F$10</c:f>
              <c:strCache>
                <c:ptCount val="1"/>
                <c:pt idx="0">
                  <c:v>Scooting/Skating</c:v>
                </c:pt>
              </c:strCache>
            </c:strRef>
          </c:tx>
          <c:spPr>
            <a:solidFill>
              <a:srgbClr val="DCFBCD"/>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Preferred'!$G$10:$I$10</c:f>
              <c:numCache>
                <c:formatCode>0%</c:formatCode>
                <c:ptCount val="3"/>
                <c:pt idx="0">
                  <c:v>0.10854092526690391</c:v>
                </c:pt>
                <c:pt idx="1">
                  <c:v>0.15165876777251186</c:v>
                </c:pt>
                <c:pt idx="2">
                  <c:v>0.14805825242718446</c:v>
                </c:pt>
              </c:numCache>
            </c:numRef>
          </c:val>
          <c:extLst>
            <c:ext xmlns:c16="http://schemas.microsoft.com/office/drawing/2014/chart" uri="{C3380CC4-5D6E-409C-BE32-E72D297353CC}">
              <c16:uniqueId val="{00000002-F720-4C6A-B594-727D968F63F8}"/>
            </c:ext>
          </c:extLst>
        </c:ser>
        <c:ser>
          <c:idx val="6"/>
          <c:order val="3"/>
          <c:tx>
            <c:strRef>
              <c:f>'School A-C Preferred'!$F$9</c:f>
              <c:strCache>
                <c:ptCount val="1"/>
                <c:pt idx="0">
                  <c:v>Public Bus </c:v>
                </c:pt>
              </c:strCache>
            </c:strRef>
          </c:tx>
          <c:spPr>
            <a:solidFill>
              <a:srgbClr val="FFC000"/>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Preferred'!$G$9:$I$9</c:f>
              <c:numCache>
                <c:formatCode>0%</c:formatCode>
                <c:ptCount val="3"/>
                <c:pt idx="0">
                  <c:v>1.9572953736654804E-2</c:v>
                </c:pt>
                <c:pt idx="1">
                  <c:v>1.1848341232227487E-2</c:v>
                </c:pt>
                <c:pt idx="2">
                  <c:v>2.6699029126213591E-2</c:v>
                </c:pt>
              </c:numCache>
            </c:numRef>
          </c:val>
          <c:extLst>
            <c:ext xmlns:c16="http://schemas.microsoft.com/office/drawing/2014/chart" uri="{C3380CC4-5D6E-409C-BE32-E72D297353CC}">
              <c16:uniqueId val="{00000003-F720-4C6A-B594-727D968F63F8}"/>
            </c:ext>
          </c:extLst>
        </c:ser>
        <c:ser>
          <c:idx val="5"/>
          <c:order val="4"/>
          <c:tx>
            <c:strRef>
              <c:f>'School A-C Preferred'!$F$8</c:f>
              <c:strCache>
                <c:ptCount val="1"/>
                <c:pt idx="0">
                  <c:v>School Bus </c:v>
                </c:pt>
              </c:strCache>
            </c:strRef>
          </c:tx>
          <c:spPr>
            <a:solidFill>
              <a:srgbClr val="7030A0"/>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Preferred'!$G$8:$I$8</c:f>
              <c:numCache>
                <c:formatCode>0%</c:formatCode>
                <c:ptCount val="3"/>
                <c:pt idx="0">
                  <c:v>3.2028469750889681E-2</c:v>
                </c:pt>
                <c:pt idx="1">
                  <c:v>1.6587677725118485E-2</c:v>
                </c:pt>
                <c:pt idx="2">
                  <c:v>2.4271844660194173E-3</c:v>
                </c:pt>
              </c:numCache>
            </c:numRef>
          </c:val>
          <c:extLst>
            <c:ext xmlns:c16="http://schemas.microsoft.com/office/drawing/2014/chart" uri="{C3380CC4-5D6E-409C-BE32-E72D297353CC}">
              <c16:uniqueId val="{00000004-F720-4C6A-B594-727D968F63F8}"/>
            </c:ext>
          </c:extLst>
        </c:ser>
        <c:ser>
          <c:idx val="4"/>
          <c:order val="5"/>
          <c:tx>
            <c:strRef>
              <c:f>'School A-C Preferred'!$F$7</c:f>
              <c:strCache>
                <c:ptCount val="1"/>
                <c:pt idx="0">
                  <c:v>Park &amp; Stride / Walk </c:v>
                </c:pt>
              </c:strCache>
            </c:strRef>
          </c:tx>
          <c:spPr>
            <a:solidFill>
              <a:srgbClr val="D8850A"/>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Preferred'!$G$7:$I$7</c:f>
              <c:numCache>
                <c:formatCode>0%</c:formatCode>
                <c:ptCount val="3"/>
                <c:pt idx="0">
                  <c:v>1.601423487544484E-2</c:v>
                </c:pt>
                <c:pt idx="1">
                  <c:v>0</c:v>
                </c:pt>
                <c:pt idx="2">
                  <c:v>4.6116504854368932E-2</c:v>
                </c:pt>
              </c:numCache>
            </c:numRef>
          </c:val>
          <c:extLst>
            <c:ext xmlns:c16="http://schemas.microsoft.com/office/drawing/2014/chart" uri="{C3380CC4-5D6E-409C-BE32-E72D297353CC}">
              <c16:uniqueId val="{00000005-F720-4C6A-B594-727D968F63F8}"/>
            </c:ext>
          </c:extLst>
        </c:ser>
        <c:ser>
          <c:idx val="3"/>
          <c:order val="6"/>
          <c:tx>
            <c:strRef>
              <c:f>'School A-C Preferred'!$F$6</c:f>
              <c:strCache>
                <c:ptCount val="1"/>
                <c:pt idx="0">
                  <c:v>Train/Tube/Metro </c:v>
                </c:pt>
              </c:strCache>
            </c:strRef>
          </c:tx>
          <c:spPr>
            <a:solidFill>
              <a:srgbClr val="F446DF"/>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Preferred'!$G$6:$I$6</c:f>
              <c:numCache>
                <c:formatCode>0%</c:formatCode>
                <c:ptCount val="3"/>
                <c:pt idx="0">
                  <c:v>1.7793594306049824E-2</c:v>
                </c:pt>
                <c:pt idx="1">
                  <c:v>1.4218009478672985E-2</c:v>
                </c:pt>
                <c:pt idx="2">
                  <c:v>1.2135922330097087E-2</c:v>
                </c:pt>
              </c:numCache>
            </c:numRef>
          </c:val>
          <c:extLst>
            <c:ext xmlns:c16="http://schemas.microsoft.com/office/drawing/2014/chart" uri="{C3380CC4-5D6E-409C-BE32-E72D297353CC}">
              <c16:uniqueId val="{00000006-F720-4C6A-B594-727D968F63F8}"/>
            </c:ext>
          </c:extLst>
        </c:ser>
        <c:ser>
          <c:idx val="2"/>
          <c:order val="7"/>
          <c:tx>
            <c:strRef>
              <c:f>'School A-C Preferred'!$F$5</c:f>
              <c:strCache>
                <c:ptCount val="1"/>
                <c:pt idx="0">
                  <c:v>Car Share </c:v>
                </c:pt>
              </c:strCache>
            </c:strRef>
          </c:tx>
          <c:spPr>
            <a:solidFill>
              <a:srgbClr val="E5B3E5"/>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Preferred'!$G$5:$I$5</c:f>
              <c:numCache>
                <c:formatCode>0%</c:formatCode>
                <c:ptCount val="3"/>
                <c:pt idx="0">
                  <c:v>3.7366548042704624E-2</c:v>
                </c:pt>
                <c:pt idx="1">
                  <c:v>0.10426540284360189</c:v>
                </c:pt>
                <c:pt idx="2">
                  <c:v>7.0388349514563103E-2</c:v>
                </c:pt>
              </c:numCache>
            </c:numRef>
          </c:val>
          <c:extLst>
            <c:ext xmlns:c16="http://schemas.microsoft.com/office/drawing/2014/chart" uri="{C3380CC4-5D6E-409C-BE32-E72D297353CC}">
              <c16:uniqueId val="{00000007-F720-4C6A-B594-727D968F63F8}"/>
            </c:ext>
          </c:extLst>
        </c:ser>
        <c:ser>
          <c:idx val="1"/>
          <c:order val="8"/>
          <c:tx>
            <c:strRef>
              <c:f>'School A-C Preferred'!$F$4</c:f>
              <c:strCache>
                <c:ptCount val="1"/>
                <c:pt idx="0">
                  <c:v>Car </c:v>
                </c:pt>
              </c:strCache>
            </c:strRef>
          </c:tx>
          <c:spPr>
            <a:solidFill>
              <a:srgbClr val="A71171"/>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Preferred'!$G$4:$I$4</c:f>
              <c:numCache>
                <c:formatCode>0%</c:formatCode>
                <c:ptCount val="3"/>
                <c:pt idx="0">
                  <c:v>0.14234875444839859</c:v>
                </c:pt>
                <c:pt idx="1">
                  <c:v>1.8957345971563982E-2</c:v>
                </c:pt>
                <c:pt idx="2">
                  <c:v>0.21844660194174756</c:v>
                </c:pt>
              </c:numCache>
            </c:numRef>
          </c:val>
          <c:extLst>
            <c:ext xmlns:c16="http://schemas.microsoft.com/office/drawing/2014/chart" uri="{C3380CC4-5D6E-409C-BE32-E72D297353CC}">
              <c16:uniqueId val="{00000008-F720-4C6A-B594-727D968F63F8}"/>
            </c:ext>
          </c:extLst>
        </c:ser>
        <c:ser>
          <c:idx val="0"/>
          <c:order val="9"/>
          <c:tx>
            <c:strRef>
              <c:f>'School A-C Preferred'!$F$3</c:f>
              <c:strCache>
                <c:ptCount val="1"/>
                <c:pt idx="0">
                  <c:v>Motorbike/Scooter </c:v>
                </c:pt>
              </c:strCache>
            </c:strRef>
          </c:tx>
          <c:spPr>
            <a:solidFill>
              <a:schemeClr val="bg1">
                <a:lumMod val="65000"/>
              </a:schemeClr>
            </a:solidFill>
            <a:ln>
              <a:solidFill>
                <a:sysClr val="windowText" lastClr="000000"/>
              </a:solidFill>
            </a:ln>
            <a:effectLst/>
          </c:spPr>
          <c:invertIfNegative val="0"/>
          <c:cat>
            <c:strRef>
              <c:f>'School A-C Preferred'!$G$2:$I$2</c:f>
              <c:strCache>
                <c:ptCount val="3"/>
                <c:pt idx="0">
                  <c:v>School A</c:v>
                </c:pt>
                <c:pt idx="1">
                  <c:v>School B</c:v>
                </c:pt>
                <c:pt idx="2">
                  <c:v>School C</c:v>
                </c:pt>
              </c:strCache>
            </c:strRef>
          </c:cat>
          <c:val>
            <c:numRef>
              <c:f>'School A-C Preferred'!$G$3:$I$3</c:f>
              <c:numCache>
                <c:formatCode>0%</c:formatCode>
                <c:ptCount val="3"/>
                <c:pt idx="0">
                  <c:v>4.2704626334519574E-2</c:v>
                </c:pt>
                <c:pt idx="1">
                  <c:v>0</c:v>
                </c:pt>
                <c:pt idx="2">
                  <c:v>2.1844660194174758E-2</c:v>
                </c:pt>
              </c:numCache>
            </c:numRef>
          </c:val>
          <c:extLst>
            <c:ext xmlns:c16="http://schemas.microsoft.com/office/drawing/2014/chart" uri="{C3380CC4-5D6E-409C-BE32-E72D297353CC}">
              <c16:uniqueId val="{00000009-F720-4C6A-B594-727D968F63F8}"/>
            </c:ext>
          </c:extLst>
        </c:ser>
        <c:dLbls>
          <c:showLegendKey val="0"/>
          <c:showVal val="0"/>
          <c:showCatName val="0"/>
          <c:showSerName val="0"/>
          <c:showPercent val="0"/>
          <c:showBubbleSize val="0"/>
        </c:dLbls>
        <c:gapWidth val="219"/>
        <c:overlap val="-27"/>
        <c:axId val="1994650015"/>
        <c:axId val="98892735"/>
      </c:barChart>
      <c:catAx>
        <c:axId val="199465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8892735"/>
        <c:crosses val="autoZero"/>
        <c:auto val="1"/>
        <c:lblAlgn val="ctr"/>
        <c:lblOffset val="100"/>
        <c:noMultiLvlLbl val="0"/>
      </c:catAx>
      <c:valAx>
        <c:axId val="98892735"/>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94650015"/>
        <c:crosses val="autoZero"/>
        <c:crossBetween val="between"/>
        <c:majorUnit val="5.000000000000001E-2"/>
      </c:valAx>
      <c:spPr>
        <a:noFill/>
        <a:ln>
          <a:noFill/>
        </a:ln>
        <a:effectLst/>
      </c:spPr>
    </c:plotArea>
    <c:legend>
      <c:legendPos val="b"/>
      <c:layout>
        <c:manualLayout>
          <c:xMode val="edge"/>
          <c:yMode val="edge"/>
          <c:x val="0"/>
          <c:y val="0.83449705128939189"/>
          <c:w val="0.98883610078321416"/>
          <c:h val="0.146533615798815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School A - Distribution of School Travel Modes by Age Group</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5.052153118017972E-2"/>
          <c:y val="8.5030499848845378E-2"/>
          <c:w val="0.93456140852926972"/>
          <c:h val="0.70672832785900142"/>
        </c:manualLayout>
      </c:layout>
      <c:barChart>
        <c:barDir val="col"/>
        <c:grouping val="percentStacked"/>
        <c:varyColors val="0"/>
        <c:ser>
          <c:idx val="0"/>
          <c:order val="0"/>
          <c:tx>
            <c:strRef>
              <c:f>'Age Group Breakdown'!$A$31</c:f>
              <c:strCache>
                <c:ptCount val="1"/>
                <c:pt idx="0">
                  <c:v>Walk</c:v>
                </c:pt>
              </c:strCache>
            </c:strRef>
          </c:tx>
          <c:spPr>
            <a:solidFill>
              <a:srgbClr val="4C9C44"/>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Breakdown'!$B$31:$Q$31</c:f>
              <c:numCache>
                <c:formatCode>0%</c:formatCode>
                <c:ptCount val="16"/>
                <c:pt idx="0">
                  <c:v>0.35483870967741937</c:v>
                </c:pt>
                <c:pt idx="1">
                  <c:v>0.41935483870967744</c:v>
                </c:pt>
                <c:pt idx="2">
                  <c:v>0.54716981132075471</c:v>
                </c:pt>
                <c:pt idx="3">
                  <c:v>0.37735849056603776</c:v>
                </c:pt>
                <c:pt idx="4">
                  <c:v>0.60240963855421692</c:v>
                </c:pt>
                <c:pt idx="5">
                  <c:v>0.42168674698795183</c:v>
                </c:pt>
                <c:pt idx="6">
                  <c:v>0.57692307692307687</c:v>
                </c:pt>
                <c:pt idx="7">
                  <c:v>0.46153846153846156</c:v>
                </c:pt>
                <c:pt idx="8">
                  <c:v>0.67500000000000004</c:v>
                </c:pt>
                <c:pt idx="9">
                  <c:v>0.42499999999999999</c:v>
                </c:pt>
                <c:pt idx="10">
                  <c:v>0.50980392156862742</c:v>
                </c:pt>
                <c:pt idx="11">
                  <c:v>0.17647058823529413</c:v>
                </c:pt>
                <c:pt idx="12">
                  <c:v>0.62385321100917435</c:v>
                </c:pt>
                <c:pt idx="13">
                  <c:v>0.42056074766355139</c:v>
                </c:pt>
                <c:pt idx="14">
                  <c:v>0.55555555555555558</c:v>
                </c:pt>
                <c:pt idx="15">
                  <c:v>0.35353535353535354</c:v>
                </c:pt>
              </c:numCache>
            </c:numRef>
          </c:val>
          <c:extLst>
            <c:ext xmlns:c16="http://schemas.microsoft.com/office/drawing/2014/chart" uri="{C3380CC4-5D6E-409C-BE32-E72D297353CC}">
              <c16:uniqueId val="{00000000-D1A1-42A8-B66C-A460C67A4277}"/>
            </c:ext>
          </c:extLst>
        </c:ser>
        <c:ser>
          <c:idx val="1"/>
          <c:order val="1"/>
          <c:tx>
            <c:strRef>
              <c:f>'Age Group Breakdown'!$A$32</c:f>
              <c:strCache>
                <c:ptCount val="1"/>
                <c:pt idx="0">
                  <c:v>Cycle</c:v>
                </c:pt>
              </c:strCache>
            </c:strRef>
          </c:tx>
          <c:spPr>
            <a:solidFill>
              <a:srgbClr val="97DCFF"/>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Breakdown'!$B$32:$Q$32</c:f>
              <c:numCache>
                <c:formatCode>0%</c:formatCode>
                <c:ptCount val="16"/>
                <c:pt idx="0">
                  <c:v>6.4516129032258063E-2</c:v>
                </c:pt>
                <c:pt idx="1">
                  <c:v>0.12903225806451613</c:v>
                </c:pt>
                <c:pt idx="2">
                  <c:v>1.8867924528301886E-2</c:v>
                </c:pt>
                <c:pt idx="3">
                  <c:v>0.32075471698113206</c:v>
                </c:pt>
                <c:pt idx="4">
                  <c:v>2.4096385542168676E-2</c:v>
                </c:pt>
                <c:pt idx="5">
                  <c:v>0.13253012048192772</c:v>
                </c:pt>
                <c:pt idx="6">
                  <c:v>0</c:v>
                </c:pt>
                <c:pt idx="7">
                  <c:v>0.19230769230769232</c:v>
                </c:pt>
                <c:pt idx="8">
                  <c:v>2.5000000000000001E-2</c:v>
                </c:pt>
                <c:pt idx="9">
                  <c:v>6.25E-2</c:v>
                </c:pt>
                <c:pt idx="10">
                  <c:v>3.9215686274509803E-2</c:v>
                </c:pt>
                <c:pt idx="11">
                  <c:v>0.15686274509803921</c:v>
                </c:pt>
                <c:pt idx="12">
                  <c:v>9.1743119266055051E-3</c:v>
                </c:pt>
                <c:pt idx="13">
                  <c:v>0.24299065420560748</c:v>
                </c:pt>
                <c:pt idx="14">
                  <c:v>2.0202020202020204E-2</c:v>
                </c:pt>
                <c:pt idx="15">
                  <c:v>0.27272727272727271</c:v>
                </c:pt>
              </c:numCache>
            </c:numRef>
          </c:val>
          <c:extLst>
            <c:ext xmlns:c16="http://schemas.microsoft.com/office/drawing/2014/chart" uri="{C3380CC4-5D6E-409C-BE32-E72D297353CC}">
              <c16:uniqueId val="{00000001-D1A1-42A8-B66C-A460C67A4277}"/>
            </c:ext>
          </c:extLst>
        </c:ser>
        <c:ser>
          <c:idx val="2"/>
          <c:order val="2"/>
          <c:tx>
            <c:strRef>
              <c:f>'Age Group Breakdown'!$A$33</c:f>
              <c:strCache>
                <c:ptCount val="1"/>
                <c:pt idx="0">
                  <c:v>Scooting/Skating</c:v>
                </c:pt>
              </c:strCache>
            </c:strRef>
          </c:tx>
          <c:spPr>
            <a:solidFill>
              <a:srgbClr val="DCFBCD"/>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Breakdown'!$B$33:$Q$33</c:f>
              <c:numCache>
                <c:formatCode>0%</c:formatCode>
                <c:ptCount val="16"/>
                <c:pt idx="0">
                  <c:v>0</c:v>
                </c:pt>
                <c:pt idx="1">
                  <c:v>9.6774193548387094E-2</c:v>
                </c:pt>
                <c:pt idx="2">
                  <c:v>9.4339622641509441E-2</c:v>
                </c:pt>
                <c:pt idx="3">
                  <c:v>0.20754716981132076</c:v>
                </c:pt>
                <c:pt idx="4">
                  <c:v>3.614457831325301E-2</c:v>
                </c:pt>
                <c:pt idx="5">
                  <c:v>0.12048192771084337</c:v>
                </c:pt>
                <c:pt idx="6">
                  <c:v>0</c:v>
                </c:pt>
                <c:pt idx="7">
                  <c:v>0</c:v>
                </c:pt>
                <c:pt idx="8">
                  <c:v>2.5000000000000001E-2</c:v>
                </c:pt>
                <c:pt idx="9">
                  <c:v>0.125</c:v>
                </c:pt>
                <c:pt idx="10">
                  <c:v>1.9607843137254902E-2</c:v>
                </c:pt>
                <c:pt idx="11">
                  <c:v>0.19607843137254902</c:v>
                </c:pt>
                <c:pt idx="12">
                  <c:v>9.1743119266055051E-3</c:v>
                </c:pt>
                <c:pt idx="13">
                  <c:v>6.5420560747663545E-2</c:v>
                </c:pt>
                <c:pt idx="14">
                  <c:v>4.0404040404040407E-2</c:v>
                </c:pt>
                <c:pt idx="15">
                  <c:v>9.0909090909090912E-2</c:v>
                </c:pt>
              </c:numCache>
            </c:numRef>
          </c:val>
          <c:extLst>
            <c:ext xmlns:c16="http://schemas.microsoft.com/office/drawing/2014/chart" uri="{C3380CC4-5D6E-409C-BE32-E72D297353CC}">
              <c16:uniqueId val="{00000002-D1A1-42A8-B66C-A460C67A4277}"/>
            </c:ext>
          </c:extLst>
        </c:ser>
        <c:ser>
          <c:idx val="3"/>
          <c:order val="3"/>
          <c:tx>
            <c:strRef>
              <c:f>'Age Group Breakdown'!$A$34</c:f>
              <c:strCache>
                <c:ptCount val="1"/>
                <c:pt idx="0">
                  <c:v>Public Bus </c:v>
                </c:pt>
              </c:strCache>
            </c:strRef>
          </c:tx>
          <c:spPr>
            <a:solidFill>
              <a:schemeClr val="accent4"/>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Breakdown'!$B$34:$Q$34</c:f>
              <c:numCache>
                <c:formatCode>0%</c:formatCode>
                <c:ptCount val="16"/>
                <c:pt idx="0">
                  <c:v>6.4516129032258063E-2</c:v>
                </c:pt>
                <c:pt idx="1">
                  <c:v>3.2258064516129031E-2</c:v>
                </c:pt>
                <c:pt idx="2">
                  <c:v>0</c:v>
                </c:pt>
                <c:pt idx="3">
                  <c:v>0</c:v>
                </c:pt>
                <c:pt idx="4">
                  <c:v>1.2048192771084338E-2</c:v>
                </c:pt>
                <c:pt idx="5">
                  <c:v>0</c:v>
                </c:pt>
                <c:pt idx="6">
                  <c:v>0</c:v>
                </c:pt>
                <c:pt idx="7">
                  <c:v>3.8461538461538464E-2</c:v>
                </c:pt>
                <c:pt idx="8">
                  <c:v>1.2500000000000001E-2</c:v>
                </c:pt>
                <c:pt idx="9">
                  <c:v>0.05</c:v>
                </c:pt>
                <c:pt idx="10">
                  <c:v>0</c:v>
                </c:pt>
                <c:pt idx="11">
                  <c:v>0</c:v>
                </c:pt>
                <c:pt idx="12">
                  <c:v>0</c:v>
                </c:pt>
                <c:pt idx="13">
                  <c:v>2.8037383177570093E-2</c:v>
                </c:pt>
                <c:pt idx="14">
                  <c:v>0</c:v>
                </c:pt>
                <c:pt idx="15">
                  <c:v>2.0202020202020204E-2</c:v>
                </c:pt>
              </c:numCache>
            </c:numRef>
          </c:val>
          <c:extLst>
            <c:ext xmlns:c16="http://schemas.microsoft.com/office/drawing/2014/chart" uri="{C3380CC4-5D6E-409C-BE32-E72D297353CC}">
              <c16:uniqueId val="{00000003-D1A1-42A8-B66C-A460C67A4277}"/>
            </c:ext>
          </c:extLst>
        </c:ser>
        <c:ser>
          <c:idx val="4"/>
          <c:order val="4"/>
          <c:tx>
            <c:strRef>
              <c:f>'Age Group Breakdown'!$A$35</c:f>
              <c:strCache>
                <c:ptCount val="1"/>
                <c:pt idx="0">
                  <c:v>School Bus </c:v>
                </c:pt>
              </c:strCache>
            </c:strRef>
          </c:tx>
          <c:spPr>
            <a:solidFill>
              <a:srgbClr val="7030A0"/>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Breakdown'!$B$35:$Q$35</c:f>
              <c:numCache>
                <c:formatCode>0%</c:formatCode>
                <c:ptCount val="16"/>
                <c:pt idx="0">
                  <c:v>0</c:v>
                </c:pt>
                <c:pt idx="1">
                  <c:v>0</c:v>
                </c:pt>
                <c:pt idx="2">
                  <c:v>0</c:v>
                </c:pt>
                <c:pt idx="3">
                  <c:v>0</c:v>
                </c:pt>
                <c:pt idx="4">
                  <c:v>0</c:v>
                </c:pt>
                <c:pt idx="5">
                  <c:v>0</c:v>
                </c:pt>
                <c:pt idx="6">
                  <c:v>0</c:v>
                </c:pt>
                <c:pt idx="7">
                  <c:v>7.6923076923076927E-2</c:v>
                </c:pt>
                <c:pt idx="8">
                  <c:v>0</c:v>
                </c:pt>
                <c:pt idx="9">
                  <c:v>0.05</c:v>
                </c:pt>
                <c:pt idx="10">
                  <c:v>0</c:v>
                </c:pt>
                <c:pt idx="11">
                  <c:v>0</c:v>
                </c:pt>
                <c:pt idx="12">
                  <c:v>0</c:v>
                </c:pt>
                <c:pt idx="13">
                  <c:v>0.11214953271028037</c:v>
                </c:pt>
                <c:pt idx="14">
                  <c:v>0</c:v>
                </c:pt>
                <c:pt idx="15">
                  <c:v>0</c:v>
                </c:pt>
              </c:numCache>
            </c:numRef>
          </c:val>
          <c:extLst>
            <c:ext xmlns:c16="http://schemas.microsoft.com/office/drawing/2014/chart" uri="{C3380CC4-5D6E-409C-BE32-E72D297353CC}">
              <c16:uniqueId val="{00000004-D1A1-42A8-B66C-A460C67A4277}"/>
            </c:ext>
          </c:extLst>
        </c:ser>
        <c:ser>
          <c:idx val="5"/>
          <c:order val="5"/>
          <c:tx>
            <c:strRef>
              <c:f>'Age Group Breakdown'!$A$36</c:f>
              <c:strCache>
                <c:ptCount val="1"/>
                <c:pt idx="0">
                  <c:v>Park &amp; Stride / Walk </c:v>
                </c:pt>
              </c:strCache>
            </c:strRef>
          </c:tx>
          <c:spPr>
            <a:solidFill>
              <a:srgbClr val="D8850A"/>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Breakdown'!$B$36:$Q$36</c:f>
              <c:numCache>
                <c:formatCode>0%</c:formatCode>
                <c:ptCount val="16"/>
                <c:pt idx="0">
                  <c:v>0.29032258064516131</c:v>
                </c:pt>
                <c:pt idx="1">
                  <c:v>0.19354838709677419</c:v>
                </c:pt>
                <c:pt idx="2">
                  <c:v>0</c:v>
                </c:pt>
                <c:pt idx="3">
                  <c:v>0</c:v>
                </c:pt>
                <c:pt idx="4">
                  <c:v>0</c:v>
                </c:pt>
                <c:pt idx="5">
                  <c:v>0</c:v>
                </c:pt>
                <c:pt idx="6">
                  <c:v>0</c:v>
                </c:pt>
                <c:pt idx="7">
                  <c:v>0</c:v>
                </c:pt>
                <c:pt idx="8">
                  <c:v>3.7499999999999999E-2</c:v>
                </c:pt>
                <c:pt idx="9">
                  <c:v>0</c:v>
                </c:pt>
                <c:pt idx="10">
                  <c:v>0</c:v>
                </c:pt>
                <c:pt idx="11">
                  <c:v>0</c:v>
                </c:pt>
                <c:pt idx="12">
                  <c:v>0</c:v>
                </c:pt>
                <c:pt idx="13">
                  <c:v>0</c:v>
                </c:pt>
                <c:pt idx="14">
                  <c:v>6.0606060606060608E-2</c:v>
                </c:pt>
                <c:pt idx="15">
                  <c:v>2.0202020202020204E-2</c:v>
                </c:pt>
              </c:numCache>
            </c:numRef>
          </c:val>
          <c:extLst>
            <c:ext xmlns:c16="http://schemas.microsoft.com/office/drawing/2014/chart" uri="{C3380CC4-5D6E-409C-BE32-E72D297353CC}">
              <c16:uniqueId val="{00000005-D1A1-42A8-B66C-A460C67A4277}"/>
            </c:ext>
          </c:extLst>
        </c:ser>
        <c:ser>
          <c:idx val="6"/>
          <c:order val="6"/>
          <c:tx>
            <c:strRef>
              <c:f>'Age Group Breakdown'!$A$37</c:f>
              <c:strCache>
                <c:ptCount val="1"/>
                <c:pt idx="0">
                  <c:v>Train/Tube/Metro </c:v>
                </c:pt>
              </c:strCache>
            </c:strRef>
          </c:tx>
          <c:spPr>
            <a:solidFill>
              <a:srgbClr val="F446DF"/>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Breakdown'!$B$37:$Q$37</c:f>
              <c:numCache>
                <c:formatCode>0%</c:formatCode>
                <c:ptCount val="16"/>
                <c:pt idx="0">
                  <c:v>0</c:v>
                </c:pt>
                <c:pt idx="1">
                  <c:v>0</c:v>
                </c:pt>
                <c:pt idx="2">
                  <c:v>0</c:v>
                </c:pt>
                <c:pt idx="3">
                  <c:v>0</c:v>
                </c:pt>
                <c:pt idx="4">
                  <c:v>0</c:v>
                </c:pt>
                <c:pt idx="5">
                  <c:v>0</c:v>
                </c:pt>
                <c:pt idx="6">
                  <c:v>0</c:v>
                </c:pt>
                <c:pt idx="7">
                  <c:v>0</c:v>
                </c:pt>
                <c:pt idx="8">
                  <c:v>0</c:v>
                </c:pt>
                <c:pt idx="9">
                  <c:v>1.2500000000000001E-2</c:v>
                </c:pt>
                <c:pt idx="10">
                  <c:v>0</c:v>
                </c:pt>
                <c:pt idx="11">
                  <c:v>0</c:v>
                </c:pt>
                <c:pt idx="12">
                  <c:v>0</c:v>
                </c:pt>
                <c:pt idx="13">
                  <c:v>0</c:v>
                </c:pt>
                <c:pt idx="14">
                  <c:v>0</c:v>
                </c:pt>
                <c:pt idx="15">
                  <c:v>1.0101010101010102E-2</c:v>
                </c:pt>
              </c:numCache>
            </c:numRef>
          </c:val>
          <c:extLst>
            <c:ext xmlns:c16="http://schemas.microsoft.com/office/drawing/2014/chart" uri="{C3380CC4-5D6E-409C-BE32-E72D297353CC}">
              <c16:uniqueId val="{00000006-D1A1-42A8-B66C-A460C67A4277}"/>
            </c:ext>
          </c:extLst>
        </c:ser>
        <c:ser>
          <c:idx val="7"/>
          <c:order val="7"/>
          <c:tx>
            <c:strRef>
              <c:f>'Age Group Breakdown'!$A$38</c:f>
              <c:strCache>
                <c:ptCount val="1"/>
                <c:pt idx="0">
                  <c:v>Car Share </c:v>
                </c:pt>
              </c:strCache>
            </c:strRef>
          </c:tx>
          <c:spPr>
            <a:solidFill>
              <a:srgbClr val="DE9EDE"/>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Breakdown'!$B$38:$Q$38</c:f>
              <c:numCache>
                <c:formatCode>0%</c:formatCode>
                <c:ptCount val="16"/>
                <c:pt idx="0">
                  <c:v>0</c:v>
                </c:pt>
                <c:pt idx="1">
                  <c:v>0</c:v>
                </c:pt>
                <c:pt idx="2">
                  <c:v>0</c:v>
                </c:pt>
                <c:pt idx="3">
                  <c:v>0</c:v>
                </c:pt>
                <c:pt idx="4">
                  <c:v>3.614457831325301E-2</c:v>
                </c:pt>
                <c:pt idx="5">
                  <c:v>0.18072289156626506</c:v>
                </c:pt>
                <c:pt idx="6">
                  <c:v>0</c:v>
                </c:pt>
                <c:pt idx="7">
                  <c:v>0</c:v>
                </c:pt>
                <c:pt idx="8">
                  <c:v>0</c:v>
                </c:pt>
                <c:pt idx="9">
                  <c:v>3.7499999999999999E-2</c:v>
                </c:pt>
                <c:pt idx="10">
                  <c:v>1.9607843137254902E-2</c:v>
                </c:pt>
                <c:pt idx="11">
                  <c:v>3.9215686274509803E-2</c:v>
                </c:pt>
                <c:pt idx="12">
                  <c:v>9.1743119266055051E-3</c:v>
                </c:pt>
                <c:pt idx="13">
                  <c:v>0</c:v>
                </c:pt>
                <c:pt idx="14">
                  <c:v>0</c:v>
                </c:pt>
                <c:pt idx="15">
                  <c:v>1.0101010101010102E-2</c:v>
                </c:pt>
              </c:numCache>
            </c:numRef>
          </c:val>
          <c:extLst>
            <c:ext xmlns:c16="http://schemas.microsoft.com/office/drawing/2014/chart" uri="{C3380CC4-5D6E-409C-BE32-E72D297353CC}">
              <c16:uniqueId val="{00000007-D1A1-42A8-B66C-A460C67A4277}"/>
            </c:ext>
          </c:extLst>
        </c:ser>
        <c:ser>
          <c:idx val="8"/>
          <c:order val="8"/>
          <c:tx>
            <c:strRef>
              <c:f>'Age Group Breakdown'!$A$39</c:f>
              <c:strCache>
                <c:ptCount val="1"/>
                <c:pt idx="0">
                  <c:v>Car </c:v>
                </c:pt>
              </c:strCache>
            </c:strRef>
          </c:tx>
          <c:spPr>
            <a:solidFill>
              <a:srgbClr val="A71171"/>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Breakdown'!$B$39:$Q$39</c:f>
              <c:numCache>
                <c:formatCode>0%</c:formatCode>
                <c:ptCount val="16"/>
                <c:pt idx="0">
                  <c:v>0.22580645161290322</c:v>
                </c:pt>
                <c:pt idx="1">
                  <c:v>0.12903225806451613</c:v>
                </c:pt>
                <c:pt idx="2">
                  <c:v>0.33962264150943394</c:v>
                </c:pt>
                <c:pt idx="3">
                  <c:v>9.4339622641509441E-2</c:v>
                </c:pt>
                <c:pt idx="4">
                  <c:v>0.28915662650602408</c:v>
                </c:pt>
                <c:pt idx="5">
                  <c:v>8.4337349397590355E-2</c:v>
                </c:pt>
                <c:pt idx="6">
                  <c:v>0.38461538461538464</c:v>
                </c:pt>
                <c:pt idx="7">
                  <c:v>0.15384615384615385</c:v>
                </c:pt>
                <c:pt idx="8">
                  <c:v>0.22500000000000001</c:v>
                </c:pt>
                <c:pt idx="9">
                  <c:v>0.15</c:v>
                </c:pt>
                <c:pt idx="10">
                  <c:v>0.41176470588235292</c:v>
                </c:pt>
                <c:pt idx="11">
                  <c:v>0.39215686274509803</c:v>
                </c:pt>
                <c:pt idx="12">
                  <c:v>0.33944954128440369</c:v>
                </c:pt>
                <c:pt idx="13">
                  <c:v>8.4112149532710276E-2</c:v>
                </c:pt>
                <c:pt idx="14">
                  <c:v>0.32323232323232326</c:v>
                </c:pt>
                <c:pt idx="15">
                  <c:v>0.19191919191919191</c:v>
                </c:pt>
              </c:numCache>
            </c:numRef>
          </c:val>
          <c:extLst>
            <c:ext xmlns:c16="http://schemas.microsoft.com/office/drawing/2014/chart" uri="{C3380CC4-5D6E-409C-BE32-E72D297353CC}">
              <c16:uniqueId val="{00000008-D1A1-42A8-B66C-A460C67A4277}"/>
            </c:ext>
          </c:extLst>
        </c:ser>
        <c:ser>
          <c:idx val="9"/>
          <c:order val="9"/>
          <c:tx>
            <c:strRef>
              <c:f>'Age Group Breakdown'!$A$40</c:f>
              <c:strCache>
                <c:ptCount val="1"/>
                <c:pt idx="0">
                  <c:v>Motorbike/Scooter </c:v>
                </c:pt>
              </c:strCache>
            </c:strRef>
          </c:tx>
          <c:spPr>
            <a:solidFill>
              <a:schemeClr val="bg2">
                <a:lumMod val="75000"/>
              </a:schemeClr>
            </a:solidFill>
            <a:ln>
              <a:solidFill>
                <a:sysClr val="windowText" lastClr="000000"/>
              </a:solidFill>
            </a:ln>
            <a:effectLst/>
          </c:spPr>
          <c:invertIfNegative val="0"/>
          <c:cat>
            <c:multiLvlStrRef>
              <c:f>'Age Group Breakdown'!$B$29:$Q$30</c:f>
              <c:multiLvlStrCache>
                <c:ptCount val="16"/>
                <c:lvl>
                  <c:pt idx="0">
                    <c:v>Usual</c:v>
                  </c:pt>
                  <c:pt idx="1">
                    <c:v>Preferred</c:v>
                  </c:pt>
                  <c:pt idx="2">
                    <c:v>Usual</c:v>
                  </c:pt>
                  <c:pt idx="3">
                    <c:v>Preferred</c:v>
                  </c:pt>
                  <c:pt idx="4">
                    <c:v>Usual</c:v>
                  </c:pt>
                  <c:pt idx="5">
                    <c:v>Preferred</c:v>
                  </c:pt>
                  <c:pt idx="6">
                    <c:v>Usual</c:v>
                  </c:pt>
                  <c:pt idx="7">
                    <c:v>Preferred</c:v>
                  </c:pt>
                  <c:pt idx="8">
                    <c:v>Usual</c:v>
                  </c:pt>
                  <c:pt idx="9">
                    <c:v>Preferred</c:v>
                  </c:pt>
                  <c:pt idx="10">
                    <c:v>Usual</c:v>
                  </c:pt>
                  <c:pt idx="11">
                    <c:v>Preferred</c:v>
                  </c:pt>
                  <c:pt idx="12">
                    <c:v>Usual</c:v>
                  </c:pt>
                  <c:pt idx="13">
                    <c:v>Preferred</c:v>
                  </c:pt>
                  <c:pt idx="14">
                    <c:v>Usual</c:v>
                  </c:pt>
                  <c:pt idx="15">
                    <c:v>Preferred</c:v>
                  </c:pt>
                </c:lvl>
                <c:lvl>
                  <c:pt idx="0">
                    <c:v>Staff </c:v>
                  </c:pt>
                  <c:pt idx="2">
                    <c:v>Reception </c:v>
                  </c:pt>
                  <c:pt idx="4">
                    <c:v>Year 1</c:v>
                  </c:pt>
                  <c:pt idx="6">
                    <c:v>Year 2 </c:v>
                  </c:pt>
                  <c:pt idx="8">
                    <c:v>Year 3</c:v>
                  </c:pt>
                  <c:pt idx="10">
                    <c:v>Year 4</c:v>
                  </c:pt>
                  <c:pt idx="12">
                    <c:v>Year 5 </c:v>
                  </c:pt>
                  <c:pt idx="14">
                    <c:v>Year 6</c:v>
                  </c:pt>
                </c:lvl>
              </c:multiLvlStrCache>
            </c:multiLvlStrRef>
          </c:cat>
          <c:val>
            <c:numRef>
              <c:f>'Age Group Breakdown'!$B$40:$Q$40</c:f>
              <c:numCache>
                <c:formatCode>0%</c:formatCode>
                <c:ptCount val="16"/>
                <c:pt idx="0">
                  <c:v>0</c:v>
                </c:pt>
                <c:pt idx="1">
                  <c:v>0</c:v>
                </c:pt>
                <c:pt idx="2">
                  <c:v>0</c:v>
                </c:pt>
                <c:pt idx="3">
                  <c:v>0</c:v>
                </c:pt>
                <c:pt idx="4">
                  <c:v>0</c:v>
                </c:pt>
                <c:pt idx="5">
                  <c:v>6.0240963855421686E-2</c:v>
                </c:pt>
                <c:pt idx="6">
                  <c:v>3.8461538461538464E-2</c:v>
                </c:pt>
                <c:pt idx="7">
                  <c:v>7.6923076923076927E-2</c:v>
                </c:pt>
                <c:pt idx="8">
                  <c:v>0</c:v>
                </c:pt>
                <c:pt idx="9">
                  <c:v>8.7499999999999994E-2</c:v>
                </c:pt>
                <c:pt idx="10">
                  <c:v>0</c:v>
                </c:pt>
                <c:pt idx="11">
                  <c:v>3.9215686274509803E-2</c:v>
                </c:pt>
                <c:pt idx="12">
                  <c:v>9.1743119266055051E-3</c:v>
                </c:pt>
                <c:pt idx="13">
                  <c:v>4.6728971962616821E-2</c:v>
                </c:pt>
                <c:pt idx="14">
                  <c:v>0</c:v>
                </c:pt>
                <c:pt idx="15">
                  <c:v>3.0303030303030304E-2</c:v>
                </c:pt>
              </c:numCache>
            </c:numRef>
          </c:val>
          <c:extLst>
            <c:ext xmlns:c16="http://schemas.microsoft.com/office/drawing/2014/chart" uri="{C3380CC4-5D6E-409C-BE32-E72D297353CC}">
              <c16:uniqueId val="{00000009-D1A1-42A8-B66C-A460C67A4277}"/>
            </c:ext>
          </c:extLst>
        </c:ser>
        <c:dLbls>
          <c:showLegendKey val="0"/>
          <c:showVal val="0"/>
          <c:showCatName val="0"/>
          <c:showSerName val="0"/>
          <c:showPercent val="0"/>
          <c:showBubbleSize val="0"/>
        </c:dLbls>
        <c:gapWidth val="150"/>
        <c:overlap val="100"/>
        <c:axId val="1844429375"/>
        <c:axId val="1844442815"/>
      </c:barChart>
      <c:catAx>
        <c:axId val="1844429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44442815"/>
        <c:crosses val="autoZero"/>
        <c:auto val="1"/>
        <c:lblAlgn val="ctr"/>
        <c:lblOffset val="100"/>
        <c:noMultiLvlLbl val="0"/>
      </c:catAx>
      <c:valAx>
        <c:axId val="1844442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44429375"/>
        <c:crosses val="autoZero"/>
        <c:crossBetween val="between"/>
      </c:valAx>
      <c:spPr>
        <a:noFill/>
        <a:ln>
          <a:noFill/>
        </a:ln>
        <a:effectLst/>
      </c:spPr>
    </c:plotArea>
    <c:legend>
      <c:legendPos val="b"/>
      <c:layout>
        <c:manualLayout>
          <c:xMode val="edge"/>
          <c:yMode val="edge"/>
          <c:x val="0.12322922641855157"/>
          <c:y val="0.90753250751600101"/>
          <c:w val="0.7738829930136476"/>
          <c:h val="8.30458304508858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School B - Distribution of School Travel Modes By Age Group</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5.4126279398861284E-2"/>
          <c:y val="8.953373015873016E-2"/>
          <c:w val="0.92989231714334419"/>
          <c:h val="0.70359740188726405"/>
        </c:manualLayout>
      </c:layout>
      <c:barChart>
        <c:barDir val="col"/>
        <c:grouping val="percentStacked"/>
        <c:varyColors val="0"/>
        <c:ser>
          <c:idx val="0"/>
          <c:order val="0"/>
          <c:tx>
            <c:strRef>
              <c:f>Sheet1!$A$33</c:f>
              <c:strCache>
                <c:ptCount val="1"/>
                <c:pt idx="0">
                  <c:v>Walk</c:v>
                </c:pt>
              </c:strCache>
            </c:strRef>
          </c:tx>
          <c:spPr>
            <a:solidFill>
              <a:srgbClr val="4C9C44"/>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Sheet1!$B$33:$G$33</c:f>
              <c:numCache>
                <c:formatCode>0%</c:formatCode>
                <c:ptCount val="6"/>
                <c:pt idx="0">
                  <c:v>0.44262295081967212</c:v>
                </c:pt>
                <c:pt idx="1">
                  <c:v>0.37704918032786883</c:v>
                </c:pt>
                <c:pt idx="2">
                  <c:v>0.44827586206896552</c:v>
                </c:pt>
                <c:pt idx="3">
                  <c:v>0.31034482758620691</c:v>
                </c:pt>
                <c:pt idx="4">
                  <c:v>0.5161290322580645</c:v>
                </c:pt>
                <c:pt idx="5">
                  <c:v>0.25806451612903225</c:v>
                </c:pt>
              </c:numCache>
            </c:numRef>
          </c:val>
          <c:extLst>
            <c:ext xmlns:c16="http://schemas.microsoft.com/office/drawing/2014/chart" uri="{C3380CC4-5D6E-409C-BE32-E72D297353CC}">
              <c16:uniqueId val="{00000000-DF3A-4457-A99F-4BF21BAB2D2B}"/>
            </c:ext>
          </c:extLst>
        </c:ser>
        <c:ser>
          <c:idx val="1"/>
          <c:order val="1"/>
          <c:tx>
            <c:strRef>
              <c:f>Sheet1!$A$34</c:f>
              <c:strCache>
                <c:ptCount val="1"/>
                <c:pt idx="0">
                  <c:v>Cycle</c:v>
                </c:pt>
              </c:strCache>
            </c:strRef>
          </c:tx>
          <c:spPr>
            <a:solidFill>
              <a:srgbClr val="97DCFF"/>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Sheet1!$B$34:$G$34</c:f>
              <c:numCache>
                <c:formatCode>0%</c:formatCode>
                <c:ptCount val="6"/>
                <c:pt idx="0">
                  <c:v>0.13114754098360656</c:v>
                </c:pt>
                <c:pt idx="1">
                  <c:v>0.45901639344262296</c:v>
                </c:pt>
                <c:pt idx="2">
                  <c:v>6.8965517241379309E-2</c:v>
                </c:pt>
                <c:pt idx="3">
                  <c:v>0.31034482758620691</c:v>
                </c:pt>
                <c:pt idx="4">
                  <c:v>0.12903225806451613</c:v>
                </c:pt>
                <c:pt idx="5">
                  <c:v>0.54838709677419351</c:v>
                </c:pt>
              </c:numCache>
            </c:numRef>
          </c:val>
          <c:extLst>
            <c:ext xmlns:c16="http://schemas.microsoft.com/office/drawing/2014/chart" uri="{C3380CC4-5D6E-409C-BE32-E72D297353CC}">
              <c16:uniqueId val="{00000001-DF3A-4457-A99F-4BF21BAB2D2B}"/>
            </c:ext>
          </c:extLst>
        </c:ser>
        <c:ser>
          <c:idx val="2"/>
          <c:order val="2"/>
          <c:tx>
            <c:strRef>
              <c:f>Sheet1!$A$35</c:f>
              <c:strCache>
                <c:ptCount val="1"/>
                <c:pt idx="0">
                  <c:v>Scooting/Skating</c:v>
                </c:pt>
              </c:strCache>
            </c:strRef>
          </c:tx>
          <c:spPr>
            <a:solidFill>
              <a:srgbClr val="DCFBCD"/>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Sheet1!$B$35:$G$35</c:f>
              <c:numCache>
                <c:formatCode>0%</c:formatCode>
                <c:ptCount val="6"/>
                <c:pt idx="0">
                  <c:v>4.9180327868852458E-2</c:v>
                </c:pt>
                <c:pt idx="1">
                  <c:v>6.5573770491803282E-2</c:v>
                </c:pt>
                <c:pt idx="2">
                  <c:v>3.4482758620689655E-2</c:v>
                </c:pt>
                <c:pt idx="3">
                  <c:v>0.10344827586206896</c:v>
                </c:pt>
                <c:pt idx="4">
                  <c:v>1.6129032258064516E-2</c:v>
                </c:pt>
                <c:pt idx="5">
                  <c:v>0.11290322580645161</c:v>
                </c:pt>
              </c:numCache>
            </c:numRef>
          </c:val>
          <c:extLst>
            <c:ext xmlns:c16="http://schemas.microsoft.com/office/drawing/2014/chart" uri="{C3380CC4-5D6E-409C-BE32-E72D297353CC}">
              <c16:uniqueId val="{00000002-DF3A-4457-A99F-4BF21BAB2D2B}"/>
            </c:ext>
          </c:extLst>
        </c:ser>
        <c:ser>
          <c:idx val="3"/>
          <c:order val="3"/>
          <c:tx>
            <c:strRef>
              <c:f>Sheet1!$A$36</c:f>
              <c:strCache>
                <c:ptCount val="1"/>
                <c:pt idx="0">
                  <c:v>Public Bus </c:v>
                </c:pt>
              </c:strCache>
            </c:strRef>
          </c:tx>
          <c:spPr>
            <a:solidFill>
              <a:schemeClr val="accent4"/>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Sheet1!$B$36:$G$36</c:f>
              <c:numCache>
                <c:formatCode>0%</c:formatCode>
                <c:ptCount val="6"/>
                <c:pt idx="0">
                  <c:v>0</c:v>
                </c:pt>
                <c:pt idx="1">
                  <c:v>0</c:v>
                </c:pt>
                <c:pt idx="2">
                  <c:v>0</c:v>
                </c:pt>
                <c:pt idx="3">
                  <c:v>0</c:v>
                </c:pt>
                <c:pt idx="4">
                  <c:v>1.6129032258064516E-2</c:v>
                </c:pt>
                <c:pt idx="5">
                  <c:v>0</c:v>
                </c:pt>
              </c:numCache>
            </c:numRef>
          </c:val>
          <c:extLst>
            <c:ext xmlns:c16="http://schemas.microsoft.com/office/drawing/2014/chart" uri="{C3380CC4-5D6E-409C-BE32-E72D297353CC}">
              <c16:uniqueId val="{00000003-DF3A-4457-A99F-4BF21BAB2D2B}"/>
            </c:ext>
          </c:extLst>
        </c:ser>
        <c:ser>
          <c:idx val="4"/>
          <c:order val="4"/>
          <c:tx>
            <c:strRef>
              <c:f>Sheet1!$A$37</c:f>
              <c:strCache>
                <c:ptCount val="1"/>
                <c:pt idx="0">
                  <c:v>School Bus </c:v>
                </c:pt>
              </c:strCache>
            </c:strRef>
          </c:tx>
          <c:spPr>
            <a:solidFill>
              <a:srgbClr val="7030A0"/>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Sheet1!$B$37:$G$37</c:f>
              <c:numCache>
                <c:formatCode>0%</c:formatCode>
                <c:ptCount val="6"/>
                <c:pt idx="0">
                  <c:v>3.2786885245901641E-2</c:v>
                </c:pt>
                <c:pt idx="1">
                  <c:v>1.6393442622950821E-2</c:v>
                </c:pt>
                <c:pt idx="2">
                  <c:v>0</c:v>
                </c:pt>
                <c:pt idx="3">
                  <c:v>0</c:v>
                </c:pt>
                <c:pt idx="4">
                  <c:v>0</c:v>
                </c:pt>
                <c:pt idx="5">
                  <c:v>0</c:v>
                </c:pt>
              </c:numCache>
            </c:numRef>
          </c:val>
          <c:extLst>
            <c:ext xmlns:c16="http://schemas.microsoft.com/office/drawing/2014/chart" uri="{C3380CC4-5D6E-409C-BE32-E72D297353CC}">
              <c16:uniqueId val="{00000004-DF3A-4457-A99F-4BF21BAB2D2B}"/>
            </c:ext>
          </c:extLst>
        </c:ser>
        <c:ser>
          <c:idx val="5"/>
          <c:order val="5"/>
          <c:tx>
            <c:strRef>
              <c:f>Sheet1!$A$38</c:f>
              <c:strCache>
                <c:ptCount val="1"/>
                <c:pt idx="0">
                  <c:v>Park &amp; Stride / Walk </c:v>
                </c:pt>
              </c:strCache>
            </c:strRef>
          </c:tx>
          <c:spPr>
            <a:solidFill>
              <a:srgbClr val="D8850A"/>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Sheet1!$B$38:$G$38</c:f>
              <c:numCache>
                <c:formatCode>0%</c:formatCode>
                <c:ptCount val="6"/>
                <c:pt idx="0">
                  <c:v>0.11475409836065574</c:v>
                </c:pt>
                <c:pt idx="1">
                  <c:v>3.2786885245901641E-2</c:v>
                </c:pt>
                <c:pt idx="2">
                  <c:v>0.27586206896551724</c:v>
                </c:pt>
                <c:pt idx="3">
                  <c:v>0.17241379310344829</c:v>
                </c:pt>
                <c:pt idx="4">
                  <c:v>0.27419354838709675</c:v>
                </c:pt>
                <c:pt idx="5">
                  <c:v>1.6129032258064516E-2</c:v>
                </c:pt>
              </c:numCache>
            </c:numRef>
          </c:val>
          <c:extLst>
            <c:ext xmlns:c16="http://schemas.microsoft.com/office/drawing/2014/chart" uri="{C3380CC4-5D6E-409C-BE32-E72D297353CC}">
              <c16:uniqueId val="{00000005-DF3A-4457-A99F-4BF21BAB2D2B}"/>
            </c:ext>
          </c:extLst>
        </c:ser>
        <c:ser>
          <c:idx val="6"/>
          <c:order val="6"/>
          <c:tx>
            <c:strRef>
              <c:f>Sheet1!$A$39</c:f>
              <c:strCache>
                <c:ptCount val="1"/>
                <c:pt idx="0">
                  <c:v>Train/Tube/Metro </c:v>
                </c:pt>
              </c:strCache>
            </c:strRef>
          </c:tx>
          <c:spPr>
            <a:solidFill>
              <a:srgbClr val="F446DF"/>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Sheet1!$B$39:$G$39</c:f>
              <c:numCache>
                <c:formatCode>0%</c:formatCode>
                <c:ptCount val="6"/>
                <c:pt idx="0">
                  <c:v>0</c:v>
                </c:pt>
                <c:pt idx="1">
                  <c:v>1.6393442622950821E-2</c:v>
                </c:pt>
                <c:pt idx="2">
                  <c:v>0</c:v>
                </c:pt>
                <c:pt idx="3">
                  <c:v>0</c:v>
                </c:pt>
                <c:pt idx="4">
                  <c:v>0</c:v>
                </c:pt>
                <c:pt idx="5">
                  <c:v>0</c:v>
                </c:pt>
              </c:numCache>
            </c:numRef>
          </c:val>
          <c:extLst>
            <c:ext xmlns:c16="http://schemas.microsoft.com/office/drawing/2014/chart" uri="{C3380CC4-5D6E-409C-BE32-E72D297353CC}">
              <c16:uniqueId val="{00000006-DF3A-4457-A99F-4BF21BAB2D2B}"/>
            </c:ext>
          </c:extLst>
        </c:ser>
        <c:ser>
          <c:idx val="7"/>
          <c:order val="7"/>
          <c:tx>
            <c:strRef>
              <c:f>Sheet1!$A$40</c:f>
              <c:strCache>
                <c:ptCount val="1"/>
                <c:pt idx="0">
                  <c:v>Car Share </c:v>
                </c:pt>
              </c:strCache>
            </c:strRef>
          </c:tx>
          <c:spPr>
            <a:solidFill>
              <a:srgbClr val="E5B3E5"/>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Sheet1!$B$40:$G$40</c:f>
              <c:numCache>
                <c:formatCode>0%</c:formatCode>
                <c:ptCount val="6"/>
                <c:pt idx="0">
                  <c:v>0</c:v>
                </c:pt>
                <c:pt idx="1">
                  <c:v>0</c:v>
                </c:pt>
                <c:pt idx="2">
                  <c:v>6.8965517241379309E-2</c:v>
                </c:pt>
                <c:pt idx="3">
                  <c:v>3.4482758620689655E-2</c:v>
                </c:pt>
                <c:pt idx="4">
                  <c:v>0</c:v>
                </c:pt>
                <c:pt idx="5">
                  <c:v>0</c:v>
                </c:pt>
              </c:numCache>
            </c:numRef>
          </c:val>
          <c:extLst>
            <c:ext xmlns:c16="http://schemas.microsoft.com/office/drawing/2014/chart" uri="{C3380CC4-5D6E-409C-BE32-E72D297353CC}">
              <c16:uniqueId val="{00000007-DF3A-4457-A99F-4BF21BAB2D2B}"/>
            </c:ext>
          </c:extLst>
        </c:ser>
        <c:ser>
          <c:idx val="8"/>
          <c:order val="8"/>
          <c:tx>
            <c:strRef>
              <c:f>Sheet1!$A$41</c:f>
              <c:strCache>
                <c:ptCount val="1"/>
                <c:pt idx="0">
                  <c:v>Car </c:v>
                </c:pt>
              </c:strCache>
            </c:strRef>
          </c:tx>
          <c:spPr>
            <a:solidFill>
              <a:srgbClr val="A71171"/>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Sheet1!$B$41:$G$41</c:f>
              <c:numCache>
                <c:formatCode>0%</c:formatCode>
                <c:ptCount val="6"/>
                <c:pt idx="0">
                  <c:v>0.22950819672131148</c:v>
                </c:pt>
                <c:pt idx="1">
                  <c:v>3.2786885245901641E-2</c:v>
                </c:pt>
                <c:pt idx="2">
                  <c:v>0.10344827586206896</c:v>
                </c:pt>
                <c:pt idx="3">
                  <c:v>6.8965517241379309E-2</c:v>
                </c:pt>
                <c:pt idx="4">
                  <c:v>4.8387096774193547E-2</c:v>
                </c:pt>
                <c:pt idx="5">
                  <c:v>3.2258064516129031E-2</c:v>
                </c:pt>
              </c:numCache>
            </c:numRef>
          </c:val>
          <c:extLst>
            <c:ext xmlns:c16="http://schemas.microsoft.com/office/drawing/2014/chart" uri="{C3380CC4-5D6E-409C-BE32-E72D297353CC}">
              <c16:uniqueId val="{00000008-DF3A-4457-A99F-4BF21BAB2D2B}"/>
            </c:ext>
          </c:extLst>
        </c:ser>
        <c:ser>
          <c:idx val="9"/>
          <c:order val="9"/>
          <c:tx>
            <c:strRef>
              <c:f>Sheet1!$A$42</c:f>
              <c:strCache>
                <c:ptCount val="1"/>
                <c:pt idx="0">
                  <c:v>Motorbike/Scooter </c:v>
                </c:pt>
              </c:strCache>
            </c:strRef>
          </c:tx>
          <c:spPr>
            <a:solidFill>
              <a:schemeClr val="bg1">
                <a:lumMod val="65000"/>
              </a:schemeClr>
            </a:solidFill>
            <a:ln>
              <a:solidFill>
                <a:sysClr val="windowText" lastClr="000000"/>
              </a:solidFill>
            </a:ln>
            <a:effectLst/>
          </c:spPr>
          <c:invertIfNegative val="0"/>
          <c:cat>
            <c:multiLvlStrRef>
              <c:f>Sheet1!$B$31:$G$32</c:f>
              <c:multiLvlStrCache>
                <c:ptCount val="6"/>
                <c:lvl>
                  <c:pt idx="0">
                    <c:v>Usual</c:v>
                  </c:pt>
                  <c:pt idx="1">
                    <c:v>Preferred</c:v>
                  </c:pt>
                  <c:pt idx="2">
                    <c:v>Usual</c:v>
                  </c:pt>
                  <c:pt idx="3">
                    <c:v>Preferred</c:v>
                  </c:pt>
                  <c:pt idx="4">
                    <c:v>Usual</c:v>
                  </c:pt>
                  <c:pt idx="5">
                    <c:v>Preferred</c:v>
                  </c:pt>
                </c:lvl>
                <c:lvl>
                  <c:pt idx="0">
                    <c:v>Year 4</c:v>
                  </c:pt>
                  <c:pt idx="2">
                    <c:v>Year 5 </c:v>
                  </c:pt>
                  <c:pt idx="4">
                    <c:v>Year 6 </c:v>
                  </c:pt>
                </c:lvl>
              </c:multiLvlStrCache>
            </c:multiLvlStrRef>
          </c:cat>
          <c:val>
            <c:numRef>
              <c:f>Sheet1!$B$42:$G$42</c:f>
              <c:numCache>
                <c:formatCode>0%</c:formatCode>
                <c:ptCount val="6"/>
                <c:pt idx="0">
                  <c:v>0</c:v>
                </c:pt>
                <c:pt idx="1">
                  <c:v>0</c:v>
                </c:pt>
                <c:pt idx="2">
                  <c:v>0</c:v>
                </c:pt>
                <c:pt idx="3">
                  <c:v>0</c:v>
                </c:pt>
                <c:pt idx="4">
                  <c:v>0</c:v>
                </c:pt>
                <c:pt idx="5">
                  <c:v>3.2258064516129031E-2</c:v>
                </c:pt>
              </c:numCache>
            </c:numRef>
          </c:val>
          <c:extLst>
            <c:ext xmlns:c16="http://schemas.microsoft.com/office/drawing/2014/chart" uri="{C3380CC4-5D6E-409C-BE32-E72D297353CC}">
              <c16:uniqueId val="{00000009-DF3A-4457-A99F-4BF21BAB2D2B}"/>
            </c:ext>
          </c:extLst>
        </c:ser>
        <c:dLbls>
          <c:showLegendKey val="0"/>
          <c:showVal val="0"/>
          <c:showCatName val="0"/>
          <c:showSerName val="0"/>
          <c:showPercent val="0"/>
          <c:showBubbleSize val="0"/>
        </c:dLbls>
        <c:gapWidth val="150"/>
        <c:overlap val="100"/>
        <c:axId val="184696655"/>
        <c:axId val="184700015"/>
      </c:barChart>
      <c:catAx>
        <c:axId val="18469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4700015"/>
        <c:crosses val="autoZero"/>
        <c:auto val="1"/>
        <c:lblAlgn val="ctr"/>
        <c:lblOffset val="100"/>
        <c:noMultiLvlLbl val="0"/>
      </c:catAx>
      <c:valAx>
        <c:axId val="184700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4696655"/>
        <c:crosses val="autoZero"/>
        <c:crossBetween val="between"/>
      </c:valAx>
      <c:spPr>
        <a:noFill/>
        <a:ln>
          <a:noFill/>
        </a:ln>
        <a:effectLst/>
      </c:spPr>
    </c:plotArea>
    <c:legend>
      <c:legendPos val="b"/>
      <c:layout>
        <c:manualLayout>
          <c:xMode val="edge"/>
          <c:yMode val="edge"/>
          <c:x val="0.10084986289397249"/>
          <c:y val="0.89595851299837503"/>
          <c:w val="0.80556443411303225"/>
          <c:h val="8.91605346206724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Question 6  - Sustainable Transport Modes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'Slough Responses'!$A$14</c:f>
              <c:strCache>
                <c:ptCount val="1"/>
              </c:strCache>
            </c:strRef>
          </c:tx>
          <c:spPr>
            <a:solidFill>
              <a:schemeClr val="accent1"/>
            </a:solidFill>
            <a:ln>
              <a:noFill/>
            </a:ln>
            <a:effectLst/>
          </c:spPr>
          <c:invertIfNegative val="0"/>
          <c:cat>
            <c:strRef>
              <c:f>'Slough Responses'!$B$12:$H$12</c:f>
              <c:strCache>
                <c:ptCount val="7"/>
                <c:pt idx="0">
                  <c:v>a</c:v>
                </c:pt>
                <c:pt idx="1">
                  <c:v>b</c:v>
                </c:pt>
                <c:pt idx="2">
                  <c:v>c</c:v>
                </c:pt>
                <c:pt idx="3">
                  <c:v>d</c:v>
                </c:pt>
                <c:pt idx="4">
                  <c:v>e</c:v>
                </c:pt>
                <c:pt idx="5">
                  <c:v>f</c:v>
                </c:pt>
                <c:pt idx="6">
                  <c:v>g</c:v>
                </c:pt>
              </c:strCache>
            </c:strRef>
          </c:cat>
          <c:val>
            <c:numRef>
              <c:f>'Slough Responses'!$B$14:$H$14</c:f>
              <c:numCache>
                <c:formatCode>0%</c:formatCode>
                <c:ptCount val="7"/>
                <c:pt idx="0">
                  <c:v>0.12087912087912088</c:v>
                </c:pt>
                <c:pt idx="1">
                  <c:v>0.2783882783882784</c:v>
                </c:pt>
                <c:pt idx="2">
                  <c:v>0.10989010989010989</c:v>
                </c:pt>
                <c:pt idx="3">
                  <c:v>0.23443223443223443</c:v>
                </c:pt>
                <c:pt idx="4">
                  <c:v>0.19047619047619047</c:v>
                </c:pt>
                <c:pt idx="5">
                  <c:v>2.197802197802198E-2</c:v>
                </c:pt>
                <c:pt idx="6">
                  <c:v>4.3956043956043959E-2</c:v>
                </c:pt>
              </c:numCache>
            </c:numRef>
          </c:val>
          <c:extLst>
            <c:ext xmlns:c16="http://schemas.microsoft.com/office/drawing/2014/chart" uri="{C3380CC4-5D6E-409C-BE32-E72D297353CC}">
              <c16:uniqueId val="{00000000-51A0-456C-AC4D-1785F828B7F8}"/>
            </c:ext>
          </c:extLst>
        </c:ser>
        <c:dLbls>
          <c:showLegendKey val="0"/>
          <c:showVal val="0"/>
          <c:showCatName val="0"/>
          <c:showSerName val="0"/>
          <c:showPercent val="0"/>
          <c:showBubbleSize val="0"/>
        </c:dLbls>
        <c:gapWidth val="219"/>
        <c:overlap val="-27"/>
        <c:axId val="1609407839"/>
        <c:axId val="637252623"/>
      </c:barChart>
      <c:catAx>
        <c:axId val="16094078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Question Options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37252623"/>
        <c:crosses val="autoZero"/>
        <c:auto val="1"/>
        <c:lblAlgn val="ctr"/>
        <c:lblOffset val="100"/>
        <c:noMultiLvlLbl val="0"/>
      </c:catAx>
      <c:valAx>
        <c:axId val="6372526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a:t>
                </a:r>
                <a:r>
                  <a:rPr lang="en-GB" baseline="0"/>
                  <a:t> of Respondents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94078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Question 9 - Sources of Air Pollution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tx>
            <c:strRef>
              <c:f>'Slough Responses'!$A$23</c:f>
              <c:strCache>
                <c:ptCount val="1"/>
              </c:strCache>
            </c:strRef>
          </c:tx>
          <c:spPr>
            <a:solidFill>
              <a:schemeClr val="accent1"/>
            </a:solidFill>
            <a:ln>
              <a:noFill/>
            </a:ln>
            <a:effectLst/>
          </c:spPr>
          <c:invertIfNegative val="0"/>
          <c:cat>
            <c:strRef>
              <c:f>'Slough Responses'!$B$21:$L$21</c:f>
              <c:strCache>
                <c:ptCount val="11"/>
                <c:pt idx="0">
                  <c:v>None of above</c:v>
                </c:pt>
                <c:pt idx="1">
                  <c:v>Don't know</c:v>
                </c:pt>
                <c:pt idx="2">
                  <c:v>Fireplaces</c:v>
                </c:pt>
                <c:pt idx="3">
                  <c:v>Construction </c:v>
                </c:pt>
                <c:pt idx="4">
                  <c:v>Industry</c:v>
                </c:pt>
                <c:pt idx="5">
                  <c:v>Airport activities </c:v>
                </c:pt>
                <c:pt idx="6">
                  <c:v>Aircraft</c:v>
                </c:pt>
                <c:pt idx="7">
                  <c:v>Train/underground</c:v>
                </c:pt>
                <c:pt idx="8">
                  <c:v>Trucks, vans, lorries </c:v>
                </c:pt>
                <c:pt idx="9">
                  <c:v>Congestion</c:v>
                </c:pt>
                <c:pt idx="10">
                  <c:v>Car traffic</c:v>
                </c:pt>
              </c:strCache>
            </c:strRef>
          </c:cat>
          <c:val>
            <c:numRef>
              <c:f>'Slough Responses'!$B$23:$L$23</c:f>
              <c:numCache>
                <c:formatCode>0%</c:formatCode>
                <c:ptCount val="11"/>
                <c:pt idx="0">
                  <c:v>1.0498687664041995E-2</c:v>
                </c:pt>
                <c:pt idx="1">
                  <c:v>7.874015748031496E-3</c:v>
                </c:pt>
                <c:pt idx="2">
                  <c:v>2.3622047244094488E-2</c:v>
                </c:pt>
                <c:pt idx="3">
                  <c:v>7.6115485564304461E-2</c:v>
                </c:pt>
                <c:pt idx="4">
                  <c:v>0.12073490813648294</c:v>
                </c:pt>
                <c:pt idx="5">
                  <c:v>4.7244094488188976E-2</c:v>
                </c:pt>
                <c:pt idx="6">
                  <c:v>0.16010498687664043</c:v>
                </c:pt>
                <c:pt idx="7">
                  <c:v>4.1994750656167978E-2</c:v>
                </c:pt>
                <c:pt idx="8">
                  <c:v>0.16535433070866143</c:v>
                </c:pt>
                <c:pt idx="9">
                  <c:v>0.17060367454068243</c:v>
                </c:pt>
                <c:pt idx="10">
                  <c:v>0.17585301837270342</c:v>
                </c:pt>
              </c:numCache>
            </c:numRef>
          </c:val>
          <c:extLst>
            <c:ext xmlns:c16="http://schemas.microsoft.com/office/drawing/2014/chart" uri="{C3380CC4-5D6E-409C-BE32-E72D297353CC}">
              <c16:uniqueId val="{00000000-ADC2-44A3-84D1-30A54DE68A0F}"/>
            </c:ext>
          </c:extLst>
        </c:ser>
        <c:dLbls>
          <c:showLegendKey val="0"/>
          <c:showVal val="0"/>
          <c:showCatName val="0"/>
          <c:showSerName val="0"/>
          <c:showPercent val="0"/>
          <c:showBubbleSize val="0"/>
        </c:dLbls>
        <c:gapWidth val="182"/>
        <c:axId val="890791951"/>
        <c:axId val="890792911"/>
      </c:barChart>
      <c:catAx>
        <c:axId val="89079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0792911"/>
        <c:crosses val="autoZero"/>
        <c:auto val="1"/>
        <c:lblAlgn val="ctr"/>
        <c:lblOffset val="100"/>
        <c:noMultiLvlLbl val="0"/>
      </c:catAx>
      <c:valAx>
        <c:axId val="8907929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a:t>
                </a:r>
                <a:r>
                  <a:rPr lang="en-GB" baseline="0"/>
                  <a:t> of Respondents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0791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Question 13 - Use and Awareness of Heathrow Airwatch Website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'Slough Responses'!$B$35:$E$35</c:f>
              <c:strCache>
                <c:ptCount val="4"/>
                <c:pt idx="0">
                  <c:v>No I definitely haven't </c:v>
                </c:pt>
                <c:pt idx="1">
                  <c:v>No I don't think so</c:v>
                </c:pt>
                <c:pt idx="2">
                  <c:v>Yes I think so</c:v>
                </c:pt>
                <c:pt idx="3">
                  <c:v>Yes definitely</c:v>
                </c:pt>
              </c:strCache>
            </c:strRef>
          </c:cat>
          <c:val>
            <c:numRef>
              <c:f>'Slough Responses'!$B$37:$E$37</c:f>
              <c:numCache>
                <c:formatCode>0%</c:formatCode>
                <c:ptCount val="4"/>
                <c:pt idx="0">
                  <c:v>0.61739130434782608</c:v>
                </c:pt>
                <c:pt idx="1">
                  <c:v>0.2608695652173913</c:v>
                </c:pt>
                <c:pt idx="2">
                  <c:v>8.6956521739130432E-2</c:v>
                </c:pt>
                <c:pt idx="3">
                  <c:v>3.4782608695652174E-2</c:v>
                </c:pt>
              </c:numCache>
            </c:numRef>
          </c:val>
          <c:extLst>
            <c:ext xmlns:c16="http://schemas.microsoft.com/office/drawing/2014/chart" uri="{C3380CC4-5D6E-409C-BE32-E72D297353CC}">
              <c16:uniqueId val="{00000000-D962-416B-B553-6C466903977A}"/>
            </c:ext>
          </c:extLst>
        </c:ser>
        <c:dLbls>
          <c:showLegendKey val="0"/>
          <c:showVal val="0"/>
          <c:showCatName val="0"/>
          <c:showSerName val="0"/>
          <c:showPercent val="0"/>
          <c:showBubbleSize val="0"/>
        </c:dLbls>
        <c:gapWidth val="182"/>
        <c:axId val="803284879"/>
        <c:axId val="803285839"/>
      </c:barChart>
      <c:catAx>
        <c:axId val="8032848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3285839"/>
        <c:crosses val="autoZero"/>
        <c:auto val="1"/>
        <c:lblAlgn val="ctr"/>
        <c:lblOffset val="100"/>
        <c:noMultiLvlLbl val="0"/>
      </c:catAx>
      <c:valAx>
        <c:axId val="8032858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32848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Unhealthy Behaviour Concerns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Sheet1!$A$2:$A$5</c:f>
              <c:strCache>
                <c:ptCount val="4"/>
                <c:pt idx="0">
                  <c:v>Concerns about activity levels </c:v>
                </c:pt>
                <c:pt idx="1">
                  <c:v>Concerns about weight </c:v>
                </c:pt>
                <c:pt idx="2">
                  <c:v>Concerns about alcohol consumption</c:v>
                </c:pt>
                <c:pt idx="3">
                  <c:v>Concerns about smoking </c:v>
                </c:pt>
              </c:strCache>
            </c:strRef>
          </c:cat>
          <c:val>
            <c:numRef>
              <c:f>Sheet1!$B$2:$B$5</c:f>
              <c:numCache>
                <c:formatCode>0.0%</c:formatCode>
                <c:ptCount val="4"/>
                <c:pt idx="0">
                  <c:v>0.65800000000000003</c:v>
                </c:pt>
                <c:pt idx="1">
                  <c:v>0.67300000000000004</c:v>
                </c:pt>
                <c:pt idx="2">
                  <c:v>5.7000000000000002E-2</c:v>
                </c:pt>
                <c:pt idx="3">
                  <c:v>0.125</c:v>
                </c:pt>
              </c:numCache>
            </c:numRef>
          </c:val>
          <c:extLst>
            <c:ext xmlns:c16="http://schemas.microsoft.com/office/drawing/2014/chart" uri="{C3380CC4-5D6E-409C-BE32-E72D297353CC}">
              <c16:uniqueId val="{00000000-E50B-49B2-B6EB-BF7D527BEA61}"/>
            </c:ext>
          </c:extLst>
        </c:ser>
        <c:dLbls>
          <c:showLegendKey val="0"/>
          <c:showVal val="0"/>
          <c:showCatName val="0"/>
          <c:showSerName val="0"/>
          <c:showPercent val="0"/>
          <c:showBubbleSize val="0"/>
        </c:dLbls>
        <c:gapWidth val="182"/>
        <c:axId val="1912721311"/>
        <c:axId val="1912720831"/>
      </c:barChart>
      <c:catAx>
        <c:axId val="19127213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12720831"/>
        <c:crosses val="autoZero"/>
        <c:auto val="1"/>
        <c:lblAlgn val="ctr"/>
        <c:lblOffset val="100"/>
        <c:noMultiLvlLbl val="0"/>
      </c:catAx>
      <c:valAx>
        <c:axId val="19127208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 of Resident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127213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Question 14 - Likelihood of Visiting Airwatch Website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'Slough Responses'!$B$38:$E$38</c:f>
              <c:strCache>
                <c:ptCount val="4"/>
                <c:pt idx="0">
                  <c:v>Not likely at all </c:v>
                </c:pt>
                <c:pt idx="1">
                  <c:v>Not likely</c:v>
                </c:pt>
                <c:pt idx="2">
                  <c:v>Somewhat likely</c:v>
                </c:pt>
                <c:pt idx="3">
                  <c:v>Very likely</c:v>
                </c:pt>
              </c:strCache>
            </c:strRef>
          </c:cat>
          <c:val>
            <c:numRef>
              <c:f>'Slough Responses'!$B$40:$E$40</c:f>
              <c:numCache>
                <c:formatCode>0%</c:formatCode>
                <c:ptCount val="4"/>
                <c:pt idx="0">
                  <c:v>0.17821782178217821</c:v>
                </c:pt>
                <c:pt idx="1">
                  <c:v>0.25742574257425743</c:v>
                </c:pt>
                <c:pt idx="2">
                  <c:v>0.40594059405940597</c:v>
                </c:pt>
                <c:pt idx="3">
                  <c:v>0.15841584158415842</c:v>
                </c:pt>
              </c:numCache>
            </c:numRef>
          </c:val>
          <c:extLst>
            <c:ext xmlns:c16="http://schemas.microsoft.com/office/drawing/2014/chart" uri="{C3380CC4-5D6E-409C-BE32-E72D297353CC}">
              <c16:uniqueId val="{00000000-1F25-4ACE-AC91-AFF34FA110B9}"/>
            </c:ext>
          </c:extLst>
        </c:ser>
        <c:dLbls>
          <c:showLegendKey val="0"/>
          <c:showVal val="0"/>
          <c:showCatName val="0"/>
          <c:showSerName val="0"/>
          <c:showPercent val="0"/>
          <c:showBubbleSize val="0"/>
        </c:dLbls>
        <c:gapWidth val="182"/>
        <c:axId val="164970527"/>
        <c:axId val="164971007"/>
      </c:barChart>
      <c:catAx>
        <c:axId val="1649705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4971007"/>
        <c:crosses val="autoZero"/>
        <c:auto val="1"/>
        <c:lblAlgn val="ctr"/>
        <c:lblOffset val="100"/>
        <c:noMultiLvlLbl val="0"/>
      </c:catAx>
      <c:valAx>
        <c:axId val="164971007"/>
        <c:scaling>
          <c:orientation val="minMax"/>
          <c:max val="0.7000000000000000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 of Respondents</a:t>
                </a:r>
              </a:p>
            </c:rich>
          </c:tx>
          <c:overlay val="0"/>
          <c:spPr>
            <a:noFill/>
            <a:ln>
              <a:noFill/>
            </a:ln>
            <a:effectLst/>
          </c:spPr>
          <c:txPr>
            <a:bodyPr rot="0" spcFirstLastPara="1" vertOverflow="ellipsis" vert="horz" wrap="square" anchor="ctr" anchorCtr="1"/>
            <a:lstStyle/>
            <a:p>
              <a:pPr algn="ctr" rtl="0">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4970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Vehicle Ownership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009286601563898"/>
          <c:y val="0.10833941872352855"/>
          <c:w val="0.88364689103323235"/>
          <c:h val="0.65841328464198989"/>
        </c:manualLayout>
      </c:layout>
      <c:barChart>
        <c:barDir val="col"/>
        <c:grouping val="clustered"/>
        <c:varyColors val="0"/>
        <c:ser>
          <c:idx val="0"/>
          <c:order val="0"/>
          <c:tx>
            <c:strRef>
              <c:f>'Vehicle Ownership '!$B$2</c:f>
              <c:strCache>
                <c:ptCount val="1"/>
                <c:pt idx="0">
                  <c:v>Slough </c:v>
                </c:pt>
              </c:strCache>
            </c:strRef>
          </c:tx>
          <c:spPr>
            <a:solidFill>
              <a:srgbClr val="FFFF66"/>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'!$B$3:$B$6</c:f>
              <c:numCache>
                <c:formatCode>0.0%</c:formatCode>
                <c:ptCount val="4"/>
                <c:pt idx="0">
                  <c:v>0.20300000000000001</c:v>
                </c:pt>
                <c:pt idx="1">
                  <c:v>0.42699999999999999</c:v>
                </c:pt>
                <c:pt idx="2">
                  <c:v>0.26900000000000002</c:v>
                </c:pt>
                <c:pt idx="3">
                  <c:v>0.10100000000000001</c:v>
                </c:pt>
              </c:numCache>
            </c:numRef>
          </c:val>
          <c:extLst>
            <c:ext xmlns:c16="http://schemas.microsoft.com/office/drawing/2014/chart" uri="{C3380CC4-5D6E-409C-BE32-E72D297353CC}">
              <c16:uniqueId val="{00000000-D490-4752-AC57-08BB48ABE8FC}"/>
            </c:ext>
          </c:extLst>
        </c:ser>
        <c:ser>
          <c:idx val="1"/>
          <c:order val="1"/>
          <c:tx>
            <c:strRef>
              <c:f>'Vehicle Ownership '!$C$2</c:f>
              <c:strCache>
                <c:ptCount val="1"/>
                <c:pt idx="0">
                  <c:v>Windsor &amp; Maidenhead</c:v>
                </c:pt>
              </c:strCache>
            </c:strRef>
          </c:tx>
          <c:spPr>
            <a:solidFill>
              <a:srgbClr val="F7BBE2"/>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'!$C$3:$C$6</c:f>
              <c:numCache>
                <c:formatCode>0.0%</c:formatCode>
                <c:ptCount val="4"/>
                <c:pt idx="0">
                  <c:v>0.127</c:v>
                </c:pt>
                <c:pt idx="1">
                  <c:v>0.4</c:v>
                </c:pt>
                <c:pt idx="2">
                  <c:v>0.33900000000000002</c:v>
                </c:pt>
                <c:pt idx="3">
                  <c:v>0.13400000000000001</c:v>
                </c:pt>
              </c:numCache>
            </c:numRef>
          </c:val>
          <c:extLst>
            <c:ext xmlns:c16="http://schemas.microsoft.com/office/drawing/2014/chart" uri="{C3380CC4-5D6E-409C-BE32-E72D297353CC}">
              <c16:uniqueId val="{00000001-D490-4752-AC57-08BB48ABE8FC}"/>
            </c:ext>
          </c:extLst>
        </c:ser>
        <c:ser>
          <c:idx val="2"/>
          <c:order val="2"/>
          <c:tx>
            <c:strRef>
              <c:f>'Vehicle Ownership '!$D$2</c:f>
              <c:strCache>
                <c:ptCount val="1"/>
                <c:pt idx="0">
                  <c:v>Spelthorne </c:v>
                </c:pt>
              </c:strCache>
            </c:strRef>
          </c:tx>
          <c:spPr>
            <a:solidFill>
              <a:srgbClr val="DD6DB5"/>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'!$D$3:$D$6</c:f>
              <c:numCache>
                <c:formatCode>0.0%</c:formatCode>
                <c:ptCount val="4"/>
                <c:pt idx="0">
                  <c:v>0.14699999999999999</c:v>
                </c:pt>
                <c:pt idx="1">
                  <c:v>0.42</c:v>
                </c:pt>
                <c:pt idx="2">
                  <c:v>0.313</c:v>
                </c:pt>
                <c:pt idx="3">
                  <c:v>0.12</c:v>
                </c:pt>
              </c:numCache>
            </c:numRef>
          </c:val>
          <c:extLst>
            <c:ext xmlns:c16="http://schemas.microsoft.com/office/drawing/2014/chart" uri="{C3380CC4-5D6E-409C-BE32-E72D297353CC}">
              <c16:uniqueId val="{00000002-D490-4752-AC57-08BB48ABE8FC}"/>
            </c:ext>
          </c:extLst>
        </c:ser>
        <c:ser>
          <c:idx val="3"/>
          <c:order val="3"/>
          <c:tx>
            <c:strRef>
              <c:f>'Vehicle Ownership '!$E$2</c:f>
              <c:strCache>
                <c:ptCount val="1"/>
                <c:pt idx="0">
                  <c:v>Hillingdon</c:v>
                </c:pt>
              </c:strCache>
            </c:strRef>
          </c:tx>
          <c:spPr>
            <a:solidFill>
              <a:srgbClr val="A8007C"/>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'!$E$3:$E$6</c:f>
              <c:numCache>
                <c:formatCode>0.0%</c:formatCode>
                <c:ptCount val="4"/>
                <c:pt idx="0">
                  <c:v>0.223</c:v>
                </c:pt>
                <c:pt idx="1">
                  <c:v>0.44</c:v>
                </c:pt>
                <c:pt idx="2">
                  <c:v>0.248</c:v>
                </c:pt>
                <c:pt idx="3">
                  <c:v>8.8999999999999996E-2</c:v>
                </c:pt>
              </c:numCache>
            </c:numRef>
          </c:val>
          <c:extLst>
            <c:ext xmlns:c16="http://schemas.microsoft.com/office/drawing/2014/chart" uri="{C3380CC4-5D6E-409C-BE32-E72D297353CC}">
              <c16:uniqueId val="{00000003-D490-4752-AC57-08BB48ABE8FC}"/>
            </c:ext>
          </c:extLst>
        </c:ser>
        <c:ser>
          <c:idx val="4"/>
          <c:order val="4"/>
          <c:tx>
            <c:strRef>
              <c:f>'Vehicle Ownership '!$F$2</c:f>
              <c:strCache>
                <c:ptCount val="1"/>
                <c:pt idx="0">
                  <c:v>Reading</c:v>
                </c:pt>
              </c:strCache>
            </c:strRef>
          </c:tx>
          <c:spPr>
            <a:solidFill>
              <a:schemeClr val="accent5">
                <a:lumMod val="40000"/>
                <a:lumOff val="60000"/>
              </a:schemeClr>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'!$F$3:$F$6</c:f>
              <c:numCache>
                <c:formatCode>0.0%</c:formatCode>
                <c:ptCount val="4"/>
                <c:pt idx="0">
                  <c:v>0.28399999999999997</c:v>
                </c:pt>
                <c:pt idx="1">
                  <c:v>0.443</c:v>
                </c:pt>
                <c:pt idx="2">
                  <c:v>0.21099999999999999</c:v>
                </c:pt>
                <c:pt idx="3">
                  <c:v>6.2E-2</c:v>
                </c:pt>
              </c:numCache>
            </c:numRef>
          </c:val>
          <c:extLst>
            <c:ext xmlns:c16="http://schemas.microsoft.com/office/drawing/2014/chart" uri="{C3380CC4-5D6E-409C-BE32-E72D297353CC}">
              <c16:uniqueId val="{00000004-D490-4752-AC57-08BB48ABE8FC}"/>
            </c:ext>
          </c:extLst>
        </c:ser>
        <c:ser>
          <c:idx val="5"/>
          <c:order val="5"/>
          <c:tx>
            <c:strRef>
              <c:f>'Vehicle Ownership '!$G$2</c:f>
              <c:strCache>
                <c:ptCount val="1"/>
                <c:pt idx="0">
                  <c:v>Portsmouth</c:v>
                </c:pt>
              </c:strCache>
            </c:strRef>
          </c:tx>
          <c:spPr>
            <a:solidFill>
              <a:srgbClr val="76ABDC"/>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'!$G$3:$G$6</c:f>
              <c:numCache>
                <c:formatCode>0.0%</c:formatCode>
                <c:ptCount val="4"/>
                <c:pt idx="0">
                  <c:v>0.30299999999999999</c:v>
                </c:pt>
                <c:pt idx="1">
                  <c:v>0.435</c:v>
                </c:pt>
                <c:pt idx="2">
                  <c:v>0.20799999999999999</c:v>
                </c:pt>
                <c:pt idx="3">
                  <c:v>5.3999999999999999E-2</c:v>
                </c:pt>
              </c:numCache>
            </c:numRef>
          </c:val>
          <c:extLst>
            <c:ext xmlns:c16="http://schemas.microsoft.com/office/drawing/2014/chart" uri="{C3380CC4-5D6E-409C-BE32-E72D297353CC}">
              <c16:uniqueId val="{00000005-D490-4752-AC57-08BB48ABE8FC}"/>
            </c:ext>
          </c:extLst>
        </c:ser>
        <c:ser>
          <c:idx val="6"/>
          <c:order val="6"/>
          <c:tx>
            <c:strRef>
              <c:f>'Vehicle Ownership '!$H$2</c:f>
              <c:strCache>
                <c:ptCount val="1"/>
                <c:pt idx="0">
                  <c:v>Southampton </c:v>
                </c:pt>
              </c:strCache>
            </c:strRef>
          </c:tx>
          <c:spPr>
            <a:solidFill>
              <a:schemeClr val="accent1">
                <a:lumMod val="60000"/>
              </a:schemeClr>
            </a:solidFill>
            <a:ln>
              <a:no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'!$H$3:$H$6</c:f>
              <c:numCache>
                <c:formatCode>0.0%</c:formatCode>
                <c:ptCount val="4"/>
                <c:pt idx="0">
                  <c:v>0.27400000000000002</c:v>
                </c:pt>
                <c:pt idx="1">
                  <c:v>0.443</c:v>
                </c:pt>
                <c:pt idx="2">
                  <c:v>0.218</c:v>
                </c:pt>
                <c:pt idx="3">
                  <c:v>6.5000000000000002E-2</c:v>
                </c:pt>
              </c:numCache>
            </c:numRef>
          </c:val>
          <c:extLst>
            <c:ext xmlns:c16="http://schemas.microsoft.com/office/drawing/2014/chart" uri="{C3380CC4-5D6E-409C-BE32-E72D297353CC}">
              <c16:uniqueId val="{00000006-D490-4752-AC57-08BB48ABE8FC}"/>
            </c:ext>
          </c:extLst>
        </c:ser>
        <c:ser>
          <c:idx val="7"/>
          <c:order val="7"/>
          <c:tx>
            <c:strRef>
              <c:f>'Vehicle Ownership '!$I$2</c:f>
              <c:strCache>
                <c:ptCount val="1"/>
                <c:pt idx="0">
                  <c:v>South East Average</c:v>
                </c:pt>
              </c:strCache>
            </c:strRef>
          </c:tx>
          <c:spPr>
            <a:solidFill>
              <a:srgbClr val="75B44A"/>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'!$I$3:$I$6</c:f>
              <c:numCache>
                <c:formatCode>0.0%</c:formatCode>
                <c:ptCount val="4"/>
                <c:pt idx="0">
                  <c:v>0.16861967780174508</c:v>
                </c:pt>
                <c:pt idx="1">
                  <c:v>0.40807008255851024</c:v>
                </c:pt>
                <c:pt idx="2">
                  <c:v>0.30548487040062855</c:v>
                </c:pt>
                <c:pt idx="3">
                  <c:v>0.1178253692391161</c:v>
                </c:pt>
              </c:numCache>
            </c:numRef>
          </c:val>
          <c:extLst>
            <c:ext xmlns:c16="http://schemas.microsoft.com/office/drawing/2014/chart" uri="{C3380CC4-5D6E-409C-BE32-E72D297353CC}">
              <c16:uniqueId val="{00000007-D490-4752-AC57-08BB48ABE8FC}"/>
            </c:ext>
          </c:extLst>
        </c:ser>
        <c:ser>
          <c:idx val="8"/>
          <c:order val="8"/>
          <c:tx>
            <c:strRef>
              <c:f>'Vehicle Ownership '!$J$2</c:f>
              <c:strCache>
                <c:ptCount val="1"/>
                <c:pt idx="0">
                  <c:v>England Average</c:v>
                </c:pt>
              </c:strCache>
            </c:strRef>
          </c:tx>
          <c:spPr>
            <a:solidFill>
              <a:srgbClr val="4C7430"/>
            </a:solidFill>
            <a:ln>
              <a:solidFill>
                <a:sysClr val="windowText" lastClr="000000"/>
              </a:solidFill>
            </a:ln>
            <a:effectLst/>
          </c:spPr>
          <c:invertIfNegative val="0"/>
          <c:cat>
            <c:strRef>
              <c:f>'Vehicle Ownership '!$A$3:$A$6</c:f>
              <c:strCache>
                <c:ptCount val="4"/>
                <c:pt idx="0">
                  <c:v>No cars of vans in household</c:v>
                </c:pt>
                <c:pt idx="1">
                  <c:v>1 car of van in household</c:v>
                </c:pt>
                <c:pt idx="2">
                  <c:v>2 cars of vans in household</c:v>
                </c:pt>
                <c:pt idx="3">
                  <c:v>3 or more cars or vans in household</c:v>
                </c:pt>
              </c:strCache>
            </c:strRef>
          </c:cat>
          <c:val>
            <c:numRef>
              <c:f>'Vehicle Ownership '!$J$3:$J$6</c:f>
              <c:numCache>
                <c:formatCode>0.0%</c:formatCode>
                <c:ptCount val="4"/>
                <c:pt idx="0">
                  <c:v>0.23536772460075989</c:v>
                </c:pt>
                <c:pt idx="1">
                  <c:v>0.4128097760355452</c:v>
                </c:pt>
                <c:pt idx="2">
                  <c:v>0.26057978540357746</c:v>
                </c:pt>
                <c:pt idx="3">
                  <c:v>9.1242713960117489E-2</c:v>
                </c:pt>
              </c:numCache>
            </c:numRef>
          </c:val>
          <c:extLst>
            <c:ext xmlns:c16="http://schemas.microsoft.com/office/drawing/2014/chart" uri="{C3380CC4-5D6E-409C-BE32-E72D297353CC}">
              <c16:uniqueId val="{00000008-D490-4752-AC57-08BB48ABE8FC}"/>
            </c:ext>
          </c:extLst>
        </c:ser>
        <c:dLbls>
          <c:showLegendKey val="0"/>
          <c:showVal val="0"/>
          <c:showCatName val="0"/>
          <c:showSerName val="0"/>
          <c:showPercent val="0"/>
          <c:showBubbleSize val="0"/>
        </c:dLbls>
        <c:gapWidth val="219"/>
        <c:overlap val="-27"/>
        <c:axId val="859094431"/>
        <c:axId val="859094911"/>
      </c:barChart>
      <c:catAx>
        <c:axId val="859094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59094911"/>
        <c:crosses val="autoZero"/>
        <c:auto val="1"/>
        <c:lblAlgn val="ctr"/>
        <c:lblOffset val="100"/>
        <c:noMultiLvlLbl val="0"/>
      </c:catAx>
      <c:valAx>
        <c:axId val="859094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a:t>
                </a:r>
                <a:r>
                  <a:rPr lang="en-GB" baseline="0"/>
                  <a:t> </a:t>
                </a:r>
                <a:r>
                  <a:rPr lang="en-GB"/>
                  <a:t>of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59094431"/>
        <c:crosses val="autoZero"/>
        <c:crossBetween val="between"/>
      </c:valAx>
      <c:spPr>
        <a:noFill/>
        <a:ln>
          <a:noFill/>
        </a:ln>
        <a:effectLst/>
      </c:spPr>
    </c:plotArea>
    <c:legend>
      <c:legendPos val="b"/>
      <c:layout>
        <c:manualLayout>
          <c:xMode val="edge"/>
          <c:yMode val="edge"/>
          <c:x val="4.5799644553195205E-2"/>
          <c:y val="0.87923895246154993"/>
          <c:w val="0.92354877680973713"/>
          <c:h val="0.103237683052468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t>Correlation between percentage of households with three</a:t>
            </a:r>
            <a:r>
              <a:rPr lang="en-US" sz="1200" baseline="0"/>
              <a:t> </a:t>
            </a:r>
            <a:r>
              <a:rPr lang="en-US" sz="1200"/>
              <a:t>or more cars or vans, with population density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scatterChart>
        <c:scatterStyle val="lineMarker"/>
        <c:varyColors val="0"/>
        <c:ser>
          <c:idx val="0"/>
          <c:order val="0"/>
          <c:tx>
            <c:strRef>
              <c:f>'3 or more vehicles by pop den'!$A$3</c:f>
              <c:strCache>
                <c:ptCount val="1"/>
                <c:pt idx="0">
                  <c:v>Pop density </c:v>
                </c:pt>
              </c:strCache>
            </c:strRef>
          </c:tx>
          <c:spPr>
            <a:ln w="25400" cap="rnd">
              <a:noFill/>
              <a:round/>
            </a:ln>
            <a:effectLst/>
          </c:spPr>
          <c:marker>
            <c:symbol val="circle"/>
            <c:size val="5"/>
            <c:spPr>
              <a:solidFill>
                <a:schemeClr val="accent1"/>
              </a:solidFill>
              <a:ln w="9525">
                <a:solidFill>
                  <a:schemeClr val="accent1"/>
                </a:solidFill>
              </a:ln>
              <a:effectLst/>
            </c:spPr>
          </c:marker>
          <c:dLbls>
            <c:dLbl>
              <c:idx val="0"/>
              <c:tx>
                <c:rich>
                  <a:bodyPr/>
                  <a:lstStyle/>
                  <a:p>
                    <a:fld id="{8FDDF29E-6F57-472B-8B15-2A5E3B118D4B}" type="CELLRANGE">
                      <a:rPr lang="en-US"/>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44A2-41CF-B17E-AACE4FB45C22}"/>
                </c:ext>
              </c:extLst>
            </c:dLbl>
            <c:dLbl>
              <c:idx val="1"/>
              <c:layout>
                <c:manualLayout>
                  <c:x val="-7.1992120872361204E-2"/>
                  <c:y val="-5.1187427977370831E-2"/>
                </c:manualLayout>
              </c:layout>
              <c:tx>
                <c:rich>
                  <a:bodyPr/>
                  <a:lstStyle/>
                  <a:p>
                    <a:fld id="{24AF56B6-A6E5-4E6E-9A55-00C88EFA1308}"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44A2-41CF-B17E-AACE4FB45C22}"/>
                </c:ext>
              </c:extLst>
            </c:dLbl>
            <c:dLbl>
              <c:idx val="2"/>
              <c:tx>
                <c:rich>
                  <a:bodyPr/>
                  <a:lstStyle/>
                  <a:p>
                    <a:fld id="{0FA4EAD7-E912-4AB2-B581-0F726843C559}" type="CELLRANGE">
                      <a:rPr lang="en-GB"/>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44A2-41CF-B17E-AACE4FB45C22}"/>
                </c:ext>
              </c:extLst>
            </c:dLbl>
            <c:dLbl>
              <c:idx val="3"/>
              <c:tx>
                <c:rich>
                  <a:bodyPr/>
                  <a:lstStyle/>
                  <a:p>
                    <a:fld id="{4A2FE5C6-98F0-4A3F-831F-FC60BCF0EA10}" type="CELLRANGE">
                      <a:rPr lang="en-GB"/>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4A2-41CF-B17E-AACE4FB45C22}"/>
                </c:ext>
              </c:extLst>
            </c:dLbl>
            <c:dLbl>
              <c:idx val="4"/>
              <c:tx>
                <c:rich>
                  <a:bodyPr/>
                  <a:lstStyle/>
                  <a:p>
                    <a:fld id="{D33531E9-1D42-48AD-8BB7-6ACF7EBAC460}" type="CELLRANGE">
                      <a:rPr lang="en-GB"/>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44A2-41CF-B17E-AACE4FB45C22}"/>
                </c:ext>
              </c:extLst>
            </c:dLbl>
            <c:dLbl>
              <c:idx val="5"/>
              <c:layout>
                <c:manualLayout>
                  <c:x val="-3.5649488670988501E-2"/>
                  <c:y val="2.4804722176992297E-2"/>
                </c:manualLayout>
              </c:layout>
              <c:tx>
                <c:rich>
                  <a:bodyPr/>
                  <a:lstStyle/>
                  <a:p>
                    <a:fld id="{AB0E56D4-99B5-47C4-8FED-964A66693F1B}"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44A2-41CF-B17E-AACE4FB45C22}"/>
                </c:ext>
              </c:extLst>
            </c:dLbl>
            <c:dLbl>
              <c:idx val="6"/>
              <c:layout>
                <c:manualLayout>
                  <c:x val="-6.7877542880268232E-2"/>
                  <c:y val="1.896317618194714E-2"/>
                </c:manualLayout>
              </c:layout>
              <c:tx>
                <c:rich>
                  <a:bodyPr/>
                  <a:lstStyle/>
                  <a:p>
                    <a:fld id="{38A90B05-9D0F-47A2-8A7A-550F1FCBB8E1}"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44A2-41CF-B17E-AACE4FB45C22}"/>
                </c:ext>
              </c:extLst>
            </c:dLbl>
            <c:dLbl>
              <c:idx val="7"/>
              <c:tx>
                <c:rich>
                  <a:bodyPr/>
                  <a:lstStyle/>
                  <a:p>
                    <a:fld id="{BE9B3216-A41E-4C8E-B4A8-E5EF7C566A2A}" type="CELLRANGE">
                      <a:rPr lang="en-GB"/>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44A2-41CF-B17E-AACE4FB45C22}"/>
                </c:ext>
              </c:extLst>
            </c:dLbl>
            <c:dLbl>
              <c:idx val="8"/>
              <c:tx>
                <c:rich>
                  <a:bodyPr/>
                  <a:lstStyle/>
                  <a:p>
                    <a:fld id="{D71ABA64-06FD-46A5-9C3E-4843498E468C}" type="CELLRANGE">
                      <a:rPr lang="en-GB"/>
                      <a:pPr/>
                      <a:t>[CELLRANGE]</a:t>
                    </a:fld>
                    <a:endParaRPr lang="en-GB"/>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44A2-41CF-B17E-AACE4FB45C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'3 or more vehicles by pop den'!$B$3:$J$3</c:f>
              <c:numCache>
                <c:formatCode>General</c:formatCode>
                <c:ptCount val="9"/>
                <c:pt idx="0">
                  <c:v>4871</c:v>
                </c:pt>
                <c:pt idx="1">
                  <c:v>781</c:v>
                </c:pt>
                <c:pt idx="2">
                  <c:v>2295</c:v>
                </c:pt>
                <c:pt idx="3">
                  <c:v>2644</c:v>
                </c:pt>
                <c:pt idx="4">
                  <c:v>4313</c:v>
                </c:pt>
                <c:pt idx="5">
                  <c:v>5153</c:v>
                </c:pt>
                <c:pt idx="6">
                  <c:v>4992</c:v>
                </c:pt>
                <c:pt idx="7">
                  <c:v>486.5</c:v>
                </c:pt>
                <c:pt idx="8">
                  <c:v>433.5</c:v>
                </c:pt>
              </c:numCache>
            </c:numRef>
          </c:xVal>
          <c:yVal>
            <c:numRef>
              <c:f>'3 or more vehicles by pop den'!$B$2:$J$2</c:f>
              <c:numCache>
                <c:formatCode>0%</c:formatCode>
                <c:ptCount val="9"/>
                <c:pt idx="0">
                  <c:v>0.10100000000000001</c:v>
                </c:pt>
                <c:pt idx="1">
                  <c:v>0.13400000000000001</c:v>
                </c:pt>
                <c:pt idx="2">
                  <c:v>0.12</c:v>
                </c:pt>
                <c:pt idx="3">
                  <c:v>8.8999999999999996E-2</c:v>
                </c:pt>
                <c:pt idx="4">
                  <c:v>6.2E-2</c:v>
                </c:pt>
                <c:pt idx="5">
                  <c:v>5.3999999999999999E-2</c:v>
                </c:pt>
                <c:pt idx="6">
                  <c:v>6.5000000000000002E-2</c:v>
                </c:pt>
                <c:pt idx="7" formatCode="0.0%">
                  <c:v>0.1178253692391161</c:v>
                </c:pt>
                <c:pt idx="8" formatCode="0.0%">
                  <c:v>9.1242713960117489E-2</c:v>
                </c:pt>
              </c:numCache>
            </c:numRef>
          </c:yVal>
          <c:smooth val="0"/>
          <c:extLst>
            <c:ext xmlns:c15="http://schemas.microsoft.com/office/drawing/2012/chart" uri="{02D57815-91ED-43cb-92C2-25804820EDAC}">
              <c15:datalabelsRange>
                <c15:f>'3 or more vehicles by pop den'!$B$1:$J$1</c15:f>
                <c15:dlblRangeCache>
                  <c:ptCount val="9"/>
                  <c:pt idx="0">
                    <c:v>Slough </c:v>
                  </c:pt>
                  <c:pt idx="1">
                    <c:v>Windsor &amp; Maidenhead</c:v>
                  </c:pt>
                  <c:pt idx="2">
                    <c:v>Spelthorne </c:v>
                  </c:pt>
                  <c:pt idx="3">
                    <c:v>Hillingdon</c:v>
                  </c:pt>
                  <c:pt idx="4">
                    <c:v>Reading</c:v>
                  </c:pt>
                  <c:pt idx="5">
                    <c:v>Portsmouth</c:v>
                  </c:pt>
                  <c:pt idx="6">
                    <c:v>Southampton </c:v>
                  </c:pt>
                  <c:pt idx="7">
                    <c:v>South East </c:v>
                  </c:pt>
                  <c:pt idx="8">
                    <c:v>England</c:v>
                  </c:pt>
                </c15:dlblRangeCache>
              </c15:datalabelsRange>
            </c:ext>
            <c:ext xmlns:c16="http://schemas.microsoft.com/office/drawing/2014/chart" uri="{C3380CC4-5D6E-409C-BE32-E72D297353CC}">
              <c16:uniqueId val="{0000000A-44A2-41CF-B17E-AACE4FB45C22}"/>
            </c:ext>
          </c:extLst>
        </c:ser>
        <c:dLbls>
          <c:showLegendKey val="0"/>
          <c:showVal val="0"/>
          <c:showCatName val="0"/>
          <c:showSerName val="0"/>
          <c:showPercent val="0"/>
          <c:showBubbleSize val="0"/>
        </c:dLbls>
        <c:axId val="179016335"/>
        <c:axId val="179018255"/>
      </c:scatterChart>
      <c:valAx>
        <c:axId val="17901633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Population Density </a:t>
                </a:r>
              </a:p>
            </c:rich>
          </c:tx>
          <c:layout>
            <c:manualLayout>
              <c:xMode val="edge"/>
              <c:yMode val="edge"/>
              <c:x val="0.45487811677146395"/>
              <c:y val="0.932223347601424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9018255"/>
        <c:crosses val="autoZero"/>
        <c:crossBetween val="midCat"/>
      </c:valAx>
      <c:valAx>
        <c:axId val="179018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Percentage of households with three</a:t>
                </a:r>
                <a:r>
                  <a:rPr lang="en-GB" baseline="0"/>
                  <a:t> </a:t>
                </a:r>
                <a:r>
                  <a:rPr lang="en-GB"/>
                  <a:t>or more cars or vans </a:t>
                </a:r>
              </a:p>
              <a:p>
                <a:pPr>
                  <a:defRPr/>
                </a:pPr>
                <a:endParaRPr lang="en-GB"/>
              </a:p>
            </c:rich>
          </c:tx>
          <c:layout>
            <c:manualLayout>
              <c:xMode val="edge"/>
              <c:yMode val="edge"/>
              <c:x val="2.4374030578329271E-2"/>
              <c:y val="0.116630901287553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901633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Economic Activity in Slough (2021)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B59CFC"/>
              </a:solidFill>
              <a:ln w="19050">
                <a:solidFill>
                  <a:schemeClr val="lt1"/>
                </a:solidFill>
              </a:ln>
              <a:effectLst/>
            </c:spPr>
            <c:extLst>
              <c:ext xmlns:c16="http://schemas.microsoft.com/office/drawing/2014/chart" uri="{C3380CC4-5D6E-409C-BE32-E72D297353CC}">
                <c16:uniqueId val="{00000001-16AE-4321-A0F4-10DEA69D427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AE-4321-A0F4-10DEA69D4279}"/>
              </c:ext>
            </c:extLst>
          </c:dPt>
          <c:dPt>
            <c:idx val="2"/>
            <c:bubble3D val="0"/>
            <c:spPr>
              <a:solidFill>
                <a:srgbClr val="7E5AE4"/>
              </a:solidFill>
              <a:ln w="19050">
                <a:solidFill>
                  <a:schemeClr val="lt1"/>
                </a:solidFill>
              </a:ln>
              <a:effectLst/>
            </c:spPr>
            <c:extLst>
              <c:ext xmlns:c16="http://schemas.microsoft.com/office/drawing/2014/chart" uri="{C3380CC4-5D6E-409C-BE32-E72D297353CC}">
                <c16:uniqueId val="{00000005-16AE-4321-A0F4-10DEA69D427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6AE-4321-A0F4-10DEA69D4279}"/>
              </c:ext>
            </c:extLst>
          </c:dPt>
          <c:dLbls>
            <c:dLbl>
              <c:idx val="0"/>
              <c:layout>
                <c:manualLayout>
                  <c:x val="2.8305471235087042E-2"/>
                  <c:y val="4.54120425180907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6AE-4321-A0F4-10DEA69D4279}"/>
                </c:ext>
              </c:extLst>
            </c:dLbl>
            <c:dLbl>
              <c:idx val="1"/>
              <c:layout>
                <c:manualLayout>
                  <c:x val="2.4698089045748672E-2"/>
                  <c:y val="-0.1130909244637303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6AE-4321-A0F4-10DEA69D4279}"/>
                </c:ext>
              </c:extLst>
            </c:dLbl>
            <c:dLbl>
              <c:idx val="2"/>
              <c:layout>
                <c:manualLayout>
                  <c:x val="0.11300686904498125"/>
                  <c:y val="-3.927375857949798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8030135165078662"/>
                      <c:h val="0.20187887267639415"/>
                    </c:manualLayout>
                  </c15:layout>
                </c:ext>
                <c:ext xmlns:c16="http://schemas.microsoft.com/office/drawing/2014/chart" uri="{C3380CC4-5D6E-409C-BE32-E72D297353CC}">
                  <c16:uniqueId val="{00000005-16AE-4321-A0F4-10DEA69D4279}"/>
                </c:ext>
              </c:extLst>
            </c:dLbl>
            <c:dLbl>
              <c:idx val="3"/>
              <c:layout>
                <c:manualLayout>
                  <c:x val="1.6729703009101957E-2"/>
                  <c:y val="-0.2146761665116239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6AE-4321-A0F4-10DEA69D427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'Slough Specific'!$D$68:$D$71</c:f>
              <c:strCache>
                <c:ptCount val="4"/>
                <c:pt idx="0">
                  <c:v>Employed and travels to work </c:v>
                </c:pt>
                <c:pt idx="1">
                  <c:v>Work mainly at or from home</c:v>
                </c:pt>
                <c:pt idx="2">
                  <c:v>Works mainly offshore, in no fixed place or outside the UK</c:v>
                </c:pt>
                <c:pt idx="3">
                  <c:v>Not in employment or aged 15 years and under</c:v>
                </c:pt>
              </c:strCache>
            </c:strRef>
          </c:cat>
          <c:val>
            <c:numRef>
              <c:f>'Slough Specific'!$E$68:$E$71</c:f>
              <c:numCache>
                <c:formatCode>General</c:formatCode>
                <c:ptCount val="4"/>
                <c:pt idx="0">
                  <c:v>41309</c:v>
                </c:pt>
                <c:pt idx="1">
                  <c:v>19976</c:v>
                </c:pt>
                <c:pt idx="2">
                  <c:v>12418</c:v>
                </c:pt>
                <c:pt idx="3">
                  <c:v>84799</c:v>
                </c:pt>
              </c:numCache>
            </c:numRef>
          </c:val>
          <c:extLst>
            <c:ext xmlns:c16="http://schemas.microsoft.com/office/drawing/2014/chart" uri="{C3380CC4-5D6E-409C-BE32-E72D297353CC}">
              <c16:uniqueId val="{00000008-16AE-4321-A0F4-10DEA69D427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Mode Choice Distribution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008938"/>
              </a:solidFill>
              <a:ln w="19050">
                <a:solidFill>
                  <a:schemeClr val="lt1"/>
                </a:solidFill>
              </a:ln>
              <a:effectLst/>
            </c:spPr>
            <c:extLst>
              <c:ext xmlns:c16="http://schemas.microsoft.com/office/drawing/2014/chart" uri="{C3380CC4-5D6E-409C-BE32-E72D297353CC}">
                <c16:uniqueId val="{00000001-BA6B-4473-AF2F-1594B78C9534}"/>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BA6B-4473-AF2F-1594B78C9534}"/>
              </c:ext>
            </c:extLst>
          </c:dPt>
          <c:dPt>
            <c:idx val="2"/>
            <c:bubble3D val="0"/>
            <c:spPr>
              <a:solidFill>
                <a:srgbClr val="CC0099"/>
              </a:solidFill>
              <a:ln w="19050">
                <a:solidFill>
                  <a:schemeClr val="lt1"/>
                </a:solidFill>
              </a:ln>
              <a:effectLst/>
            </c:spPr>
            <c:extLst>
              <c:ext xmlns:c16="http://schemas.microsoft.com/office/drawing/2014/chart" uri="{C3380CC4-5D6E-409C-BE32-E72D297353CC}">
                <c16:uniqueId val="{00000005-BA6B-4473-AF2F-1594B78C953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A6B-4473-AF2F-1594B78C953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A6B-4473-AF2F-1594B78C9534}"/>
              </c:ext>
            </c:extLst>
          </c:dPt>
          <c:dLbls>
            <c:dLbl>
              <c:idx val="0"/>
              <c:layout>
                <c:manualLayout>
                  <c:x val="9.768805686021266E-2"/>
                  <c:y val="0.1025451807001174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A6B-4473-AF2F-1594B78C9534}"/>
                </c:ext>
              </c:extLst>
            </c:dLbl>
            <c:dLbl>
              <c:idx val="1"/>
              <c:layout>
                <c:manualLayout>
                  <c:x val="2.9896847072846174E-2"/>
                  <c:y val="0.1199832502688988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A6B-4473-AF2F-1594B78C9534}"/>
                </c:ext>
              </c:extLst>
            </c:dLbl>
            <c:dLbl>
              <c:idx val="2"/>
              <c:layout>
                <c:manualLayout>
                  <c:x val="-4.3573114001351679E-2"/>
                  <c:y val="-4.871971295558857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A6B-4473-AF2F-1594B78C9534}"/>
                </c:ext>
              </c:extLst>
            </c:dLbl>
            <c:dLbl>
              <c:idx val="3"/>
              <c:layout>
                <c:manualLayout>
                  <c:x val="-0.21565802888514637"/>
                  <c:y val="9.73482723820289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A6B-4473-AF2F-1594B78C9534}"/>
                </c:ext>
              </c:extLst>
            </c:dLbl>
            <c:dLbl>
              <c:idx val="4"/>
              <c:layout>
                <c:manualLayout>
                  <c:x val="0.26461144653738072"/>
                  <c:y val="4.1744532269552347E-2"/>
                </c:manualLayout>
              </c:layout>
              <c:tx>
                <c:rich>
                  <a:bodyPr/>
                  <a:lstStyle/>
                  <a:p>
                    <a:fld id="{7F60C919-E8E4-4330-B8AD-DF6FC48128B5}" type="CATEGORYNAME">
                      <a:rPr lang="en-US"/>
                      <a:pPr/>
                      <a:t>[CATEGORY NAME]</a:t>
                    </a:fld>
                    <a:r>
                      <a:rPr lang="en-US"/>
                      <a:t>  </a:t>
                    </a:r>
                    <a:fld id="{5285307D-71A9-4448-AA33-00F3BA94F826}" type="PERCENTAGE">
                      <a:rPr lang="en-US"/>
                      <a:pPr/>
                      <a:t>[PERCENTAGE]</a:t>
                    </a:fld>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41622753273512786"/>
                      <c:h val="0.14097324034143741"/>
                    </c:manualLayout>
                  </c15:layout>
                  <c15:dlblFieldTable/>
                  <c15:showDataLabelsRange val="0"/>
                </c:ext>
                <c:ext xmlns:c16="http://schemas.microsoft.com/office/drawing/2014/chart" uri="{C3380CC4-5D6E-409C-BE32-E72D297353CC}">
                  <c16:uniqueId val="{00000009-BA6B-4473-AF2F-1594B78C953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'Slough Specific'!$D$98:$D$102</c:f>
              <c:strCache>
                <c:ptCount val="5"/>
                <c:pt idx="0">
                  <c:v>Active travel</c:v>
                </c:pt>
                <c:pt idx="1">
                  <c:v>Public Transport</c:v>
                </c:pt>
                <c:pt idx="2">
                  <c:v>Car or van</c:v>
                </c:pt>
                <c:pt idx="3">
                  <c:v>Motorcycle, scooter or moped</c:v>
                </c:pt>
                <c:pt idx="4">
                  <c:v>Other method of travel to work</c:v>
                </c:pt>
              </c:strCache>
            </c:strRef>
          </c:cat>
          <c:val>
            <c:numRef>
              <c:f>'Slough Specific'!$E$98:$E$102</c:f>
              <c:numCache>
                <c:formatCode>General</c:formatCode>
                <c:ptCount val="5"/>
                <c:pt idx="0">
                  <c:v>7208</c:v>
                </c:pt>
                <c:pt idx="1">
                  <c:v>6986</c:v>
                </c:pt>
                <c:pt idx="2">
                  <c:v>38190</c:v>
                </c:pt>
                <c:pt idx="3">
                  <c:v>332</c:v>
                </c:pt>
                <c:pt idx="4">
                  <c:v>1011</c:v>
                </c:pt>
              </c:numCache>
            </c:numRef>
          </c:val>
          <c:extLst>
            <c:ext xmlns:c16="http://schemas.microsoft.com/office/drawing/2014/chart" uri="{C3380CC4-5D6E-409C-BE32-E72D297353CC}">
              <c16:uniqueId val="{0000000A-BA6B-4473-AF2F-1594B78C953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latin typeface="Arial" panose="020B0604020202020204" pitchFamily="34" charset="0"/>
                <a:cs typeface="Arial" panose="020B0604020202020204" pitchFamily="34" charset="0"/>
              </a:rPr>
              <a:t>Employed and</a:t>
            </a:r>
            <a:r>
              <a:rPr lang="en-GB" baseline="0">
                <a:latin typeface="Arial" panose="020B0604020202020204" pitchFamily="34" charset="0"/>
                <a:cs typeface="Arial" panose="020B0604020202020204" pitchFamily="34" charset="0"/>
              </a:rPr>
              <a:t> travels to work: Detailed Mode Choices</a:t>
            </a:r>
            <a:endParaRPr lang="en-GB">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'Slough Specific'!$D$85:$D$94</c:f>
              <c:strCache>
                <c:ptCount val="10"/>
                <c:pt idx="0">
                  <c:v>Other method of travel to work</c:v>
                </c:pt>
                <c:pt idx="1">
                  <c:v>Bus, minibus or coach</c:v>
                </c:pt>
                <c:pt idx="2">
                  <c:v>Underground, metro, light rail, tram</c:v>
                </c:pt>
                <c:pt idx="3">
                  <c:v>Train</c:v>
                </c:pt>
                <c:pt idx="4">
                  <c:v>Taxi</c:v>
                </c:pt>
                <c:pt idx="5">
                  <c:v>Motorcycle, scooter or moped</c:v>
                </c:pt>
                <c:pt idx="6">
                  <c:v>Driving a car or van</c:v>
                </c:pt>
                <c:pt idx="7">
                  <c:v>Passenger in a car or van</c:v>
                </c:pt>
                <c:pt idx="8">
                  <c:v>On foot</c:v>
                </c:pt>
                <c:pt idx="9">
                  <c:v>Bicycle</c:v>
                </c:pt>
              </c:strCache>
            </c:strRef>
          </c:cat>
          <c:val>
            <c:numRef>
              <c:f>'Slough Specific'!$F$85:$F$94</c:f>
              <c:numCache>
                <c:formatCode>0.0%</c:formatCode>
                <c:ptCount val="10"/>
                <c:pt idx="0">
                  <c:v>1.8817354402814228E-2</c:v>
                </c:pt>
                <c:pt idx="1">
                  <c:v>5.8573901390362386E-2</c:v>
                </c:pt>
                <c:pt idx="2">
                  <c:v>1.0962830606585143E-2</c:v>
                </c:pt>
                <c:pt idx="3">
                  <c:v>4.3237106110521714E-2</c:v>
                </c:pt>
                <c:pt idx="4">
                  <c:v>1.7253894689820762E-2</c:v>
                </c:pt>
                <c:pt idx="5">
                  <c:v>6.1793883894503696E-3</c:v>
                </c:pt>
                <c:pt idx="6">
                  <c:v>0.64040426601150258</c:v>
                </c:pt>
                <c:pt idx="7">
                  <c:v>7.0411524931598635E-2</c:v>
                </c:pt>
                <c:pt idx="8">
                  <c:v>0.10568243155210602</c:v>
                </c:pt>
                <c:pt idx="9">
                  <c:v>2.8477301915238149E-2</c:v>
                </c:pt>
              </c:numCache>
            </c:numRef>
          </c:val>
          <c:extLst>
            <c:ext xmlns:c16="http://schemas.microsoft.com/office/drawing/2014/chart" uri="{C3380CC4-5D6E-409C-BE32-E72D297353CC}">
              <c16:uniqueId val="{00000000-C9A2-41EC-9B14-3AD86BBD22E4}"/>
            </c:ext>
          </c:extLst>
        </c:ser>
        <c:dLbls>
          <c:showLegendKey val="0"/>
          <c:showVal val="0"/>
          <c:showCatName val="0"/>
          <c:showSerName val="0"/>
          <c:showPercent val="0"/>
          <c:showBubbleSize val="0"/>
        </c:dLbls>
        <c:gapWidth val="182"/>
        <c:axId val="7636463"/>
        <c:axId val="7636943"/>
      </c:barChart>
      <c:valAx>
        <c:axId val="763694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of Population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36463"/>
        <c:crosses val="autoZero"/>
        <c:crossBetween val="between"/>
      </c:valAx>
      <c:catAx>
        <c:axId val="7636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36943"/>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Slough journeys for work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0070C0"/>
              </a:solidFill>
              <a:ln w="19050">
                <a:solidFill>
                  <a:schemeClr val="lt1"/>
                </a:solidFill>
              </a:ln>
              <a:effectLst/>
            </c:spPr>
            <c:extLst>
              <c:ext xmlns:c16="http://schemas.microsoft.com/office/drawing/2014/chart" uri="{C3380CC4-5D6E-409C-BE32-E72D297353CC}">
                <c16:uniqueId val="{00000001-0D40-47B1-93E3-E09BDEB0D7BC}"/>
              </c:ext>
            </c:extLst>
          </c:dPt>
          <c:dPt>
            <c:idx val="1"/>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3-0D40-47B1-93E3-E09BDEB0D7BC}"/>
              </c:ext>
            </c:extLst>
          </c:dPt>
          <c:dPt>
            <c:idx val="2"/>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5-0D40-47B1-93E3-E09BDEB0D7BC}"/>
              </c:ext>
            </c:extLst>
          </c:dPt>
          <c:dLbls>
            <c:dLbl>
              <c:idx val="0"/>
              <c:layout>
                <c:manualLayout>
                  <c:x val="3.0577805848720413E-2"/>
                  <c:y val="1.13514874598037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D40-47B1-93E3-E09BDEB0D7B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'Slough Specific'!$D$75:$D$77</c:f>
              <c:strCache>
                <c:ptCount val="3"/>
                <c:pt idx="0">
                  <c:v>30km and over</c:v>
                </c:pt>
                <c:pt idx="1">
                  <c:v>10km to less than 30km</c:v>
                </c:pt>
                <c:pt idx="2">
                  <c:v>Less than 10km</c:v>
                </c:pt>
              </c:strCache>
              <c:extLst/>
            </c:strRef>
          </c:cat>
          <c:val>
            <c:numRef>
              <c:f>'Slough Specific'!$E$75:$E$77</c:f>
              <c:numCache>
                <c:formatCode>General</c:formatCode>
                <c:ptCount val="3"/>
                <c:pt idx="0">
                  <c:v>2685</c:v>
                </c:pt>
                <c:pt idx="1">
                  <c:v>10463</c:v>
                </c:pt>
                <c:pt idx="2">
                  <c:v>28161</c:v>
                </c:pt>
              </c:numCache>
              <c:extLst/>
            </c:numRef>
          </c:val>
          <c:extLst>
            <c:ext xmlns:c16="http://schemas.microsoft.com/office/drawing/2014/chart" uri="{C3380CC4-5D6E-409C-BE32-E72D297353CC}">
              <c16:uniqueId val="{00000006-0D40-47B1-93E3-E09BDEB0D7BC}"/>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Distance by Mode Category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2"/>
          <c:order val="1"/>
          <c:tx>
            <c:strRef>
              <c:f>'Distance by Mode'!$J$2</c:f>
              <c:strCache>
                <c:ptCount val="1"/>
                <c:pt idx="0">
                  <c:v>30km and over</c:v>
                </c:pt>
              </c:strCache>
            </c:strRef>
          </c:tx>
          <c:spPr>
            <a:solidFill>
              <a:srgbClr val="51A238"/>
            </a:solidFill>
            <a:ln>
              <a:noFill/>
            </a:ln>
            <a:effectLst/>
          </c:spPr>
          <c:invertIfNegative val="0"/>
          <c:cat>
            <c:strRef>
              <c:f>'Distance by Mode'!$A$3:$A$7</c:f>
              <c:strCache>
                <c:ptCount val="5"/>
                <c:pt idx="0">
                  <c:v>Motorcycle, scooter or moped</c:v>
                </c:pt>
                <c:pt idx="1">
                  <c:v>Other method of travel to work</c:v>
                </c:pt>
                <c:pt idx="2">
                  <c:v>Active travel</c:v>
                </c:pt>
                <c:pt idx="3">
                  <c:v>Car or van</c:v>
                </c:pt>
                <c:pt idx="4">
                  <c:v>Public Transport</c:v>
                </c:pt>
              </c:strCache>
            </c:strRef>
          </c:cat>
          <c:val>
            <c:numRef>
              <c:f>'Distance by Mode'!$J$3:$J$7</c:f>
              <c:numCache>
                <c:formatCode>0%</c:formatCode>
                <c:ptCount val="5"/>
                <c:pt idx="0">
                  <c:v>5.7402285654646981E-4</c:v>
                </c:pt>
                <c:pt idx="1">
                  <c:v>9.3931012889422326E-4</c:v>
                </c:pt>
                <c:pt idx="2">
                  <c:v>3.3397693471794603E-3</c:v>
                </c:pt>
                <c:pt idx="3">
                  <c:v>5.9489641496634138E-3</c:v>
                </c:pt>
                <c:pt idx="4">
                  <c:v>1.9595052966654491E-2</c:v>
                </c:pt>
              </c:numCache>
            </c:numRef>
          </c:val>
          <c:extLst>
            <c:ext xmlns:c16="http://schemas.microsoft.com/office/drawing/2014/chart" uri="{C3380CC4-5D6E-409C-BE32-E72D297353CC}">
              <c16:uniqueId val="{00000000-C812-4CF7-A1CC-0BF610445484}"/>
            </c:ext>
          </c:extLst>
        </c:ser>
        <c:ser>
          <c:idx val="1"/>
          <c:order val="2"/>
          <c:tx>
            <c:strRef>
              <c:f>'Distance by Mode'!$I$2</c:f>
              <c:strCache>
                <c:ptCount val="1"/>
                <c:pt idx="0">
                  <c:v>10km to less than 30km</c:v>
                </c:pt>
              </c:strCache>
            </c:strRef>
          </c:tx>
          <c:spPr>
            <a:solidFill>
              <a:srgbClr val="EFA9E0"/>
            </a:solidFill>
            <a:ln>
              <a:noFill/>
            </a:ln>
            <a:effectLst/>
          </c:spPr>
          <c:invertIfNegative val="0"/>
          <c:cat>
            <c:strRef>
              <c:f>'Distance by Mode'!$A$3:$A$7</c:f>
              <c:strCache>
                <c:ptCount val="5"/>
                <c:pt idx="0">
                  <c:v>Motorcycle, scooter or moped</c:v>
                </c:pt>
                <c:pt idx="1">
                  <c:v>Other method of travel to work</c:v>
                </c:pt>
                <c:pt idx="2">
                  <c:v>Active travel</c:v>
                </c:pt>
                <c:pt idx="3">
                  <c:v>Car or van</c:v>
                </c:pt>
                <c:pt idx="4">
                  <c:v>Public Transport</c:v>
                </c:pt>
              </c:strCache>
            </c:strRef>
          </c:cat>
          <c:val>
            <c:numRef>
              <c:f>'Distance by Mode'!$I$3:$I$7</c:f>
              <c:numCache>
                <c:formatCode>0%</c:formatCode>
                <c:ptCount val="5"/>
                <c:pt idx="0">
                  <c:v>2.0351719459374838E-3</c:v>
                </c:pt>
                <c:pt idx="1">
                  <c:v>3.8355163596514117E-3</c:v>
                </c:pt>
                <c:pt idx="2">
                  <c:v>9.7583885612899865E-3</c:v>
                </c:pt>
                <c:pt idx="3">
                  <c:v>0.21771121431926108</c:v>
                </c:pt>
                <c:pt idx="4">
                  <c:v>3.9659760997756095E-2</c:v>
                </c:pt>
              </c:numCache>
            </c:numRef>
          </c:val>
          <c:extLst>
            <c:ext xmlns:c16="http://schemas.microsoft.com/office/drawing/2014/chart" uri="{C3380CC4-5D6E-409C-BE32-E72D297353CC}">
              <c16:uniqueId val="{00000001-C812-4CF7-A1CC-0BF610445484}"/>
            </c:ext>
          </c:extLst>
        </c:ser>
        <c:ser>
          <c:idx val="0"/>
          <c:order val="3"/>
          <c:tx>
            <c:strRef>
              <c:f>'Distance by Mode'!$H$2</c:f>
              <c:strCache>
                <c:ptCount val="1"/>
                <c:pt idx="0">
                  <c:v>Less than 10km</c:v>
                </c:pt>
              </c:strCache>
            </c:strRef>
          </c:tx>
          <c:spPr>
            <a:solidFill>
              <a:schemeClr val="accent1"/>
            </a:solidFill>
            <a:ln>
              <a:noFill/>
            </a:ln>
            <a:effectLst/>
          </c:spPr>
          <c:invertIfNegative val="0"/>
          <c:cat>
            <c:strRef>
              <c:f>'Distance by Mode'!$A$3:$A$7</c:f>
              <c:strCache>
                <c:ptCount val="5"/>
                <c:pt idx="0">
                  <c:v>Motorcycle, scooter or moped</c:v>
                </c:pt>
                <c:pt idx="1">
                  <c:v>Other method of travel to work</c:v>
                </c:pt>
                <c:pt idx="2">
                  <c:v>Active travel</c:v>
                </c:pt>
                <c:pt idx="3">
                  <c:v>Car or van</c:v>
                </c:pt>
                <c:pt idx="4">
                  <c:v>Public Transport</c:v>
                </c:pt>
              </c:strCache>
            </c:strRef>
          </c:cat>
          <c:val>
            <c:numRef>
              <c:f>'Distance by Mode'!$H$3:$H$7</c:f>
              <c:numCache>
                <c:formatCode>0%</c:formatCode>
                <c:ptCount val="5"/>
                <c:pt idx="0">
                  <c:v>3.6006888274278557E-3</c:v>
                </c:pt>
                <c:pt idx="1">
                  <c:v>8.7408025883212448E-3</c:v>
                </c:pt>
                <c:pt idx="2">
                  <c:v>0.15475134373532329</c:v>
                </c:pt>
                <c:pt idx="3">
                  <c:v>0.47586494807702345</c:v>
                </c:pt>
                <c:pt idx="4">
                  <c:v>5.3645045139070084E-2</c:v>
                </c:pt>
              </c:numCache>
            </c:numRef>
          </c:val>
          <c:extLst>
            <c:ext xmlns:c16="http://schemas.microsoft.com/office/drawing/2014/chart" uri="{C3380CC4-5D6E-409C-BE32-E72D297353CC}">
              <c16:uniqueId val="{00000002-C812-4CF7-A1CC-0BF610445484}"/>
            </c:ext>
          </c:extLst>
        </c:ser>
        <c:dLbls>
          <c:showLegendKey val="0"/>
          <c:showVal val="0"/>
          <c:showCatName val="0"/>
          <c:showSerName val="0"/>
          <c:showPercent val="0"/>
          <c:showBubbleSize val="0"/>
        </c:dLbls>
        <c:gapWidth val="219"/>
        <c:axId val="375446752"/>
        <c:axId val="375452992"/>
        <c:extLst>
          <c:ext xmlns:c15="http://schemas.microsoft.com/office/drawing/2012/chart" uri="{02D57815-91ED-43cb-92C2-25804820EDAC}">
            <c15:filteredBarSeries>
              <c15:ser>
                <c:idx val="3"/>
                <c:order val="0"/>
                <c:tx>
                  <c:strRef>
                    <c:extLst>
                      <c:ext uri="{02D57815-91ED-43cb-92C2-25804820EDAC}">
                        <c15:formulaRef>
                          <c15:sqref>'Distance by Mode'!$E$1:$E$2</c15:sqref>
                        </c15:formulaRef>
                      </c:ext>
                    </c:extLst>
                    <c:strCache>
                      <c:ptCount val="2"/>
                      <c:pt idx="1">
                        <c:v>Works mainly offshore, in no fixed place or outside the UK</c:v>
                      </c:pt>
                    </c:strCache>
                  </c:strRef>
                </c:tx>
                <c:spPr>
                  <a:solidFill>
                    <a:schemeClr val="accent4"/>
                  </a:solidFill>
                  <a:ln>
                    <a:noFill/>
                  </a:ln>
                  <a:effectLst/>
                </c:spPr>
                <c:invertIfNegative val="0"/>
                <c:cat>
                  <c:strRef>
                    <c:extLst>
                      <c:ext uri="{02D57815-91ED-43cb-92C2-25804820EDAC}">
                        <c15:formulaRef>
                          <c15:sqref>'Distance by Mode'!$A$3:$A$7</c15:sqref>
                        </c15:formulaRef>
                      </c:ext>
                    </c:extLst>
                    <c:strCache>
                      <c:ptCount val="5"/>
                      <c:pt idx="0">
                        <c:v>Motorcycle, scooter or moped</c:v>
                      </c:pt>
                      <c:pt idx="1">
                        <c:v>Other method of travel to work</c:v>
                      </c:pt>
                      <c:pt idx="2">
                        <c:v>Active travel</c:v>
                      </c:pt>
                      <c:pt idx="3">
                        <c:v>Car or van</c:v>
                      </c:pt>
                      <c:pt idx="4">
                        <c:v>Public Transport</c:v>
                      </c:pt>
                    </c:strCache>
                  </c:strRef>
                </c:cat>
                <c:val>
                  <c:numRef>
                    <c:extLst>
                      <c:ext uri="{02D57815-91ED-43cb-92C2-25804820EDAC}">
                        <c15:formulaRef>
                          <c15:sqref>'Distance by Mode'!$E$3:$E$7</c15:sqref>
                        </c15:formulaRef>
                      </c:ext>
                    </c:extLst>
                    <c:numCache>
                      <c:formatCode>General</c:formatCode>
                      <c:ptCount val="5"/>
                      <c:pt idx="0">
                        <c:v>94</c:v>
                      </c:pt>
                      <c:pt idx="1">
                        <c:v>493</c:v>
                      </c:pt>
                      <c:pt idx="2">
                        <c:v>775</c:v>
                      </c:pt>
                      <c:pt idx="3">
                        <c:v>9860</c:v>
                      </c:pt>
                      <c:pt idx="4">
                        <c:v>1196</c:v>
                      </c:pt>
                    </c:numCache>
                  </c:numRef>
                </c:val>
                <c:extLst>
                  <c:ext xmlns:c16="http://schemas.microsoft.com/office/drawing/2014/chart" uri="{C3380CC4-5D6E-409C-BE32-E72D297353CC}">
                    <c16:uniqueId val="{00000003-C812-4CF7-A1CC-0BF610445484}"/>
                  </c:ext>
                </c:extLst>
              </c15:ser>
            </c15:filteredBarSeries>
          </c:ext>
        </c:extLst>
      </c:barChart>
      <c:catAx>
        <c:axId val="375446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75452992"/>
        <c:crosses val="autoZero"/>
        <c:auto val="1"/>
        <c:lblAlgn val="ctr"/>
        <c:lblOffset val="100"/>
        <c:noMultiLvlLbl val="0"/>
      </c:catAx>
      <c:valAx>
        <c:axId val="375452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75446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Modes Travelling &lt;10km</a:t>
            </a:r>
          </a:p>
        </c:rich>
      </c:tx>
      <c:layout>
        <c:manualLayout>
          <c:xMode val="edge"/>
          <c:yMode val="edge"/>
          <c:x val="0.45948152350903415"/>
          <c:y val="1.673640167364016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'Travel &lt;10KM'!$A$2:$B$11</c:f>
              <c:multiLvlStrCache>
                <c:ptCount val="10"/>
                <c:lvl>
                  <c:pt idx="0">
                    <c:v>Motorcycle, scooter or moped</c:v>
                  </c:pt>
                  <c:pt idx="1">
                    <c:v>Other method of travel to work</c:v>
                  </c:pt>
                  <c:pt idx="2">
                    <c:v>Bicycle</c:v>
                  </c:pt>
                  <c:pt idx="3">
                    <c:v>On foot</c:v>
                  </c:pt>
                  <c:pt idx="4">
                    <c:v>Bus, minibus or coach</c:v>
                  </c:pt>
                  <c:pt idx="5">
                    <c:v>Taxi</c:v>
                  </c:pt>
                  <c:pt idx="6">
                    <c:v>Train</c:v>
                  </c:pt>
                  <c:pt idx="7">
                    <c:v>Underground, metro, light rail, tram</c:v>
                  </c:pt>
                  <c:pt idx="8">
                    <c:v>Driving a car or van</c:v>
                  </c:pt>
                  <c:pt idx="9">
                    <c:v>Passenger in a car or van</c:v>
                  </c:pt>
                </c:lvl>
                <c:lvl>
                  <c:pt idx="2">
                    <c:v>Active Travel</c:v>
                  </c:pt>
                  <c:pt idx="4">
                    <c:v>Public Transport</c:v>
                  </c:pt>
                  <c:pt idx="8">
                    <c:v>Car or Van</c:v>
                  </c:pt>
                </c:lvl>
              </c:multiLvlStrCache>
            </c:multiLvlStrRef>
          </c:cat>
          <c:val>
            <c:numRef>
              <c:f>'Travel &lt;10KM'!$D$2:$D$11</c:f>
              <c:numCache>
                <c:formatCode>0.0%</c:formatCode>
                <c:ptCount val="10"/>
                <c:pt idx="0">
                  <c:v>4.9003941621391283E-3</c:v>
                </c:pt>
                <c:pt idx="1">
                  <c:v>1.1895884379105855E-2</c:v>
                </c:pt>
                <c:pt idx="2">
                  <c:v>4.0588047299456698E-2</c:v>
                </c:pt>
                <c:pt idx="3">
                  <c:v>0.17002237136465326</c:v>
                </c:pt>
                <c:pt idx="4">
                  <c:v>7.2440609353361038E-2</c:v>
                </c:pt>
                <c:pt idx="5">
                  <c:v>2.2087283832250275E-2</c:v>
                </c:pt>
                <c:pt idx="6">
                  <c:v>2.7271758815382977E-2</c:v>
                </c:pt>
                <c:pt idx="7">
                  <c:v>3.1603991335534959E-3</c:v>
                </c:pt>
                <c:pt idx="8">
                  <c:v>0.57181918255743758</c:v>
                </c:pt>
                <c:pt idx="9">
                  <c:v>7.5814069102659712E-2</c:v>
                </c:pt>
              </c:numCache>
            </c:numRef>
          </c:val>
          <c:extLst>
            <c:ext xmlns:c16="http://schemas.microsoft.com/office/drawing/2014/chart" uri="{C3380CC4-5D6E-409C-BE32-E72D297353CC}">
              <c16:uniqueId val="{00000000-EE48-48DA-8D47-48A7A1F3C0D9}"/>
            </c:ext>
          </c:extLst>
        </c:ser>
        <c:dLbls>
          <c:showLegendKey val="0"/>
          <c:showVal val="0"/>
          <c:showCatName val="0"/>
          <c:showSerName val="0"/>
          <c:showPercent val="0"/>
          <c:showBubbleSize val="0"/>
        </c:dLbls>
        <c:gapWidth val="219"/>
        <c:axId val="1471043328"/>
        <c:axId val="1471044288"/>
      </c:barChart>
      <c:catAx>
        <c:axId val="1471043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71044288"/>
        <c:crosses val="autoZero"/>
        <c:auto val="1"/>
        <c:lblAlgn val="ctr"/>
        <c:lblOffset val="100"/>
        <c:noMultiLvlLbl val="0"/>
      </c:catAx>
      <c:valAx>
        <c:axId val="1471044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71043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Mode of Travel to Work - 2011 and 2021 Comparison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'2021 vs 2011'!$E$1</c:f>
              <c:strCache>
                <c:ptCount val="1"/>
                <c:pt idx="0">
                  <c:v>2011</c:v>
                </c:pt>
              </c:strCache>
            </c:strRef>
          </c:tx>
          <c:spPr>
            <a:solidFill>
              <a:schemeClr val="accent1"/>
            </a:solidFill>
            <a:ln>
              <a:noFill/>
            </a:ln>
            <a:effectLst/>
          </c:spPr>
          <c:invertIfNegative val="0"/>
          <c:cat>
            <c:strRef>
              <c:f>'2021 vs 2011'!$A$3:$A$10</c:f>
              <c:strCache>
                <c:ptCount val="8"/>
                <c:pt idx="0">
                  <c:v>Mainly work at or from home</c:v>
                </c:pt>
                <c:pt idx="1">
                  <c:v>Train, underground, metro, light rail, tram</c:v>
                </c:pt>
                <c:pt idx="2">
                  <c:v>Bus; minibus or coach</c:v>
                </c:pt>
                <c:pt idx="3">
                  <c:v>Driving a car or van</c:v>
                </c:pt>
                <c:pt idx="4">
                  <c:v>Passenger in car or van</c:v>
                </c:pt>
                <c:pt idx="5">
                  <c:v>Bicycle</c:v>
                </c:pt>
                <c:pt idx="6">
                  <c:v>On foot</c:v>
                </c:pt>
                <c:pt idx="7">
                  <c:v>All other methods of travel to work</c:v>
                </c:pt>
              </c:strCache>
            </c:strRef>
          </c:cat>
          <c:val>
            <c:numRef>
              <c:f>'2021 vs 2011'!$E$3:$E$10</c:f>
              <c:numCache>
                <c:formatCode>0.0%</c:formatCode>
                <c:ptCount val="8"/>
                <c:pt idx="0">
                  <c:v>6.6963868608267377E-2</c:v>
                </c:pt>
                <c:pt idx="1">
                  <c:v>5.2521989829286846E-2</c:v>
                </c:pt>
                <c:pt idx="2">
                  <c:v>5.3469654702953777E-2</c:v>
                </c:pt>
                <c:pt idx="3">
                  <c:v>0.66622175358043811</c:v>
                </c:pt>
                <c:pt idx="4">
                  <c:v>4.7369896290759599E-2</c:v>
                </c:pt>
                <c:pt idx="5">
                  <c:v>2.0341426302371832E-2</c:v>
                </c:pt>
                <c:pt idx="6">
                  <c:v>7.7855340959143635E-2</c:v>
                </c:pt>
                <c:pt idx="7">
                  <c:v>1.5256069726778874E-2</c:v>
                </c:pt>
              </c:numCache>
            </c:numRef>
          </c:val>
          <c:extLst>
            <c:ext xmlns:c16="http://schemas.microsoft.com/office/drawing/2014/chart" uri="{C3380CC4-5D6E-409C-BE32-E72D297353CC}">
              <c16:uniqueId val="{00000000-0B01-4FEE-8FE3-EFC3F37A32E6}"/>
            </c:ext>
          </c:extLst>
        </c:ser>
        <c:ser>
          <c:idx val="1"/>
          <c:order val="1"/>
          <c:tx>
            <c:strRef>
              <c:f>'2021 vs 2011'!$F$1</c:f>
              <c:strCache>
                <c:ptCount val="1"/>
                <c:pt idx="0">
                  <c:v>2021</c:v>
                </c:pt>
              </c:strCache>
            </c:strRef>
          </c:tx>
          <c:spPr>
            <a:solidFill>
              <a:srgbClr val="EFA9E0"/>
            </a:solidFill>
            <a:ln>
              <a:noFill/>
            </a:ln>
            <a:effectLst/>
          </c:spPr>
          <c:invertIfNegative val="0"/>
          <c:cat>
            <c:strRef>
              <c:f>'2021 vs 2011'!$A$3:$A$10</c:f>
              <c:strCache>
                <c:ptCount val="8"/>
                <c:pt idx="0">
                  <c:v>Mainly work at or from home</c:v>
                </c:pt>
                <c:pt idx="1">
                  <c:v>Train, underground, metro, light rail, tram</c:v>
                </c:pt>
                <c:pt idx="2">
                  <c:v>Bus; minibus or coach</c:v>
                </c:pt>
                <c:pt idx="3">
                  <c:v>Driving a car or van</c:v>
                </c:pt>
                <c:pt idx="4">
                  <c:v>Passenger in car or van</c:v>
                </c:pt>
                <c:pt idx="5">
                  <c:v>Bicycle</c:v>
                </c:pt>
                <c:pt idx="6">
                  <c:v>On foot</c:v>
                </c:pt>
                <c:pt idx="7">
                  <c:v>All other methods of travel to work</c:v>
                </c:pt>
              </c:strCache>
            </c:strRef>
          </c:cat>
          <c:val>
            <c:numRef>
              <c:f>'2021 vs 2011'!$F$3:$F$10</c:f>
              <c:numCache>
                <c:formatCode>0.0%</c:formatCode>
                <c:ptCount val="8"/>
                <c:pt idx="0">
                  <c:v>0.27104845384604948</c:v>
                </c:pt>
                <c:pt idx="1">
                  <c:v>3.9484931952943732E-2</c:v>
                </c:pt>
                <c:pt idx="2">
                  <c:v>4.27007150707608E-2</c:v>
                </c:pt>
                <c:pt idx="3">
                  <c:v>0.46685843769929036</c:v>
                </c:pt>
                <c:pt idx="4">
                  <c:v>5.1343980243965318E-2</c:v>
                </c:pt>
                <c:pt idx="5">
                  <c:v>2.0746550156718543E-2</c:v>
                </c:pt>
                <c:pt idx="6">
                  <c:v>7.702953907108645E-2</c:v>
                </c:pt>
                <c:pt idx="7">
                  <c:v>3.0787391959185336E-2</c:v>
                </c:pt>
              </c:numCache>
            </c:numRef>
          </c:val>
          <c:extLst>
            <c:ext xmlns:c16="http://schemas.microsoft.com/office/drawing/2014/chart" uri="{C3380CC4-5D6E-409C-BE32-E72D297353CC}">
              <c16:uniqueId val="{00000001-0B01-4FEE-8FE3-EFC3F37A32E6}"/>
            </c:ext>
          </c:extLst>
        </c:ser>
        <c:dLbls>
          <c:showLegendKey val="0"/>
          <c:showVal val="0"/>
          <c:showCatName val="0"/>
          <c:showSerName val="0"/>
          <c:showPercent val="0"/>
          <c:showBubbleSize val="0"/>
        </c:dLbls>
        <c:gapWidth val="219"/>
        <c:overlap val="-27"/>
        <c:axId val="1510280992"/>
        <c:axId val="1510267072"/>
      </c:barChart>
      <c:catAx>
        <c:axId val="151028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267072"/>
        <c:crosses val="autoZero"/>
        <c:auto val="1"/>
        <c:lblAlgn val="ctr"/>
        <c:lblOffset val="100"/>
        <c:noMultiLvlLbl val="0"/>
      </c:catAx>
      <c:valAx>
        <c:axId val="1510267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28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Healthy Changes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Sheet1!$A$8:$A$11</c:f>
              <c:strCache>
                <c:ptCount val="4"/>
                <c:pt idx="0">
                  <c:v>Losing weight </c:v>
                </c:pt>
                <c:pt idx="1">
                  <c:v>Getting active</c:v>
                </c:pt>
                <c:pt idx="2">
                  <c:v>Drinking less alcohol</c:v>
                </c:pt>
                <c:pt idx="3">
                  <c:v>Quitting smoking</c:v>
                </c:pt>
              </c:strCache>
            </c:strRef>
          </c:cat>
          <c:val>
            <c:numRef>
              <c:f>Sheet1!$B$8:$B$11</c:f>
              <c:numCache>
                <c:formatCode>0.0%</c:formatCode>
                <c:ptCount val="4"/>
                <c:pt idx="0">
                  <c:v>0.77400000000000002</c:v>
                </c:pt>
                <c:pt idx="1">
                  <c:v>0.77800000000000002</c:v>
                </c:pt>
                <c:pt idx="2">
                  <c:v>0.157</c:v>
                </c:pt>
                <c:pt idx="3">
                  <c:v>0.16300000000000001</c:v>
                </c:pt>
              </c:numCache>
            </c:numRef>
          </c:val>
          <c:extLst>
            <c:ext xmlns:c16="http://schemas.microsoft.com/office/drawing/2014/chart" uri="{C3380CC4-5D6E-409C-BE32-E72D297353CC}">
              <c16:uniqueId val="{00000000-6FBD-4DE2-B3BF-96C12FF874C6}"/>
            </c:ext>
          </c:extLst>
        </c:ser>
        <c:dLbls>
          <c:showLegendKey val="0"/>
          <c:showVal val="0"/>
          <c:showCatName val="0"/>
          <c:showSerName val="0"/>
          <c:showPercent val="0"/>
          <c:showBubbleSize val="0"/>
        </c:dLbls>
        <c:gapWidth val="182"/>
        <c:axId val="1911419551"/>
        <c:axId val="1911420031"/>
      </c:barChart>
      <c:catAx>
        <c:axId val="19114195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11420031"/>
        <c:crosses val="autoZero"/>
        <c:auto val="1"/>
        <c:lblAlgn val="ctr"/>
        <c:lblOffset val="100"/>
        <c:noMultiLvlLbl val="0"/>
      </c:catAx>
      <c:valAx>
        <c:axId val="19114200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 of Resident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114195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Mode of Travel to Work - 2011 and 2021 Comparison</a:t>
            </a:r>
            <a:r>
              <a:rPr lang="en-GB" baseline="0"/>
              <a:t> (excluding working from home and driving a car or van)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'2021 vs 2011'!$E$1</c:f>
              <c:strCache>
                <c:ptCount val="1"/>
                <c:pt idx="0">
                  <c:v>2011</c:v>
                </c:pt>
              </c:strCache>
            </c:strRef>
          </c:tx>
          <c:spPr>
            <a:solidFill>
              <a:schemeClr val="accent1"/>
            </a:solidFill>
            <a:ln>
              <a:noFill/>
            </a:ln>
            <a:effectLst/>
          </c:spPr>
          <c:invertIfNegative val="0"/>
          <c:cat>
            <c:strRef>
              <c:f>('2021 vs 2011'!$A$4:$A$5,'2021 vs 2011'!$A$7:$A$10)</c:f>
              <c:strCache>
                <c:ptCount val="6"/>
                <c:pt idx="0">
                  <c:v>Train, underground, metro, light rail, tram</c:v>
                </c:pt>
                <c:pt idx="1">
                  <c:v>Bus; minibus or coach</c:v>
                </c:pt>
                <c:pt idx="2">
                  <c:v>Passenger in car or van</c:v>
                </c:pt>
                <c:pt idx="3">
                  <c:v>Bicycle</c:v>
                </c:pt>
                <c:pt idx="4">
                  <c:v>On foot</c:v>
                </c:pt>
                <c:pt idx="5">
                  <c:v>All other methods of travel to work</c:v>
                </c:pt>
              </c:strCache>
              <c:extLst/>
            </c:strRef>
          </c:cat>
          <c:val>
            <c:numRef>
              <c:f>('2021 vs 2011'!$E$4:$E$5,'2021 vs 2011'!$E$7:$E$10)</c:f>
              <c:numCache>
                <c:formatCode>0.0%</c:formatCode>
                <c:ptCount val="6"/>
                <c:pt idx="0">
                  <c:v>5.2521989829286846E-2</c:v>
                </c:pt>
                <c:pt idx="1">
                  <c:v>5.3469654702953777E-2</c:v>
                </c:pt>
                <c:pt idx="2">
                  <c:v>4.7369896290759599E-2</c:v>
                </c:pt>
                <c:pt idx="3">
                  <c:v>2.0341426302371832E-2</c:v>
                </c:pt>
                <c:pt idx="4">
                  <c:v>7.7855340959143635E-2</c:v>
                </c:pt>
                <c:pt idx="5">
                  <c:v>1.5256069726778874E-2</c:v>
                </c:pt>
              </c:numCache>
              <c:extLst/>
            </c:numRef>
          </c:val>
          <c:extLst>
            <c:ext xmlns:c16="http://schemas.microsoft.com/office/drawing/2014/chart" uri="{C3380CC4-5D6E-409C-BE32-E72D297353CC}">
              <c16:uniqueId val="{00000000-D9BC-4C17-BAFA-4DC4535E349D}"/>
            </c:ext>
          </c:extLst>
        </c:ser>
        <c:ser>
          <c:idx val="1"/>
          <c:order val="1"/>
          <c:tx>
            <c:strRef>
              <c:f>'2021 vs 2011'!$F$1</c:f>
              <c:strCache>
                <c:ptCount val="1"/>
                <c:pt idx="0">
                  <c:v>2021</c:v>
                </c:pt>
              </c:strCache>
            </c:strRef>
          </c:tx>
          <c:spPr>
            <a:solidFill>
              <a:schemeClr val="accent2"/>
            </a:solidFill>
            <a:ln>
              <a:noFill/>
            </a:ln>
            <a:effectLst/>
          </c:spPr>
          <c:invertIfNegative val="0"/>
          <c:cat>
            <c:strRef>
              <c:f>('2021 vs 2011'!$A$4:$A$5,'2021 vs 2011'!$A$7:$A$10)</c:f>
              <c:strCache>
                <c:ptCount val="6"/>
                <c:pt idx="0">
                  <c:v>Train, underground, metro, light rail, tram</c:v>
                </c:pt>
                <c:pt idx="1">
                  <c:v>Bus; minibus or coach</c:v>
                </c:pt>
                <c:pt idx="2">
                  <c:v>Passenger in car or van</c:v>
                </c:pt>
                <c:pt idx="3">
                  <c:v>Bicycle</c:v>
                </c:pt>
                <c:pt idx="4">
                  <c:v>On foot</c:v>
                </c:pt>
                <c:pt idx="5">
                  <c:v>All other methods of travel to work</c:v>
                </c:pt>
              </c:strCache>
              <c:extLst/>
            </c:strRef>
          </c:cat>
          <c:val>
            <c:numRef>
              <c:f>('2021 vs 2011'!$F$4:$F$5,'2021 vs 2011'!$F$7:$F$10)</c:f>
              <c:numCache>
                <c:formatCode>0.0%</c:formatCode>
                <c:ptCount val="6"/>
                <c:pt idx="0">
                  <c:v>3.9484931952943732E-2</c:v>
                </c:pt>
                <c:pt idx="1">
                  <c:v>4.27007150707608E-2</c:v>
                </c:pt>
                <c:pt idx="2">
                  <c:v>5.1343980243965318E-2</c:v>
                </c:pt>
                <c:pt idx="3">
                  <c:v>2.0746550156718543E-2</c:v>
                </c:pt>
                <c:pt idx="4">
                  <c:v>7.702953907108645E-2</c:v>
                </c:pt>
                <c:pt idx="5">
                  <c:v>3.0787391959185336E-2</c:v>
                </c:pt>
              </c:numCache>
              <c:extLst/>
            </c:numRef>
          </c:val>
          <c:extLst>
            <c:ext xmlns:c16="http://schemas.microsoft.com/office/drawing/2014/chart" uri="{C3380CC4-5D6E-409C-BE32-E72D297353CC}">
              <c16:uniqueId val="{00000001-D9BC-4C17-BAFA-4DC4535E349D}"/>
            </c:ext>
          </c:extLst>
        </c:ser>
        <c:dLbls>
          <c:showLegendKey val="0"/>
          <c:showVal val="0"/>
          <c:showCatName val="0"/>
          <c:showSerName val="0"/>
          <c:showPercent val="0"/>
          <c:showBubbleSize val="0"/>
        </c:dLbls>
        <c:gapWidth val="219"/>
        <c:overlap val="-27"/>
        <c:axId val="1510280992"/>
        <c:axId val="1510267072"/>
      </c:barChart>
      <c:catAx>
        <c:axId val="151028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267072"/>
        <c:crosses val="autoZero"/>
        <c:auto val="1"/>
        <c:lblAlgn val="ctr"/>
        <c:lblOffset val="100"/>
        <c:noMultiLvlLbl val="0"/>
      </c:catAx>
      <c:valAx>
        <c:axId val="1510267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28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b="0"/>
              <a:t>What mode(s) of transport do you currently use on the A4 in Slough between Huntercombe Lane and Uxbridge Road (travelling along or crossing over)? </a:t>
            </a:r>
          </a:p>
        </c:rich>
      </c:tx>
      <c:layout>
        <c:manualLayout>
          <c:xMode val="edge"/>
          <c:yMode val="edge"/>
          <c:x val="0.11186410687428117"/>
          <c:y val="2.777777777777777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Refined!$B$4:$K$4</c:f>
              <c:strCache>
                <c:ptCount val="10"/>
                <c:pt idx="0">
                  <c:v>Taxi</c:v>
                </c:pt>
                <c:pt idx="1">
                  <c:v>Motorbike / moped / motor scooter</c:v>
                </c:pt>
                <c:pt idx="2">
                  <c:v>Public bus</c:v>
                </c:pt>
                <c:pt idx="3">
                  <c:v>Private bus</c:v>
                </c:pt>
                <c:pt idx="4">
                  <c:v>Wheelchair / mobility scooter</c:v>
                </c:pt>
                <c:pt idx="5">
                  <c:v>Manual cycle</c:v>
                </c:pt>
                <c:pt idx="6">
                  <c:v>Electric cycle</c:v>
                </c:pt>
                <c:pt idx="7">
                  <c:v>Push scooter</c:v>
                </c:pt>
                <c:pt idx="8">
                  <c:v>Walk</c:v>
                </c:pt>
                <c:pt idx="9">
                  <c:v>Car</c:v>
                </c:pt>
              </c:strCache>
            </c:strRef>
          </c:cat>
          <c:val>
            <c:numRef>
              <c:f>Refined!$B$5:$K$5</c:f>
              <c:numCache>
                <c:formatCode>General</c:formatCode>
                <c:ptCount val="10"/>
                <c:pt idx="0">
                  <c:v>14</c:v>
                </c:pt>
                <c:pt idx="1">
                  <c:v>5</c:v>
                </c:pt>
                <c:pt idx="2">
                  <c:v>27</c:v>
                </c:pt>
                <c:pt idx="3">
                  <c:v>2</c:v>
                </c:pt>
                <c:pt idx="4">
                  <c:v>3</c:v>
                </c:pt>
                <c:pt idx="5">
                  <c:v>49</c:v>
                </c:pt>
                <c:pt idx="6">
                  <c:v>7</c:v>
                </c:pt>
                <c:pt idx="7">
                  <c:v>1</c:v>
                </c:pt>
                <c:pt idx="8">
                  <c:v>58</c:v>
                </c:pt>
                <c:pt idx="9">
                  <c:v>160</c:v>
                </c:pt>
              </c:numCache>
            </c:numRef>
          </c:val>
          <c:extLst>
            <c:ext xmlns:c16="http://schemas.microsoft.com/office/drawing/2014/chart" uri="{C3380CC4-5D6E-409C-BE32-E72D297353CC}">
              <c16:uniqueId val="{00000000-E911-4355-A335-AFCCCD0EB0AE}"/>
            </c:ext>
          </c:extLst>
        </c:ser>
        <c:dLbls>
          <c:showLegendKey val="0"/>
          <c:showVal val="0"/>
          <c:showCatName val="0"/>
          <c:showSerName val="0"/>
          <c:showPercent val="0"/>
          <c:showBubbleSize val="0"/>
        </c:dLbls>
        <c:gapWidth val="182"/>
        <c:axId val="310345279"/>
        <c:axId val="310335679"/>
      </c:barChart>
      <c:catAx>
        <c:axId val="3103452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10335679"/>
        <c:crosses val="autoZero"/>
        <c:auto val="1"/>
        <c:lblAlgn val="ctr"/>
        <c:lblOffset val="100"/>
        <c:noMultiLvlLbl val="0"/>
      </c:catAx>
      <c:valAx>
        <c:axId val="31033567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Number</a:t>
                </a:r>
                <a:r>
                  <a:rPr lang="en-GB" baseline="0"/>
                  <a:t> of Respondents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10345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50" b="0" i="0" u="none" strike="noStrike" baseline="0">
                <a:effectLst/>
                <a:latin typeface="Arial" panose="020B0604020202020204" pitchFamily="34" charset="0"/>
                <a:cs typeface="Arial" panose="020B0604020202020204" pitchFamily="34" charset="0"/>
              </a:rPr>
              <a:t>For what purpose(s) do you use the A4 in Slough between Huntercombe Lane and Uxbridge Road (travelling along or crossing over)?</a:t>
            </a:r>
            <a:endParaRPr lang="en-GB" sz="1050" b="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Refined!$A$10:$I$10</c:f>
              <c:strCache>
                <c:ptCount val="9"/>
                <c:pt idx="0">
                  <c:v>Other(s) (please specify)</c:v>
                </c:pt>
                <c:pt idx="1">
                  <c:v>To / from work</c:v>
                </c:pt>
                <c:pt idx="2">
                  <c:v>To / from shops</c:v>
                </c:pt>
                <c:pt idx="3">
                  <c:v>To / from social / leisure activities</c:v>
                </c:pt>
                <c:pt idx="4">
                  <c:v>For personal business / health related visits</c:v>
                </c:pt>
                <c:pt idx="5">
                  <c:v>For exercise</c:v>
                </c:pt>
                <c:pt idx="6">
                  <c:v>To accompany a child to / from school</c:v>
                </c:pt>
                <c:pt idx="7">
                  <c:v>To / from college / university</c:v>
                </c:pt>
                <c:pt idx="8">
                  <c:v>To visit friends / family</c:v>
                </c:pt>
              </c:strCache>
            </c:strRef>
          </c:cat>
          <c:val>
            <c:numRef>
              <c:f>Refined!$A$11:$I$11</c:f>
              <c:numCache>
                <c:formatCode>General</c:formatCode>
                <c:ptCount val="9"/>
                <c:pt idx="0">
                  <c:v>3</c:v>
                </c:pt>
                <c:pt idx="1">
                  <c:v>100</c:v>
                </c:pt>
                <c:pt idx="2">
                  <c:v>146</c:v>
                </c:pt>
                <c:pt idx="3">
                  <c:v>108</c:v>
                </c:pt>
                <c:pt idx="4">
                  <c:v>54</c:v>
                </c:pt>
                <c:pt idx="5">
                  <c:v>47</c:v>
                </c:pt>
                <c:pt idx="6">
                  <c:v>21</c:v>
                </c:pt>
                <c:pt idx="7">
                  <c:v>5</c:v>
                </c:pt>
                <c:pt idx="8">
                  <c:v>74</c:v>
                </c:pt>
              </c:numCache>
            </c:numRef>
          </c:val>
          <c:extLst>
            <c:ext xmlns:c16="http://schemas.microsoft.com/office/drawing/2014/chart" uri="{C3380CC4-5D6E-409C-BE32-E72D297353CC}">
              <c16:uniqueId val="{00000000-F0F2-4232-B0E1-1668C2D8FD95}"/>
            </c:ext>
          </c:extLst>
        </c:ser>
        <c:dLbls>
          <c:showLegendKey val="0"/>
          <c:showVal val="0"/>
          <c:showCatName val="0"/>
          <c:showSerName val="0"/>
          <c:showPercent val="0"/>
          <c:showBubbleSize val="0"/>
        </c:dLbls>
        <c:gapWidth val="182"/>
        <c:axId val="611360623"/>
        <c:axId val="611356303"/>
      </c:barChart>
      <c:catAx>
        <c:axId val="6113606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1356303"/>
        <c:crosses val="autoZero"/>
        <c:auto val="1"/>
        <c:lblAlgn val="ctr"/>
        <c:lblOffset val="100"/>
        <c:noMultiLvlLbl val="0"/>
      </c:catAx>
      <c:valAx>
        <c:axId val="611356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13606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50" b="0" i="0" u="none" strike="noStrike" baseline="0">
                <a:effectLst/>
                <a:latin typeface="Arial" panose="020B0604020202020204" pitchFamily="34" charset="0"/>
                <a:cs typeface="Arial" panose="020B0604020202020204" pitchFamily="34" charset="0"/>
              </a:rPr>
              <a:t>Would the proposed scheme enable and encourage you / your constituents / members to... </a:t>
            </a:r>
            <a:endParaRPr lang="en-GB" sz="1050" b="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tx>
            <c:strRef>
              <c:f>Refined!$A$25</c:f>
              <c:strCache>
                <c:ptCount val="1"/>
                <c:pt idx="0">
                  <c:v>Yes</c:v>
                </c:pt>
              </c:strCache>
            </c:strRef>
          </c:tx>
          <c:spPr>
            <a:solidFill>
              <a:schemeClr val="accent1"/>
            </a:solidFill>
            <a:ln>
              <a:noFill/>
            </a:ln>
            <a:effectLst/>
          </c:spPr>
          <c:invertIfNegative val="0"/>
          <c:cat>
            <c:strRef>
              <c:f>Refined!$B$24:$J$24</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Refined!$B$25:$J$25</c:f>
              <c:numCache>
                <c:formatCode>General</c:formatCode>
                <c:ptCount val="9"/>
                <c:pt idx="0">
                  <c:v>63</c:v>
                </c:pt>
                <c:pt idx="1">
                  <c:v>57</c:v>
                </c:pt>
                <c:pt idx="2">
                  <c:v>57</c:v>
                </c:pt>
                <c:pt idx="3">
                  <c:v>60</c:v>
                </c:pt>
                <c:pt idx="4">
                  <c:v>14</c:v>
                </c:pt>
                <c:pt idx="5">
                  <c:v>12</c:v>
                </c:pt>
                <c:pt idx="6">
                  <c:v>21</c:v>
                </c:pt>
                <c:pt idx="7">
                  <c:v>20</c:v>
                </c:pt>
                <c:pt idx="8">
                  <c:v>52</c:v>
                </c:pt>
              </c:numCache>
            </c:numRef>
          </c:val>
          <c:extLst>
            <c:ext xmlns:c16="http://schemas.microsoft.com/office/drawing/2014/chart" uri="{C3380CC4-5D6E-409C-BE32-E72D297353CC}">
              <c16:uniqueId val="{00000000-FC41-45B5-BC49-6B6CD2B37AE0}"/>
            </c:ext>
          </c:extLst>
        </c:ser>
        <c:ser>
          <c:idx val="1"/>
          <c:order val="1"/>
          <c:tx>
            <c:strRef>
              <c:f>Refined!$A$26</c:f>
              <c:strCache>
                <c:ptCount val="1"/>
                <c:pt idx="0">
                  <c:v>No</c:v>
                </c:pt>
              </c:strCache>
            </c:strRef>
          </c:tx>
          <c:spPr>
            <a:solidFill>
              <a:schemeClr val="accent2"/>
            </a:solidFill>
            <a:ln>
              <a:noFill/>
            </a:ln>
            <a:effectLst/>
          </c:spPr>
          <c:invertIfNegative val="0"/>
          <c:cat>
            <c:strRef>
              <c:f>Refined!$B$24:$J$24</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Refined!$B$26:$J$26</c:f>
              <c:numCache>
                <c:formatCode>General</c:formatCode>
                <c:ptCount val="9"/>
                <c:pt idx="0">
                  <c:v>114</c:v>
                </c:pt>
                <c:pt idx="1">
                  <c:v>117</c:v>
                </c:pt>
                <c:pt idx="2">
                  <c:v>118</c:v>
                </c:pt>
                <c:pt idx="3">
                  <c:v>117</c:v>
                </c:pt>
                <c:pt idx="4">
                  <c:v>148</c:v>
                </c:pt>
                <c:pt idx="5">
                  <c:v>150</c:v>
                </c:pt>
                <c:pt idx="6">
                  <c:v>143</c:v>
                </c:pt>
                <c:pt idx="7">
                  <c:v>145</c:v>
                </c:pt>
                <c:pt idx="8">
                  <c:v>116</c:v>
                </c:pt>
              </c:numCache>
            </c:numRef>
          </c:val>
          <c:extLst>
            <c:ext xmlns:c16="http://schemas.microsoft.com/office/drawing/2014/chart" uri="{C3380CC4-5D6E-409C-BE32-E72D297353CC}">
              <c16:uniqueId val="{00000001-FC41-45B5-BC49-6B6CD2B37AE0}"/>
            </c:ext>
          </c:extLst>
        </c:ser>
        <c:ser>
          <c:idx val="2"/>
          <c:order val="2"/>
          <c:tx>
            <c:strRef>
              <c:f>Refined!$A$27</c:f>
              <c:strCache>
                <c:ptCount val="1"/>
                <c:pt idx="0">
                  <c:v>Don't know</c:v>
                </c:pt>
              </c:strCache>
            </c:strRef>
          </c:tx>
          <c:spPr>
            <a:solidFill>
              <a:schemeClr val="accent3"/>
            </a:solidFill>
            <a:ln>
              <a:noFill/>
            </a:ln>
            <a:effectLst/>
          </c:spPr>
          <c:invertIfNegative val="0"/>
          <c:cat>
            <c:strRef>
              <c:f>Refined!$B$24:$J$24</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Refined!$B$27:$J$27</c:f>
              <c:numCache>
                <c:formatCode>General</c:formatCode>
                <c:ptCount val="9"/>
                <c:pt idx="0">
                  <c:v>7</c:v>
                </c:pt>
                <c:pt idx="1">
                  <c:v>10</c:v>
                </c:pt>
                <c:pt idx="2">
                  <c:v>9</c:v>
                </c:pt>
                <c:pt idx="3">
                  <c:v>7</c:v>
                </c:pt>
                <c:pt idx="4">
                  <c:v>22</c:v>
                </c:pt>
                <c:pt idx="5">
                  <c:v>22</c:v>
                </c:pt>
                <c:pt idx="6">
                  <c:v>20</c:v>
                </c:pt>
                <c:pt idx="7">
                  <c:v>19</c:v>
                </c:pt>
                <c:pt idx="8">
                  <c:v>16</c:v>
                </c:pt>
              </c:numCache>
            </c:numRef>
          </c:val>
          <c:extLst>
            <c:ext xmlns:c16="http://schemas.microsoft.com/office/drawing/2014/chart" uri="{C3380CC4-5D6E-409C-BE32-E72D297353CC}">
              <c16:uniqueId val="{00000002-FC41-45B5-BC49-6B6CD2B37AE0}"/>
            </c:ext>
          </c:extLst>
        </c:ser>
        <c:dLbls>
          <c:showLegendKey val="0"/>
          <c:showVal val="0"/>
          <c:showCatName val="0"/>
          <c:showSerName val="0"/>
          <c:showPercent val="0"/>
          <c:showBubbleSize val="0"/>
        </c:dLbls>
        <c:gapWidth val="182"/>
        <c:axId val="1582063247"/>
        <c:axId val="1582061807"/>
      </c:barChart>
      <c:catAx>
        <c:axId val="1582063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582061807"/>
        <c:crosses val="autoZero"/>
        <c:auto val="1"/>
        <c:lblAlgn val="ctr"/>
        <c:lblOffset val="100"/>
        <c:noMultiLvlLbl val="0"/>
      </c:catAx>
      <c:valAx>
        <c:axId val="15820618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582063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b="1">
                <a:latin typeface="Arial" panose="020B0604020202020204" pitchFamily="34" charset="0"/>
                <a:cs typeface="Arial" panose="020B0604020202020204" pitchFamily="34" charset="0"/>
              </a:rPr>
              <a:t>Key Themes in Written Comments - Positive and Negative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E76C19"/>
              </a:solidFill>
              <a:ln>
                <a:noFill/>
              </a:ln>
              <a:effectLst/>
            </c:spPr>
            <c:extLst>
              <c:ext xmlns:c16="http://schemas.microsoft.com/office/drawing/2014/chart" uri="{C3380CC4-5D6E-409C-BE32-E72D297353CC}">
                <c16:uniqueId val="{00000001-8396-4500-B3A2-2E8C6FD5FC47}"/>
              </c:ext>
            </c:extLst>
          </c:dPt>
          <c:dPt>
            <c:idx val="1"/>
            <c:invertIfNegative val="0"/>
            <c:bubble3D val="0"/>
            <c:spPr>
              <a:solidFill>
                <a:srgbClr val="E76C19"/>
              </a:solidFill>
              <a:ln>
                <a:noFill/>
              </a:ln>
              <a:effectLst/>
            </c:spPr>
            <c:extLst>
              <c:ext xmlns:c16="http://schemas.microsoft.com/office/drawing/2014/chart" uri="{C3380CC4-5D6E-409C-BE32-E72D297353CC}">
                <c16:uniqueId val="{00000003-8396-4500-B3A2-2E8C6FD5FC47}"/>
              </c:ext>
            </c:extLst>
          </c:dPt>
          <c:dPt>
            <c:idx val="2"/>
            <c:invertIfNegative val="0"/>
            <c:bubble3D val="0"/>
            <c:spPr>
              <a:solidFill>
                <a:srgbClr val="E76C19"/>
              </a:solidFill>
              <a:ln>
                <a:noFill/>
              </a:ln>
              <a:effectLst/>
            </c:spPr>
            <c:extLst>
              <c:ext xmlns:c16="http://schemas.microsoft.com/office/drawing/2014/chart" uri="{C3380CC4-5D6E-409C-BE32-E72D297353CC}">
                <c16:uniqueId val="{00000005-8396-4500-B3A2-2E8C6FD5FC47}"/>
              </c:ext>
            </c:extLst>
          </c:dPt>
          <c:dPt>
            <c:idx val="3"/>
            <c:invertIfNegative val="0"/>
            <c:bubble3D val="0"/>
            <c:spPr>
              <a:solidFill>
                <a:srgbClr val="E76C19"/>
              </a:solidFill>
              <a:ln>
                <a:noFill/>
              </a:ln>
              <a:effectLst/>
            </c:spPr>
            <c:extLst>
              <c:ext xmlns:c16="http://schemas.microsoft.com/office/drawing/2014/chart" uri="{C3380CC4-5D6E-409C-BE32-E72D297353CC}">
                <c16:uniqueId val="{00000007-8396-4500-B3A2-2E8C6FD5FC47}"/>
              </c:ext>
            </c:extLst>
          </c:dPt>
          <c:dPt>
            <c:idx val="4"/>
            <c:invertIfNegative val="0"/>
            <c:bubble3D val="0"/>
            <c:spPr>
              <a:solidFill>
                <a:srgbClr val="E76C19"/>
              </a:solidFill>
              <a:ln>
                <a:noFill/>
              </a:ln>
              <a:effectLst/>
            </c:spPr>
            <c:extLst>
              <c:ext xmlns:c16="http://schemas.microsoft.com/office/drawing/2014/chart" uri="{C3380CC4-5D6E-409C-BE32-E72D297353CC}">
                <c16:uniqueId val="{00000009-8396-4500-B3A2-2E8C6FD5FC47}"/>
              </c:ext>
            </c:extLst>
          </c:dPt>
          <c:dPt>
            <c:idx val="5"/>
            <c:invertIfNegative val="0"/>
            <c:bubble3D val="0"/>
            <c:spPr>
              <a:solidFill>
                <a:srgbClr val="E76C19"/>
              </a:solidFill>
              <a:ln>
                <a:noFill/>
              </a:ln>
              <a:effectLst/>
            </c:spPr>
            <c:extLst>
              <c:ext xmlns:c16="http://schemas.microsoft.com/office/drawing/2014/chart" uri="{C3380CC4-5D6E-409C-BE32-E72D297353CC}">
                <c16:uniqueId val="{0000000B-8396-4500-B3A2-2E8C6FD5FC47}"/>
              </c:ext>
            </c:extLst>
          </c:dPt>
          <c:dPt>
            <c:idx val="6"/>
            <c:invertIfNegative val="0"/>
            <c:bubble3D val="0"/>
            <c:spPr>
              <a:solidFill>
                <a:srgbClr val="E76C19"/>
              </a:solidFill>
              <a:ln>
                <a:noFill/>
              </a:ln>
              <a:effectLst/>
            </c:spPr>
            <c:extLst>
              <c:ext xmlns:c16="http://schemas.microsoft.com/office/drawing/2014/chart" uri="{C3380CC4-5D6E-409C-BE32-E72D297353CC}">
                <c16:uniqueId val="{0000000D-8396-4500-B3A2-2E8C6FD5FC47}"/>
              </c:ext>
            </c:extLst>
          </c:dPt>
          <c:dPt>
            <c:idx val="7"/>
            <c:invertIfNegative val="0"/>
            <c:bubble3D val="0"/>
            <c:spPr>
              <a:solidFill>
                <a:srgbClr val="E76C19"/>
              </a:solidFill>
              <a:ln>
                <a:noFill/>
              </a:ln>
              <a:effectLst/>
            </c:spPr>
            <c:extLst>
              <c:ext xmlns:c16="http://schemas.microsoft.com/office/drawing/2014/chart" uri="{C3380CC4-5D6E-409C-BE32-E72D297353CC}">
                <c16:uniqueId val="{0000000F-8396-4500-B3A2-2E8C6FD5FC47}"/>
              </c:ext>
            </c:extLst>
          </c:dPt>
          <c:dPt>
            <c:idx val="8"/>
            <c:invertIfNegative val="0"/>
            <c:bubble3D val="0"/>
            <c:spPr>
              <a:solidFill>
                <a:srgbClr val="E76C19"/>
              </a:solidFill>
              <a:ln>
                <a:noFill/>
              </a:ln>
              <a:effectLst/>
            </c:spPr>
            <c:extLst>
              <c:ext xmlns:c16="http://schemas.microsoft.com/office/drawing/2014/chart" uri="{C3380CC4-5D6E-409C-BE32-E72D297353CC}">
                <c16:uniqueId val="{00000011-8396-4500-B3A2-2E8C6FD5FC47}"/>
              </c:ext>
            </c:extLst>
          </c:dPt>
          <c:dPt>
            <c:idx val="9"/>
            <c:invertIfNegative val="0"/>
            <c:bubble3D val="0"/>
            <c:spPr>
              <a:solidFill>
                <a:srgbClr val="E76C19"/>
              </a:solidFill>
              <a:ln>
                <a:noFill/>
              </a:ln>
              <a:effectLst/>
            </c:spPr>
            <c:extLst>
              <c:ext xmlns:c16="http://schemas.microsoft.com/office/drawing/2014/chart" uri="{C3380CC4-5D6E-409C-BE32-E72D297353CC}">
                <c16:uniqueId val="{00000013-8396-4500-B3A2-2E8C6FD5FC47}"/>
              </c:ext>
            </c:extLst>
          </c:dPt>
          <c:dPt>
            <c:idx val="11"/>
            <c:invertIfNegative val="0"/>
            <c:bubble3D val="0"/>
            <c:spPr>
              <a:solidFill>
                <a:srgbClr val="39A014"/>
              </a:solidFill>
              <a:ln>
                <a:noFill/>
              </a:ln>
              <a:effectLst/>
            </c:spPr>
            <c:extLst>
              <c:ext xmlns:c16="http://schemas.microsoft.com/office/drawing/2014/chart" uri="{C3380CC4-5D6E-409C-BE32-E72D297353CC}">
                <c16:uniqueId val="{00000015-8396-4500-B3A2-2E8C6FD5FC47}"/>
              </c:ext>
            </c:extLst>
          </c:dPt>
          <c:dPt>
            <c:idx val="12"/>
            <c:invertIfNegative val="0"/>
            <c:bubble3D val="0"/>
            <c:spPr>
              <a:solidFill>
                <a:srgbClr val="39A014"/>
              </a:solidFill>
              <a:ln>
                <a:noFill/>
              </a:ln>
              <a:effectLst/>
            </c:spPr>
            <c:extLst>
              <c:ext xmlns:c16="http://schemas.microsoft.com/office/drawing/2014/chart" uri="{C3380CC4-5D6E-409C-BE32-E72D297353CC}">
                <c16:uniqueId val="{00000017-8396-4500-B3A2-2E8C6FD5FC47}"/>
              </c:ext>
            </c:extLst>
          </c:dPt>
          <c:dPt>
            <c:idx val="13"/>
            <c:invertIfNegative val="0"/>
            <c:bubble3D val="0"/>
            <c:spPr>
              <a:solidFill>
                <a:srgbClr val="39A014"/>
              </a:solidFill>
              <a:ln>
                <a:noFill/>
              </a:ln>
              <a:effectLst/>
            </c:spPr>
            <c:extLst>
              <c:ext xmlns:c16="http://schemas.microsoft.com/office/drawing/2014/chart" uri="{C3380CC4-5D6E-409C-BE32-E72D297353CC}">
                <c16:uniqueId val="{00000019-8396-4500-B3A2-2E8C6FD5FC47}"/>
              </c:ext>
            </c:extLst>
          </c:dPt>
          <c:dPt>
            <c:idx val="14"/>
            <c:invertIfNegative val="0"/>
            <c:bubble3D val="0"/>
            <c:spPr>
              <a:solidFill>
                <a:srgbClr val="39A014"/>
              </a:solidFill>
              <a:ln>
                <a:noFill/>
              </a:ln>
              <a:effectLst/>
            </c:spPr>
            <c:extLst>
              <c:ext xmlns:c16="http://schemas.microsoft.com/office/drawing/2014/chart" uri="{C3380CC4-5D6E-409C-BE32-E72D297353CC}">
                <c16:uniqueId val="{0000001B-8396-4500-B3A2-2E8C6FD5FC47}"/>
              </c:ext>
            </c:extLst>
          </c:dPt>
          <c:dPt>
            <c:idx val="15"/>
            <c:invertIfNegative val="0"/>
            <c:bubble3D val="0"/>
            <c:spPr>
              <a:solidFill>
                <a:srgbClr val="39A014"/>
              </a:solidFill>
              <a:ln>
                <a:noFill/>
              </a:ln>
              <a:effectLst/>
            </c:spPr>
            <c:extLst>
              <c:ext xmlns:c16="http://schemas.microsoft.com/office/drawing/2014/chart" uri="{C3380CC4-5D6E-409C-BE32-E72D297353CC}">
                <c16:uniqueId val="{0000001D-8396-4500-B3A2-2E8C6FD5FC47}"/>
              </c:ext>
            </c:extLst>
          </c:dPt>
          <c:dPt>
            <c:idx val="16"/>
            <c:invertIfNegative val="0"/>
            <c:bubble3D val="0"/>
            <c:spPr>
              <a:solidFill>
                <a:srgbClr val="39A014"/>
              </a:solidFill>
              <a:ln>
                <a:noFill/>
              </a:ln>
              <a:effectLst/>
            </c:spPr>
            <c:extLst>
              <c:ext xmlns:c16="http://schemas.microsoft.com/office/drawing/2014/chart" uri="{C3380CC4-5D6E-409C-BE32-E72D297353CC}">
                <c16:uniqueId val="{0000001F-8396-4500-B3A2-2E8C6FD5FC47}"/>
              </c:ext>
            </c:extLst>
          </c:dPt>
          <c:dPt>
            <c:idx val="17"/>
            <c:invertIfNegative val="0"/>
            <c:bubble3D val="0"/>
            <c:spPr>
              <a:solidFill>
                <a:srgbClr val="39A014"/>
              </a:solidFill>
              <a:ln>
                <a:noFill/>
              </a:ln>
              <a:effectLst/>
            </c:spPr>
            <c:extLst>
              <c:ext xmlns:c16="http://schemas.microsoft.com/office/drawing/2014/chart" uri="{C3380CC4-5D6E-409C-BE32-E72D297353CC}">
                <c16:uniqueId val="{00000021-8396-4500-B3A2-2E8C6FD5FC47}"/>
              </c:ext>
            </c:extLst>
          </c:dPt>
          <c:dPt>
            <c:idx val="18"/>
            <c:invertIfNegative val="0"/>
            <c:bubble3D val="0"/>
            <c:spPr>
              <a:solidFill>
                <a:srgbClr val="39A014"/>
              </a:solidFill>
              <a:ln>
                <a:noFill/>
              </a:ln>
              <a:effectLst/>
            </c:spPr>
            <c:extLst>
              <c:ext xmlns:c16="http://schemas.microsoft.com/office/drawing/2014/chart" uri="{C3380CC4-5D6E-409C-BE32-E72D297353CC}">
                <c16:uniqueId val="{00000023-8396-4500-B3A2-2E8C6FD5FC47}"/>
              </c:ext>
            </c:extLst>
          </c:dPt>
          <c:dPt>
            <c:idx val="19"/>
            <c:invertIfNegative val="0"/>
            <c:bubble3D val="0"/>
            <c:spPr>
              <a:solidFill>
                <a:srgbClr val="39A014"/>
              </a:solidFill>
              <a:ln>
                <a:noFill/>
              </a:ln>
              <a:effectLst/>
            </c:spPr>
            <c:extLst>
              <c:ext xmlns:c16="http://schemas.microsoft.com/office/drawing/2014/chart" uri="{C3380CC4-5D6E-409C-BE32-E72D297353CC}">
                <c16:uniqueId val="{00000025-8396-4500-B3A2-2E8C6FD5FC47}"/>
              </c:ext>
            </c:extLst>
          </c:dPt>
          <c:cat>
            <c:multiLvlStrRef>
              <c:f>Sheet2!$A$4:$B$23</c:f>
              <c:multiLvlStrCache>
                <c:ptCount val="20"/>
                <c:lvl>
                  <c:pt idx="0">
                    <c:v>Challenge To Justification</c:v>
                  </c:pt>
                  <c:pt idx="1">
                    <c:v>Concern About / Criticism Of Finances</c:v>
                  </c:pt>
                  <c:pt idx="2">
                    <c:v>Scheme Does Not Serve Respondent / Change Travel Behaviour</c:v>
                  </c:pt>
                  <c:pt idx="3">
                    <c:v>Scheme Is Not Wanted / Not Needed </c:v>
                  </c:pt>
                  <c:pt idx="4">
                    <c:v>Scheme Would Have Negative Consequences 
</c:v>
                  </c:pt>
                  <c:pt idx="5">
                    <c:v>Scheme penalises Road Users</c:v>
                  </c:pt>
                  <c:pt idx="6">
                    <c:v>Negative Effects Of Construction Phase</c:v>
                  </c:pt>
                  <c:pt idx="7">
                    <c:v>Specific Design Feature Criticism</c:v>
                  </c:pt>
                  <c:pt idx="8">
                    <c:v>Council Doesn't Support / Listen To Residents</c:v>
                  </c:pt>
                  <c:pt idx="9">
                    <c:v>General Criticism </c:v>
                  </c:pt>
                  <c:pt idx="11">
                    <c:v>Scheme Would Serve Respondent / Change Travel Behaviour</c:v>
                  </c:pt>
                  <c:pt idx="12">
                    <c:v>Scheme Is Needed / Would Increase Cycle Use</c:v>
                  </c:pt>
                  <c:pt idx="13">
                    <c:v>Scheme Would Make Cycling Quicker / Better / Safer </c:v>
                  </c:pt>
                  <c:pt idx="14">
                    <c:v>Scheme Would Increase Walking / Wheelchair Use Better / Safer</c:v>
                  </c:pt>
                  <c:pt idx="15">
                    <c:v>Scheme Would Reduce Traffic Levels, Speeds &amp; Noise </c:v>
                  </c:pt>
                  <c:pt idx="16">
                    <c:v>Praise For Specific Designs </c:v>
                  </c:pt>
                  <c:pt idx="17">
                    <c:v>Approval Of Funding Method</c:v>
                  </c:pt>
                  <c:pt idx="18">
                    <c:v>Conditional Scheme Praise </c:v>
                  </c:pt>
                  <c:pt idx="19">
                    <c:v>General Scheme Praise </c:v>
                  </c:pt>
                </c:lvl>
                <c:lvl>
                  <c:pt idx="0">
                    <c:v>Negative Comments</c:v>
                  </c:pt>
                  <c:pt idx="11">
                    <c:v>Positive Comments</c:v>
                  </c:pt>
                </c:lvl>
              </c:multiLvlStrCache>
            </c:multiLvlStrRef>
          </c:cat>
          <c:val>
            <c:numRef>
              <c:f>Sheet2!$D$4:$D$23</c:f>
              <c:numCache>
                <c:formatCode>0%</c:formatCode>
                <c:ptCount val="20"/>
                <c:pt idx="0">
                  <c:v>1.0810810810810811E-2</c:v>
                </c:pt>
                <c:pt idx="1">
                  <c:v>0.12432432432432433</c:v>
                </c:pt>
                <c:pt idx="2">
                  <c:v>2.9729729729729731E-2</c:v>
                </c:pt>
                <c:pt idx="3">
                  <c:v>0.18378378378378379</c:v>
                </c:pt>
                <c:pt idx="4">
                  <c:v>0.17837837837837839</c:v>
                </c:pt>
                <c:pt idx="5">
                  <c:v>5.1351351351351354E-2</c:v>
                </c:pt>
                <c:pt idx="6">
                  <c:v>1.891891891891892E-2</c:v>
                </c:pt>
                <c:pt idx="7">
                  <c:v>0.1</c:v>
                </c:pt>
                <c:pt idx="8">
                  <c:v>3.2432432432432434E-2</c:v>
                </c:pt>
                <c:pt idx="9">
                  <c:v>4.5945945945945948E-2</c:v>
                </c:pt>
                <c:pt idx="11">
                  <c:v>8.1081081081081086E-3</c:v>
                </c:pt>
                <c:pt idx="12">
                  <c:v>2.1621621621621623E-2</c:v>
                </c:pt>
                <c:pt idx="13">
                  <c:v>3.783783783783784E-2</c:v>
                </c:pt>
                <c:pt idx="14">
                  <c:v>3.5135135135135137E-2</c:v>
                </c:pt>
                <c:pt idx="15">
                  <c:v>8.1081081081081086E-3</c:v>
                </c:pt>
                <c:pt idx="16">
                  <c:v>1.891891891891892E-2</c:v>
                </c:pt>
                <c:pt idx="17">
                  <c:v>2.7027027027027029E-3</c:v>
                </c:pt>
                <c:pt idx="18">
                  <c:v>2.4324324324324326E-2</c:v>
                </c:pt>
                <c:pt idx="19">
                  <c:v>6.4864864864864868E-2</c:v>
                </c:pt>
              </c:numCache>
            </c:numRef>
          </c:val>
          <c:extLst>
            <c:ext xmlns:c16="http://schemas.microsoft.com/office/drawing/2014/chart" uri="{C3380CC4-5D6E-409C-BE32-E72D297353CC}">
              <c16:uniqueId val="{00000026-8396-4500-B3A2-2E8C6FD5FC47}"/>
            </c:ext>
          </c:extLst>
        </c:ser>
        <c:dLbls>
          <c:showLegendKey val="0"/>
          <c:showVal val="0"/>
          <c:showCatName val="0"/>
          <c:showSerName val="0"/>
          <c:showPercent val="0"/>
          <c:showBubbleSize val="0"/>
        </c:dLbls>
        <c:gapWidth val="182"/>
        <c:axId val="2056836095"/>
        <c:axId val="2056834655"/>
      </c:barChart>
      <c:catAx>
        <c:axId val="20568360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56834655"/>
        <c:crosses val="autoZero"/>
        <c:auto val="1"/>
        <c:lblAlgn val="ctr"/>
        <c:lblOffset val="100"/>
        <c:noMultiLvlLbl val="0"/>
      </c:catAx>
      <c:valAx>
        <c:axId val="205683465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Respondents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568360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Car mode only: For what purpose(s) do you use the A4 in Slough between Huntercombe Lane and Uxbridge Road (travelling along or crossing over)?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Refined!$A$36:$I$36</c:f>
              <c:strCache>
                <c:ptCount val="9"/>
                <c:pt idx="0">
                  <c:v>Other(s) (please specify)</c:v>
                </c:pt>
                <c:pt idx="1">
                  <c:v>To / from shops</c:v>
                </c:pt>
                <c:pt idx="2">
                  <c:v>To / from social / leisure activities</c:v>
                </c:pt>
                <c:pt idx="3">
                  <c:v>For personal business / health related visits</c:v>
                </c:pt>
                <c:pt idx="4">
                  <c:v>For exercise</c:v>
                </c:pt>
                <c:pt idx="5">
                  <c:v>To accompany a child to / from school</c:v>
                </c:pt>
                <c:pt idx="6">
                  <c:v>To / from college / university</c:v>
                </c:pt>
                <c:pt idx="7">
                  <c:v>To visit friends / family</c:v>
                </c:pt>
                <c:pt idx="8">
                  <c:v>To / from work</c:v>
                </c:pt>
              </c:strCache>
              <c:extLst/>
            </c:strRef>
          </c:cat>
          <c:val>
            <c:numRef>
              <c:f>Refined!$A$37:$I$37</c:f>
              <c:numCache>
                <c:formatCode>General</c:formatCode>
                <c:ptCount val="9"/>
                <c:pt idx="0">
                  <c:v>4</c:v>
                </c:pt>
                <c:pt idx="1">
                  <c:v>58</c:v>
                </c:pt>
                <c:pt idx="2">
                  <c:v>45</c:v>
                </c:pt>
                <c:pt idx="3">
                  <c:v>23</c:v>
                </c:pt>
                <c:pt idx="4">
                  <c:v>3</c:v>
                </c:pt>
                <c:pt idx="5">
                  <c:v>6</c:v>
                </c:pt>
                <c:pt idx="6">
                  <c:v>2</c:v>
                </c:pt>
                <c:pt idx="7">
                  <c:v>24</c:v>
                </c:pt>
                <c:pt idx="8">
                  <c:v>46</c:v>
                </c:pt>
              </c:numCache>
              <c:extLst/>
            </c:numRef>
          </c:val>
          <c:extLst>
            <c:ext xmlns:c16="http://schemas.microsoft.com/office/drawing/2014/chart" uri="{C3380CC4-5D6E-409C-BE32-E72D297353CC}">
              <c16:uniqueId val="{00000000-ABE6-4A64-9F04-CE8FD20BD96A}"/>
            </c:ext>
          </c:extLst>
        </c:ser>
        <c:dLbls>
          <c:showLegendKey val="0"/>
          <c:showVal val="0"/>
          <c:showCatName val="0"/>
          <c:showSerName val="0"/>
          <c:showPercent val="0"/>
          <c:showBubbleSize val="0"/>
        </c:dLbls>
        <c:gapWidth val="182"/>
        <c:axId val="1681821183"/>
        <c:axId val="1681828383"/>
      </c:barChart>
      <c:catAx>
        <c:axId val="16818211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81828383"/>
        <c:crosses val="autoZero"/>
        <c:auto val="1"/>
        <c:lblAlgn val="ctr"/>
        <c:lblOffset val="100"/>
        <c:noMultiLvlLbl val="0"/>
      </c:catAx>
      <c:valAx>
        <c:axId val="168182838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Number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818211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a:t>Car Mode Only: Would the proposed scheme enable and encourage you / your constituents / members to... </a:t>
            </a:r>
          </a:p>
        </c:rich>
      </c:tx>
      <c:overlay val="0"/>
      <c:spPr>
        <a:noFill/>
        <a:ln>
          <a:noFill/>
        </a:ln>
        <a:effectLst/>
      </c:spPr>
      <c:txPr>
        <a:bodyPr rot="0" spcFirstLastPara="1" vertOverflow="ellipsis" vert="horz" wrap="square" anchor="ctr" anchorCtr="1"/>
        <a:lstStyle/>
        <a:p>
          <a:pPr algn="ctr" rtl="0">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tx>
            <c:strRef>
              <c:f>Refined!$A$42</c:f>
              <c:strCache>
                <c:ptCount val="1"/>
                <c:pt idx="0">
                  <c:v>Yes</c:v>
                </c:pt>
              </c:strCache>
            </c:strRef>
          </c:tx>
          <c:spPr>
            <a:solidFill>
              <a:schemeClr val="accent1"/>
            </a:solidFill>
            <a:ln>
              <a:noFill/>
            </a:ln>
            <a:effectLst/>
          </c:spPr>
          <c:invertIfNegative val="0"/>
          <c:cat>
            <c:strRef>
              <c:f>Refined!$B$41:$J$41</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Refined!$B$42:$J$42</c:f>
              <c:numCache>
                <c:formatCode>General</c:formatCode>
                <c:ptCount val="9"/>
                <c:pt idx="0">
                  <c:v>10</c:v>
                </c:pt>
                <c:pt idx="1">
                  <c:v>10</c:v>
                </c:pt>
                <c:pt idx="2">
                  <c:v>10</c:v>
                </c:pt>
                <c:pt idx="3">
                  <c:v>11</c:v>
                </c:pt>
                <c:pt idx="4">
                  <c:v>3</c:v>
                </c:pt>
                <c:pt idx="5">
                  <c:v>2</c:v>
                </c:pt>
                <c:pt idx="6">
                  <c:v>5</c:v>
                </c:pt>
                <c:pt idx="7">
                  <c:v>6</c:v>
                </c:pt>
                <c:pt idx="8">
                  <c:v>10</c:v>
                </c:pt>
              </c:numCache>
            </c:numRef>
          </c:val>
          <c:extLst>
            <c:ext xmlns:c16="http://schemas.microsoft.com/office/drawing/2014/chart" uri="{C3380CC4-5D6E-409C-BE32-E72D297353CC}">
              <c16:uniqueId val="{00000000-807B-4080-802B-331063B15E36}"/>
            </c:ext>
          </c:extLst>
        </c:ser>
        <c:ser>
          <c:idx val="1"/>
          <c:order val="1"/>
          <c:tx>
            <c:strRef>
              <c:f>Refined!$A$43</c:f>
              <c:strCache>
                <c:ptCount val="1"/>
                <c:pt idx="0">
                  <c:v>No</c:v>
                </c:pt>
              </c:strCache>
            </c:strRef>
          </c:tx>
          <c:spPr>
            <a:solidFill>
              <a:schemeClr val="accent2"/>
            </a:solidFill>
            <a:ln>
              <a:noFill/>
            </a:ln>
            <a:effectLst/>
          </c:spPr>
          <c:invertIfNegative val="0"/>
          <c:cat>
            <c:strRef>
              <c:f>Refined!$B$41:$J$41</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Refined!$B$43:$J$43</c:f>
              <c:numCache>
                <c:formatCode>General</c:formatCode>
                <c:ptCount val="9"/>
                <c:pt idx="0">
                  <c:v>64</c:v>
                </c:pt>
                <c:pt idx="1">
                  <c:v>62</c:v>
                </c:pt>
                <c:pt idx="2">
                  <c:v>65</c:v>
                </c:pt>
                <c:pt idx="3">
                  <c:v>65</c:v>
                </c:pt>
                <c:pt idx="4">
                  <c:v>71</c:v>
                </c:pt>
                <c:pt idx="5">
                  <c:v>72</c:v>
                </c:pt>
                <c:pt idx="6">
                  <c:v>68</c:v>
                </c:pt>
                <c:pt idx="7">
                  <c:v>68</c:v>
                </c:pt>
                <c:pt idx="8">
                  <c:v>63</c:v>
                </c:pt>
              </c:numCache>
            </c:numRef>
          </c:val>
          <c:extLst>
            <c:ext xmlns:c16="http://schemas.microsoft.com/office/drawing/2014/chart" uri="{C3380CC4-5D6E-409C-BE32-E72D297353CC}">
              <c16:uniqueId val="{00000001-807B-4080-802B-331063B15E36}"/>
            </c:ext>
          </c:extLst>
        </c:ser>
        <c:ser>
          <c:idx val="2"/>
          <c:order val="2"/>
          <c:tx>
            <c:strRef>
              <c:f>Refined!$A$44</c:f>
              <c:strCache>
                <c:ptCount val="1"/>
                <c:pt idx="0">
                  <c:v>Don't know</c:v>
                </c:pt>
              </c:strCache>
            </c:strRef>
          </c:tx>
          <c:spPr>
            <a:solidFill>
              <a:schemeClr val="accent3"/>
            </a:solidFill>
            <a:ln>
              <a:noFill/>
            </a:ln>
            <a:effectLst/>
          </c:spPr>
          <c:invertIfNegative val="0"/>
          <c:cat>
            <c:strRef>
              <c:f>Refined!$B$41:$J$41</c:f>
              <c:strCache>
                <c:ptCount val="9"/>
                <c:pt idx="0">
                  <c:v>Start walking for short journeys?</c:v>
                </c:pt>
                <c:pt idx="1">
                  <c:v>Walk more often than now?</c:v>
                </c:pt>
                <c:pt idx="2">
                  <c:v>Start cycling for short journeys?</c:v>
                </c:pt>
                <c:pt idx="3">
                  <c:v>Cycle more often than now?</c:v>
                </c:pt>
                <c:pt idx="4">
                  <c:v>Start push-scooting for short journeys?</c:v>
                </c:pt>
                <c:pt idx="5">
                  <c:v>Push-scoot more often than now?</c:v>
                </c:pt>
                <c:pt idx="6">
                  <c:v>Start e-scooting for short journeys?</c:v>
                </c:pt>
                <c:pt idx="7">
                  <c:v>E-scoot more often than previously?</c:v>
                </c:pt>
                <c:pt idx="8">
                  <c:v>Use a motor vehicle less often?</c:v>
                </c:pt>
              </c:strCache>
            </c:strRef>
          </c:cat>
          <c:val>
            <c:numRef>
              <c:f>Refined!$B$44:$J$44</c:f>
              <c:numCache>
                <c:formatCode>General</c:formatCode>
                <c:ptCount val="9"/>
                <c:pt idx="0">
                  <c:v>2</c:v>
                </c:pt>
                <c:pt idx="1">
                  <c:v>4</c:v>
                </c:pt>
                <c:pt idx="2">
                  <c:v>1</c:v>
                </c:pt>
                <c:pt idx="3">
                  <c:v>0</c:v>
                </c:pt>
                <c:pt idx="4">
                  <c:v>2</c:v>
                </c:pt>
                <c:pt idx="5">
                  <c:v>2</c:v>
                </c:pt>
                <c:pt idx="6">
                  <c:v>3</c:v>
                </c:pt>
                <c:pt idx="7">
                  <c:v>2</c:v>
                </c:pt>
                <c:pt idx="8">
                  <c:v>3</c:v>
                </c:pt>
              </c:numCache>
            </c:numRef>
          </c:val>
          <c:extLst>
            <c:ext xmlns:c16="http://schemas.microsoft.com/office/drawing/2014/chart" uri="{C3380CC4-5D6E-409C-BE32-E72D297353CC}">
              <c16:uniqueId val="{00000002-807B-4080-802B-331063B15E36}"/>
            </c:ext>
          </c:extLst>
        </c:ser>
        <c:dLbls>
          <c:showLegendKey val="0"/>
          <c:showVal val="0"/>
          <c:showCatName val="0"/>
          <c:showSerName val="0"/>
          <c:showPercent val="0"/>
          <c:showBubbleSize val="0"/>
        </c:dLbls>
        <c:gapWidth val="182"/>
        <c:axId val="1582044047"/>
        <c:axId val="1582045487"/>
      </c:barChart>
      <c:catAx>
        <c:axId val="158204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582045487"/>
        <c:crosses val="autoZero"/>
        <c:auto val="1"/>
        <c:lblAlgn val="ctr"/>
        <c:lblOffset val="100"/>
        <c:noMultiLvlLbl val="0"/>
      </c:catAx>
      <c:valAx>
        <c:axId val="158204548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Number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582044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3" ma:contentTypeDescription="Create a new document." ma:contentTypeScope="" ma:versionID="c199c78cdbf10528cd7668de98d3c986">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5380301c1e6a31f62f7beba1b01b69b4"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1EB1E2-072C-42DA-80E5-6364C4C9566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08846F-E297-45FA-87C3-7F92CE380273}">
  <ds:schemaRefs>
    <ds:schemaRef ds:uri="http://schemas.openxmlformats.org/officeDocument/2006/bibliography"/>
  </ds:schemaRefs>
</ds:datastoreItem>
</file>

<file path=customXml/itemProps3.xml><?xml version="1.0" encoding="utf-8"?>
<ds:datastoreItem xmlns:ds="http://schemas.openxmlformats.org/officeDocument/2006/customXml" ds:itemID="{ACEC1472-D062-4F63-A508-FB894198E73C}">
  <ds:schemaRefs>
    <ds:schemaRef ds:uri="http://schemas.microsoft.com/sharepoint/v3/contenttype/forms"/>
  </ds:schemaRefs>
</ds:datastoreItem>
</file>

<file path=customXml/itemProps4.xml><?xml version="1.0" encoding="utf-8"?>
<ds:datastoreItem xmlns:ds="http://schemas.openxmlformats.org/officeDocument/2006/customXml" ds:itemID="{F99626B4-9214-4C90-B849-6A4C6B4D88D7}">
  <ds:schemaRefs>
    <ds:schemaRef ds:uri="http://schemas.openxmlformats.org/officeDocument/2006/bibliography"/>
  </ds:schemaRefs>
</ds:datastoreItem>
</file>

<file path=customXml/itemProps5.xml><?xml version="1.0" encoding="utf-8"?>
<ds:datastoreItem xmlns:ds="http://schemas.openxmlformats.org/officeDocument/2006/customXml" ds:itemID="{052A1C43-81FD-4818-8C6B-3719EEF234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60964</Words>
  <Characters>347496</Characters>
  <Application>Microsoft Office Word</Application>
  <DocSecurity>0</DocSecurity>
  <Lines>2895</Lines>
  <Paragraphs>815</Paragraphs>
  <ScaleCrop>false</ScaleCrop>
  <HeadingPairs>
    <vt:vector size="2" baseType="variant">
      <vt:variant>
        <vt:lpstr>Title</vt:lpstr>
      </vt:variant>
      <vt:variant>
        <vt:i4>1</vt:i4>
      </vt:variant>
    </vt:vector>
  </HeadingPairs>
  <TitlesOfParts>
    <vt:vector size="1" baseType="lpstr">
      <vt:lpstr>Executive summary</vt:lpstr>
    </vt:vector>
  </TitlesOfParts>
  <Company>AEA Technology plc</Company>
  <LinksUpToDate>false</LinksUpToDate>
  <CharactersWithSpaces>407645</CharactersWithSpaces>
  <SharedDoc>false</SharedDoc>
  <HLinks>
    <vt:vector size="126" baseType="variant">
      <vt:variant>
        <vt:i4>1900597</vt:i4>
      </vt:variant>
      <vt:variant>
        <vt:i4>125</vt:i4>
      </vt:variant>
      <vt:variant>
        <vt:i4>0</vt:i4>
      </vt:variant>
      <vt:variant>
        <vt:i4>5</vt:i4>
      </vt:variant>
      <vt:variant>
        <vt:lpwstr/>
      </vt:variant>
      <vt:variant>
        <vt:lpwstr>_Toc447720499</vt:lpwstr>
      </vt:variant>
      <vt:variant>
        <vt:i4>1900597</vt:i4>
      </vt:variant>
      <vt:variant>
        <vt:i4>119</vt:i4>
      </vt:variant>
      <vt:variant>
        <vt:i4>0</vt:i4>
      </vt:variant>
      <vt:variant>
        <vt:i4>5</vt:i4>
      </vt:variant>
      <vt:variant>
        <vt:lpwstr/>
      </vt:variant>
      <vt:variant>
        <vt:lpwstr>_Toc447720498</vt:lpwstr>
      </vt:variant>
      <vt:variant>
        <vt:i4>1114162</vt:i4>
      </vt:variant>
      <vt:variant>
        <vt:i4>110</vt:i4>
      </vt:variant>
      <vt:variant>
        <vt:i4>0</vt:i4>
      </vt:variant>
      <vt:variant>
        <vt:i4>5</vt:i4>
      </vt:variant>
      <vt:variant>
        <vt:lpwstr/>
      </vt:variant>
      <vt:variant>
        <vt:lpwstr>_Toc447721346</vt:lpwstr>
      </vt:variant>
      <vt:variant>
        <vt:i4>1114162</vt:i4>
      </vt:variant>
      <vt:variant>
        <vt:i4>104</vt:i4>
      </vt:variant>
      <vt:variant>
        <vt:i4>0</vt:i4>
      </vt:variant>
      <vt:variant>
        <vt:i4>5</vt:i4>
      </vt:variant>
      <vt:variant>
        <vt:lpwstr/>
      </vt:variant>
      <vt:variant>
        <vt:lpwstr>_Toc447721345</vt:lpwstr>
      </vt:variant>
      <vt:variant>
        <vt:i4>1114162</vt:i4>
      </vt:variant>
      <vt:variant>
        <vt:i4>98</vt:i4>
      </vt:variant>
      <vt:variant>
        <vt:i4>0</vt:i4>
      </vt:variant>
      <vt:variant>
        <vt:i4>5</vt:i4>
      </vt:variant>
      <vt:variant>
        <vt:lpwstr/>
      </vt:variant>
      <vt:variant>
        <vt:lpwstr>_Toc447721344</vt:lpwstr>
      </vt:variant>
      <vt:variant>
        <vt:i4>1114162</vt:i4>
      </vt:variant>
      <vt:variant>
        <vt:i4>92</vt:i4>
      </vt:variant>
      <vt:variant>
        <vt:i4>0</vt:i4>
      </vt:variant>
      <vt:variant>
        <vt:i4>5</vt:i4>
      </vt:variant>
      <vt:variant>
        <vt:lpwstr/>
      </vt:variant>
      <vt:variant>
        <vt:lpwstr>_Toc447721343</vt:lpwstr>
      </vt:variant>
      <vt:variant>
        <vt:i4>1114162</vt:i4>
      </vt:variant>
      <vt:variant>
        <vt:i4>86</vt:i4>
      </vt:variant>
      <vt:variant>
        <vt:i4>0</vt:i4>
      </vt:variant>
      <vt:variant>
        <vt:i4>5</vt:i4>
      </vt:variant>
      <vt:variant>
        <vt:lpwstr/>
      </vt:variant>
      <vt:variant>
        <vt:lpwstr>_Toc447721342</vt:lpwstr>
      </vt:variant>
      <vt:variant>
        <vt:i4>1114162</vt:i4>
      </vt:variant>
      <vt:variant>
        <vt:i4>80</vt:i4>
      </vt:variant>
      <vt:variant>
        <vt:i4>0</vt:i4>
      </vt:variant>
      <vt:variant>
        <vt:i4>5</vt:i4>
      </vt:variant>
      <vt:variant>
        <vt:lpwstr/>
      </vt:variant>
      <vt:variant>
        <vt:lpwstr>_Toc447721341</vt:lpwstr>
      </vt:variant>
      <vt:variant>
        <vt:i4>1114162</vt:i4>
      </vt:variant>
      <vt:variant>
        <vt:i4>74</vt:i4>
      </vt:variant>
      <vt:variant>
        <vt:i4>0</vt:i4>
      </vt:variant>
      <vt:variant>
        <vt:i4>5</vt:i4>
      </vt:variant>
      <vt:variant>
        <vt:lpwstr/>
      </vt:variant>
      <vt:variant>
        <vt:lpwstr>_Toc447721340</vt:lpwstr>
      </vt:variant>
      <vt:variant>
        <vt:i4>1441842</vt:i4>
      </vt:variant>
      <vt:variant>
        <vt:i4>68</vt:i4>
      </vt:variant>
      <vt:variant>
        <vt:i4>0</vt:i4>
      </vt:variant>
      <vt:variant>
        <vt:i4>5</vt:i4>
      </vt:variant>
      <vt:variant>
        <vt:lpwstr/>
      </vt:variant>
      <vt:variant>
        <vt:lpwstr>_Toc447721339</vt:lpwstr>
      </vt:variant>
      <vt:variant>
        <vt:i4>1441842</vt:i4>
      </vt:variant>
      <vt:variant>
        <vt:i4>62</vt:i4>
      </vt:variant>
      <vt:variant>
        <vt:i4>0</vt:i4>
      </vt:variant>
      <vt:variant>
        <vt:i4>5</vt:i4>
      </vt:variant>
      <vt:variant>
        <vt:lpwstr/>
      </vt:variant>
      <vt:variant>
        <vt:lpwstr>_Toc447721338</vt:lpwstr>
      </vt:variant>
      <vt:variant>
        <vt:i4>1441842</vt:i4>
      </vt:variant>
      <vt:variant>
        <vt:i4>56</vt:i4>
      </vt:variant>
      <vt:variant>
        <vt:i4>0</vt:i4>
      </vt:variant>
      <vt:variant>
        <vt:i4>5</vt:i4>
      </vt:variant>
      <vt:variant>
        <vt:lpwstr/>
      </vt:variant>
      <vt:variant>
        <vt:lpwstr>_Toc447721337</vt:lpwstr>
      </vt:variant>
      <vt:variant>
        <vt:i4>1441842</vt:i4>
      </vt:variant>
      <vt:variant>
        <vt:i4>50</vt:i4>
      </vt:variant>
      <vt:variant>
        <vt:i4>0</vt:i4>
      </vt:variant>
      <vt:variant>
        <vt:i4>5</vt:i4>
      </vt:variant>
      <vt:variant>
        <vt:lpwstr/>
      </vt:variant>
      <vt:variant>
        <vt:lpwstr>_Toc447721336</vt:lpwstr>
      </vt:variant>
      <vt:variant>
        <vt:i4>1441842</vt:i4>
      </vt:variant>
      <vt:variant>
        <vt:i4>44</vt:i4>
      </vt:variant>
      <vt:variant>
        <vt:i4>0</vt:i4>
      </vt:variant>
      <vt:variant>
        <vt:i4>5</vt:i4>
      </vt:variant>
      <vt:variant>
        <vt:lpwstr/>
      </vt:variant>
      <vt:variant>
        <vt:lpwstr>_Toc447721335</vt:lpwstr>
      </vt:variant>
      <vt:variant>
        <vt:i4>1441842</vt:i4>
      </vt:variant>
      <vt:variant>
        <vt:i4>38</vt:i4>
      </vt:variant>
      <vt:variant>
        <vt:i4>0</vt:i4>
      </vt:variant>
      <vt:variant>
        <vt:i4>5</vt:i4>
      </vt:variant>
      <vt:variant>
        <vt:lpwstr/>
      </vt:variant>
      <vt:variant>
        <vt:lpwstr>_Toc447721334</vt:lpwstr>
      </vt:variant>
      <vt:variant>
        <vt:i4>1441842</vt:i4>
      </vt:variant>
      <vt:variant>
        <vt:i4>32</vt:i4>
      </vt:variant>
      <vt:variant>
        <vt:i4>0</vt:i4>
      </vt:variant>
      <vt:variant>
        <vt:i4>5</vt:i4>
      </vt:variant>
      <vt:variant>
        <vt:lpwstr/>
      </vt:variant>
      <vt:variant>
        <vt:lpwstr>_Toc447721333</vt:lpwstr>
      </vt:variant>
      <vt:variant>
        <vt:i4>1441842</vt:i4>
      </vt:variant>
      <vt:variant>
        <vt:i4>26</vt:i4>
      </vt:variant>
      <vt:variant>
        <vt:i4>0</vt:i4>
      </vt:variant>
      <vt:variant>
        <vt:i4>5</vt:i4>
      </vt:variant>
      <vt:variant>
        <vt:lpwstr/>
      </vt:variant>
      <vt:variant>
        <vt:lpwstr>_Toc447721332</vt:lpwstr>
      </vt:variant>
      <vt:variant>
        <vt:i4>1441842</vt:i4>
      </vt:variant>
      <vt:variant>
        <vt:i4>20</vt:i4>
      </vt:variant>
      <vt:variant>
        <vt:i4>0</vt:i4>
      </vt:variant>
      <vt:variant>
        <vt:i4>5</vt:i4>
      </vt:variant>
      <vt:variant>
        <vt:lpwstr/>
      </vt:variant>
      <vt:variant>
        <vt:lpwstr>_Toc447721331</vt:lpwstr>
      </vt:variant>
      <vt:variant>
        <vt:i4>1441842</vt:i4>
      </vt:variant>
      <vt:variant>
        <vt:i4>14</vt:i4>
      </vt:variant>
      <vt:variant>
        <vt:i4>0</vt:i4>
      </vt:variant>
      <vt:variant>
        <vt:i4>5</vt:i4>
      </vt:variant>
      <vt:variant>
        <vt:lpwstr/>
      </vt:variant>
      <vt:variant>
        <vt:lpwstr>_Toc447721330</vt:lpwstr>
      </vt:variant>
      <vt:variant>
        <vt:i4>1507378</vt:i4>
      </vt:variant>
      <vt:variant>
        <vt:i4>8</vt:i4>
      </vt:variant>
      <vt:variant>
        <vt:i4>0</vt:i4>
      </vt:variant>
      <vt:variant>
        <vt:i4>5</vt:i4>
      </vt:variant>
      <vt:variant>
        <vt:lpwstr/>
      </vt:variant>
      <vt:variant>
        <vt:lpwstr>_Toc447721329</vt:lpwstr>
      </vt:variant>
      <vt:variant>
        <vt:i4>1507378</vt:i4>
      </vt:variant>
      <vt:variant>
        <vt:i4>2</vt:i4>
      </vt:variant>
      <vt:variant>
        <vt:i4>0</vt:i4>
      </vt:variant>
      <vt:variant>
        <vt:i4>5</vt:i4>
      </vt:variant>
      <vt:variant>
        <vt:lpwstr/>
      </vt:variant>
      <vt:variant>
        <vt:lpwstr>_Toc447721328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subject/>
  <dc:creator>Anna CZERSKA</dc:creator>
  <cp:keywords/>
  <cp:lastModifiedBy>Sophia Norfolk</cp:lastModifiedBy>
  <cp:revision>2</cp:revision>
  <cp:lastPrinted>2016-04-06T14:53:00Z</cp:lastPrinted>
  <dcterms:created xsi:type="dcterms:W3CDTF">2024-03-15T15:44:00Z</dcterms:created>
  <dcterms:modified xsi:type="dcterms:W3CDTF">2024-03-15T15:44:00Z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0x010100DC8A5AA7AA30EE4F92B10ACFBBE13E76</vt:lpwstr>
  </property>
</Properties>
</file>